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151130</wp:posOffset>
            </wp:positionH>
            <wp:positionV relativeFrom="page">
              <wp:posOffset>229235</wp:posOffset>
            </wp:positionV>
            <wp:extent cx="725932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2349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86360</wp:posOffset>
            </wp:positionV>
            <wp:extent cx="143319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195" cy="15875"/>
                    </a:xfrm>
                    <a:prstGeom prst="rect">
                      <a:avLst/>
                    </a:prstGeom>
                    <a:noFill/>
                  </pic:spPr>
                </pic:pic>
              </a:graphicData>
            </a:graphic>
          </wp:anchor>
        </w:drawing>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24765</wp:posOffset>
            </wp:positionV>
            <wp:extent cx="143319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195" cy="15875"/>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4"/>
          <w:szCs w:val="14"/>
          <w:b w:val="1"/>
          <w:bCs w:val="1"/>
          <w:color w:val="auto"/>
        </w:rPr>
        <w:t>ANNUAL REPORT PURSUANT TO SECTION 13 OR 15(D) OF THE SECURITIES EXCHANGE ACT OF 1934</w:t>
      </w:r>
      <w:r>
        <w:rPr>
          <w:rFonts w:ascii="Arial" w:cs="Arial" w:eastAsia="Arial" w:hAnsi="Arial"/>
          <w:sz w:val="16"/>
          <w:szCs w:val="16"/>
          <w:color w:val="auto"/>
        </w:rPr>
        <w:t xml:space="preserve"> </w:t>
      </w:r>
      <w:r>
        <w:rPr>
          <w:rFonts w:ascii="Arial" w:cs="Arial" w:eastAsia="Arial" w:hAnsi="Arial"/>
          <w:sz w:val="14"/>
          <w:szCs w:val="14"/>
          <w:color w:val="auto"/>
        </w:rPr>
        <w:t>for the fiscal year ended August 28, 2010; or</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b w:val="1"/>
          <w:bCs w:val="1"/>
          <w:color w:val="auto"/>
        </w:rPr>
        <w:t>TRANSITION REPORT PURSUANT TO SECTION 13 OR 15(D) OF THE SECURITIES EXCHANGE ACT OF 1934</w:t>
      </w:r>
      <w:r>
        <w:rPr>
          <w:rFonts w:ascii="Arial" w:cs="Arial" w:eastAsia="Arial" w:hAnsi="Arial"/>
          <w:sz w:val="16"/>
          <w:szCs w:val="16"/>
          <w:color w:val="auto"/>
        </w:rPr>
        <w:t xml:space="preserve"> </w:t>
      </w:r>
      <w:r>
        <w:rPr>
          <w:rFonts w:ascii="Arial" w:cs="Arial" w:eastAsia="Arial" w:hAnsi="Arial"/>
          <w:sz w:val="14"/>
          <w:szCs w:val="14"/>
          <w:color w:val="auto"/>
        </w:rPr>
        <w:t>for the transition period from ___________________ to</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_______________________</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Commission File Number 001-06403</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WINNEBAGO INDUSTRIES,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pacing w:after="0" w:line="171" w:lineRule="exact"/>
        <w:rPr>
          <w:sz w:val="24"/>
          <w:szCs w:val="24"/>
          <w:color w:val="auto"/>
        </w:rPr>
      </w:pPr>
    </w:p>
    <w:tbl>
      <w:tblPr>
        <w:tblLayout w:type="fixed"/>
        <w:tblInd w:w="1680" w:type="dxa"/>
        <w:tblCellMar>
          <w:top w:w="0" w:type="dxa"/>
          <w:left w:w="0" w:type="dxa"/>
          <w:bottom w:w="0" w:type="dxa"/>
          <w:right w:w="0" w:type="dxa"/>
        </w:tblCellMar>
      </w:tblPr>
      <w:tr>
        <w:trPr>
          <w:trHeight w:val="187"/>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Iowa</w:t>
            </w:r>
          </w:p>
        </w:tc>
        <w:tc>
          <w:tcPr>
            <w:tcW w:w="1400" w:type="dxa"/>
            <w:vAlign w:val="bottom"/>
          </w:tcPr>
          <w:p>
            <w:pPr>
              <w:spacing w:after="0"/>
              <w:rPr>
                <w:sz w:val="16"/>
                <w:szCs w:val="16"/>
                <w:color w:val="auto"/>
              </w:rPr>
            </w:pPr>
          </w:p>
        </w:tc>
        <w:tc>
          <w:tcPr>
            <w:tcW w:w="3340" w:type="dxa"/>
            <w:vAlign w:val="bottom"/>
            <w:tcBorders>
              <w:bottom w:val="single" w:sz="8" w:color="auto"/>
            </w:tcBorders>
          </w:tcPr>
          <w:p>
            <w:pPr>
              <w:jc w:val="right"/>
              <w:ind w:right="1206"/>
              <w:spacing w:after="0"/>
              <w:rPr>
                <w:sz w:val="20"/>
                <w:szCs w:val="20"/>
                <w:color w:val="auto"/>
              </w:rPr>
            </w:pPr>
            <w:r>
              <w:rPr>
                <w:rFonts w:ascii="Arial" w:cs="Arial" w:eastAsia="Arial" w:hAnsi="Arial"/>
                <w:sz w:val="15"/>
                <w:szCs w:val="15"/>
                <w:color w:val="auto"/>
              </w:rPr>
              <w:t>42-0802678</w:t>
            </w:r>
          </w:p>
        </w:tc>
      </w:tr>
      <w:tr>
        <w:trPr>
          <w:trHeight w:val="216"/>
        </w:trPr>
        <w:tc>
          <w:tcPr>
            <w:tcW w:w="4740" w:type="dxa"/>
            <w:vAlign w:val="bottom"/>
            <w:gridSpan w:val="2"/>
          </w:tcPr>
          <w:p>
            <w:pPr>
              <w:jc w:val="center"/>
              <w:ind w:right="1420"/>
              <w:spacing w:after="0"/>
              <w:rPr>
                <w:sz w:val="20"/>
                <w:szCs w:val="20"/>
                <w:color w:val="auto"/>
              </w:rPr>
            </w:pPr>
            <w:r>
              <w:rPr>
                <w:rFonts w:ascii="Arial" w:cs="Arial" w:eastAsia="Arial" w:hAnsi="Arial"/>
                <w:sz w:val="15"/>
                <w:szCs w:val="15"/>
                <w:color w:val="auto"/>
                <w:w w:val="98"/>
              </w:rPr>
              <w:t>(State or other jurisdiction of</w:t>
            </w:r>
          </w:p>
        </w:tc>
        <w:tc>
          <w:tcPr>
            <w:tcW w:w="3340" w:type="dxa"/>
            <w:vAlign w:val="bottom"/>
          </w:tcPr>
          <w:p>
            <w:pPr>
              <w:jc w:val="center"/>
              <w:spacing w:after="0"/>
              <w:rPr>
                <w:sz w:val="20"/>
                <w:szCs w:val="20"/>
                <w:color w:val="auto"/>
              </w:rPr>
            </w:pPr>
            <w:r>
              <w:rPr>
                <w:rFonts w:ascii="Arial" w:cs="Arial" w:eastAsia="Arial" w:hAnsi="Arial"/>
                <w:sz w:val="15"/>
                <w:szCs w:val="15"/>
                <w:color w:val="auto"/>
                <w:w w:val="98"/>
              </w:rPr>
              <w:t>(I.R.S. Employer Identification No.)</w:t>
            </w:r>
          </w:p>
        </w:tc>
      </w:tr>
      <w:tr>
        <w:trPr>
          <w:trHeight w:val="245"/>
        </w:trPr>
        <w:tc>
          <w:tcPr>
            <w:tcW w:w="4740" w:type="dxa"/>
            <w:vAlign w:val="bottom"/>
            <w:gridSpan w:val="2"/>
          </w:tcPr>
          <w:p>
            <w:pPr>
              <w:jc w:val="center"/>
              <w:ind w:right="1420"/>
              <w:spacing w:after="0"/>
              <w:rPr>
                <w:sz w:val="20"/>
                <w:szCs w:val="20"/>
                <w:color w:val="auto"/>
              </w:rPr>
            </w:pPr>
            <w:r>
              <w:rPr>
                <w:rFonts w:ascii="Arial" w:cs="Arial" w:eastAsia="Arial" w:hAnsi="Arial"/>
                <w:sz w:val="15"/>
                <w:szCs w:val="15"/>
                <w:color w:val="auto"/>
                <w:w w:val="98"/>
              </w:rPr>
              <w:t>incorporation or organization)</w:t>
            </w:r>
          </w:p>
        </w:tc>
        <w:tc>
          <w:tcPr>
            <w:tcW w:w="3340" w:type="dxa"/>
            <w:vAlign w:val="bottom"/>
          </w:tcPr>
          <w:p>
            <w:pPr>
              <w:spacing w:after="0"/>
              <w:rPr>
                <w:sz w:val="21"/>
                <w:szCs w:val="21"/>
                <w:color w:val="auto"/>
              </w:rPr>
            </w:pPr>
          </w:p>
        </w:tc>
      </w:tr>
      <w:tr>
        <w:trPr>
          <w:trHeight w:val="427"/>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P.O. Box 152, Forest City, Iowa</w:t>
            </w:r>
          </w:p>
        </w:tc>
        <w:tc>
          <w:tcPr>
            <w:tcW w:w="1400" w:type="dxa"/>
            <w:vAlign w:val="bottom"/>
          </w:tcPr>
          <w:p>
            <w:pPr>
              <w:spacing w:after="0"/>
              <w:rPr>
                <w:sz w:val="24"/>
                <w:szCs w:val="24"/>
                <w:color w:val="auto"/>
              </w:rPr>
            </w:pPr>
          </w:p>
        </w:tc>
        <w:tc>
          <w:tcPr>
            <w:tcW w:w="3340" w:type="dxa"/>
            <w:vAlign w:val="bottom"/>
            <w:tcBorders>
              <w:bottom w:val="single" w:sz="8" w:color="auto"/>
            </w:tcBorders>
          </w:tcPr>
          <w:p>
            <w:pPr>
              <w:jc w:val="right"/>
              <w:ind w:right="1406"/>
              <w:spacing w:after="0"/>
              <w:rPr>
                <w:sz w:val="20"/>
                <w:szCs w:val="20"/>
                <w:color w:val="auto"/>
              </w:rPr>
            </w:pPr>
            <w:r>
              <w:rPr>
                <w:rFonts w:ascii="Arial" w:cs="Arial" w:eastAsia="Arial" w:hAnsi="Arial"/>
                <w:sz w:val="15"/>
                <w:szCs w:val="15"/>
                <w:color w:val="auto"/>
              </w:rPr>
              <w:t>50436</w:t>
            </w:r>
          </w:p>
        </w:tc>
      </w:tr>
      <w:tr>
        <w:trPr>
          <w:trHeight w:val="203"/>
        </w:trPr>
        <w:tc>
          <w:tcPr>
            <w:tcW w:w="4740" w:type="dxa"/>
            <w:vAlign w:val="bottom"/>
            <w:gridSpan w:val="2"/>
          </w:tcPr>
          <w:p>
            <w:pPr>
              <w:jc w:val="center"/>
              <w:ind w:right="1420"/>
              <w:spacing w:after="0"/>
              <w:rPr>
                <w:sz w:val="20"/>
                <w:szCs w:val="20"/>
                <w:color w:val="auto"/>
              </w:rPr>
            </w:pPr>
            <w:r>
              <w:rPr>
                <w:rFonts w:ascii="Arial" w:cs="Arial" w:eastAsia="Arial" w:hAnsi="Arial"/>
                <w:sz w:val="15"/>
                <w:szCs w:val="15"/>
                <w:color w:val="auto"/>
                <w:w w:val="98"/>
              </w:rPr>
              <w:t>(Address of principal executive offices)</w:t>
            </w:r>
          </w:p>
        </w:tc>
        <w:tc>
          <w:tcPr>
            <w:tcW w:w="3340" w:type="dxa"/>
            <w:vAlign w:val="bottom"/>
          </w:tcPr>
          <w:p>
            <w:pPr>
              <w:jc w:val="center"/>
              <w:spacing w:after="0"/>
              <w:rPr>
                <w:sz w:val="20"/>
                <w:szCs w:val="20"/>
                <w:color w:val="auto"/>
              </w:rPr>
            </w:pPr>
            <w:r>
              <w:rPr>
                <w:rFonts w:ascii="Arial" w:cs="Arial" w:eastAsia="Arial" w:hAnsi="Arial"/>
                <w:sz w:val="15"/>
                <w:szCs w:val="15"/>
                <w:color w:val="auto"/>
                <w:w w:val="95"/>
              </w:rPr>
              <w:t>(Zip Code)</w:t>
            </w:r>
          </w:p>
        </w:tc>
      </w:tr>
    </w:tbl>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 (641) 585-3535</w:t>
      </w:r>
    </w:p>
    <w:p>
      <w:pPr>
        <w:jc w:val="center"/>
        <w:ind w:right="-19"/>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59" w:lineRule="exact"/>
        <w:rPr>
          <w:sz w:val="24"/>
          <w:szCs w:val="24"/>
          <w:color w:val="auto"/>
        </w:rPr>
      </w:pPr>
    </w:p>
    <w:tbl>
      <w:tblPr>
        <w:tblLayout w:type="fixed"/>
        <w:tblInd w:w="1680" w:type="dxa"/>
        <w:tblCellMar>
          <w:top w:w="0" w:type="dxa"/>
          <w:left w:w="0" w:type="dxa"/>
          <w:bottom w:w="0" w:type="dxa"/>
          <w:right w:w="0" w:type="dxa"/>
        </w:tblCellMar>
      </w:tblPr>
      <w:tr>
        <w:trPr>
          <w:trHeight w:val="187"/>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Title of each class</w:t>
            </w:r>
          </w:p>
        </w:tc>
        <w:tc>
          <w:tcPr>
            <w:tcW w:w="140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Name of each exchange on which registered</w:t>
            </w:r>
          </w:p>
        </w:tc>
      </w:tr>
      <w:tr>
        <w:trPr>
          <w:trHeight w:val="228"/>
        </w:trPr>
        <w:tc>
          <w:tcPr>
            <w:tcW w:w="3340" w:type="dxa"/>
            <w:vAlign w:val="bottom"/>
          </w:tcPr>
          <w:p>
            <w:pPr>
              <w:jc w:val="center"/>
              <w:spacing w:after="0"/>
              <w:rPr>
                <w:sz w:val="20"/>
                <w:szCs w:val="20"/>
                <w:color w:val="auto"/>
              </w:rPr>
            </w:pPr>
            <w:r>
              <w:rPr>
                <w:rFonts w:ascii="Arial" w:cs="Arial" w:eastAsia="Arial" w:hAnsi="Arial"/>
                <w:sz w:val="15"/>
                <w:szCs w:val="15"/>
                <w:color w:val="auto"/>
                <w:w w:val="98"/>
              </w:rPr>
              <w:t>Common Stock ($.50 par value)</w:t>
            </w:r>
          </w:p>
        </w:tc>
        <w:tc>
          <w:tcPr>
            <w:tcW w:w="140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w w:val="97"/>
              </w:rPr>
              <w:t>The New York Stock Exchange, Inc.</w:t>
            </w:r>
          </w:p>
        </w:tc>
      </w:tr>
    </w:tbl>
    <w:p>
      <w:pPr>
        <w:spacing w:after="0" w:line="44" w:lineRule="exact"/>
        <w:rPr>
          <w:sz w:val="24"/>
          <w:szCs w:val="24"/>
          <w:color w:val="auto"/>
        </w:rPr>
      </w:pPr>
    </w:p>
    <w:p>
      <w:pPr>
        <w:ind w:left="7100"/>
        <w:spacing w:after="0"/>
        <w:rPr>
          <w:sz w:val="20"/>
          <w:szCs w:val="20"/>
          <w:color w:val="auto"/>
        </w:rPr>
      </w:pPr>
      <w:r>
        <w:rPr>
          <w:rFonts w:ascii="Arial" w:cs="Arial" w:eastAsia="Arial" w:hAnsi="Arial"/>
          <w:sz w:val="15"/>
          <w:szCs w:val="15"/>
          <w:color w:val="auto"/>
        </w:rPr>
        <w:t>Chicago Stock Exchange, Inc.</w:t>
      </w:r>
    </w:p>
    <w:p>
      <w:pPr>
        <w:spacing w:after="0" w:line="48"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32" w:lineRule="exact"/>
        <w:rPr>
          <w:sz w:val="24"/>
          <w:szCs w:val="24"/>
          <w:color w:val="auto"/>
        </w:rPr>
      </w:pPr>
    </w:p>
    <w:p>
      <w:pPr>
        <w:spacing w:after="0"/>
        <w:tabs>
          <w:tab w:leader="none" w:pos="8140"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 xml:space="preserve">No </w:t>
      </w:r>
      <w:r>
        <w:rPr>
          <w:rFonts w:ascii="Arial" w:cs="Arial" w:eastAsia="Arial" w:hAnsi="Arial"/>
          <w:sz w:val="15"/>
          <w:szCs w:val="15"/>
          <w:color w:val="auto"/>
        </w:rPr>
        <w:t>x</w:t>
      </w:r>
    </w:p>
    <w:p>
      <w:pPr>
        <w:spacing w:after="0" w:line="184"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Indicate by check mark whether the registrant is not required to file reports pursuant to Section 13 or Section 15(d) of the Act. Yes </w:t>
      </w:r>
      <w:r>
        <w:rPr>
          <w:rFonts w:ascii="Arial" w:cs="Arial" w:eastAsia="Arial" w:hAnsi="Arial"/>
          <w:sz w:val="16"/>
          <w:szCs w:val="16"/>
          <w:color w:val="auto"/>
        </w:rPr>
        <w:t>o</w:t>
      </w:r>
      <w:r>
        <w:rPr>
          <w:rFonts w:ascii="Arial" w:cs="Arial" w:eastAsia="Arial" w:hAnsi="Arial"/>
          <w:sz w:val="15"/>
          <w:szCs w:val="15"/>
          <w:color w:val="auto"/>
        </w:rPr>
        <w:t xml:space="preserve"> No </w:t>
      </w:r>
      <w:r>
        <w:rPr>
          <w:rFonts w:ascii="Arial" w:cs="Arial" w:eastAsia="Arial" w:hAnsi="Arial"/>
          <w:sz w:val="16"/>
          <w:szCs w:val="16"/>
          <w:color w:val="auto"/>
        </w:rPr>
        <w:t>x</w:t>
      </w:r>
    </w:p>
    <w:p>
      <w:pPr>
        <w:spacing w:after="0" w:line="186" w:lineRule="exact"/>
        <w:rPr>
          <w:sz w:val="24"/>
          <w:szCs w:val="24"/>
          <w:color w:val="auto"/>
        </w:rPr>
      </w:pPr>
    </w:p>
    <w:p>
      <w:pPr>
        <w:ind w:right="20"/>
        <w:spacing w:after="0" w:line="301"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 orts), and (2) has been subject to such filing requirements for the past 90 days. Yes </w:t>
      </w:r>
      <w:r>
        <w:rPr>
          <w:rFonts w:ascii="Arial" w:cs="Arial" w:eastAsia="Arial" w:hAnsi="Arial"/>
          <w:sz w:val="15"/>
          <w:szCs w:val="15"/>
          <w:color w:val="auto"/>
        </w:rPr>
        <w:t>x</w:t>
      </w:r>
      <w:r>
        <w:rPr>
          <w:rFonts w:ascii="Arial" w:cs="Arial" w:eastAsia="Arial" w:hAnsi="Arial"/>
          <w:sz w:val="14"/>
          <w:szCs w:val="14"/>
          <w:color w:val="auto"/>
        </w:rPr>
        <w:t xml:space="preserve"> No </w:t>
      </w:r>
      <w:r>
        <w:rPr>
          <w:rFonts w:ascii="Arial" w:cs="Arial" w:eastAsia="Arial" w:hAnsi="Arial"/>
          <w:sz w:val="15"/>
          <w:szCs w:val="15"/>
          <w:color w:val="auto"/>
        </w:rPr>
        <w:t>o</w:t>
      </w:r>
    </w:p>
    <w:p>
      <w:pPr>
        <w:spacing w:after="0" w:line="121" w:lineRule="exact"/>
        <w:rPr>
          <w:sz w:val="24"/>
          <w:szCs w:val="24"/>
          <w:color w:val="auto"/>
        </w:rPr>
      </w:pPr>
    </w:p>
    <w:p>
      <w:pPr>
        <w:spacing w:after="0" w:line="270" w:lineRule="auto"/>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o</w:t>
      </w:r>
      <w:r>
        <w:rPr>
          <w:rFonts w:ascii="Arial" w:cs="Arial" w:eastAsia="Arial" w:hAnsi="Arial"/>
          <w:sz w:val="15"/>
          <w:szCs w:val="15"/>
          <w:color w:val="auto"/>
        </w:rPr>
        <w:t xml:space="preserve"> No </w:t>
      </w:r>
      <w:r>
        <w:rPr>
          <w:rFonts w:ascii="Arial" w:cs="Arial" w:eastAsia="Arial" w:hAnsi="Arial"/>
          <w:sz w:val="16"/>
          <w:szCs w:val="16"/>
          <w:color w:val="auto"/>
        </w:rPr>
        <w:t>o</w:t>
      </w:r>
    </w:p>
    <w:p>
      <w:pPr>
        <w:spacing w:after="0" w:line="141" w:lineRule="exact"/>
        <w:rPr>
          <w:sz w:val="24"/>
          <w:szCs w:val="24"/>
          <w:color w:val="auto"/>
        </w:rPr>
      </w:pPr>
    </w:p>
    <w:p>
      <w:pPr>
        <w:ind w:right="100"/>
        <w:spacing w:after="0" w:line="278"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w:t>
      </w:r>
    </w:p>
    <w:p>
      <w:pPr>
        <w:spacing w:after="0"/>
        <w:rPr>
          <w:sz w:val="20"/>
          <w:szCs w:val="20"/>
          <w:color w:val="auto"/>
        </w:rPr>
      </w:pPr>
      <w:r>
        <w:rPr>
          <w:rFonts w:ascii="Arial" w:cs="Arial" w:eastAsia="Arial" w:hAnsi="Arial"/>
          <w:sz w:val="16"/>
          <w:szCs w:val="16"/>
          <w:color w:val="auto"/>
        </w:rPr>
        <w:t>o</w:t>
      </w:r>
      <w:r>
        <w:rPr>
          <w:rFonts w:ascii="Arial" w:cs="Arial" w:eastAsia="Arial" w:hAnsi="Arial"/>
          <w:sz w:val="14"/>
          <w:szCs w:val="14"/>
          <w:color w:val="auto"/>
        </w:rPr>
        <w:t>.</w:t>
      </w:r>
    </w:p>
    <w:p>
      <w:pPr>
        <w:spacing w:after="0" w:line="166" w:lineRule="exact"/>
        <w:rPr>
          <w:sz w:val="24"/>
          <w:szCs w:val="24"/>
          <w:color w:val="auto"/>
        </w:rPr>
      </w:pPr>
    </w:p>
    <w:p>
      <w:pPr>
        <w:ind w:right="360"/>
        <w:spacing w:after="0" w:line="23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right="4380"/>
        <w:spacing w:after="0" w:line="478" w:lineRule="auto"/>
        <w:rPr>
          <w:sz w:val="20"/>
          <w:szCs w:val="20"/>
          <w:color w:val="auto"/>
        </w:rPr>
      </w:pPr>
      <w:r>
        <w:rPr>
          <w:rFonts w:ascii="Arial" w:cs="Arial" w:eastAsia="Arial" w:hAnsi="Arial"/>
          <w:sz w:val="14"/>
          <w:szCs w:val="14"/>
          <w:color w:val="auto"/>
        </w:rPr>
        <w:t xml:space="preserve">Large Accelerated Filer </w:t>
      </w:r>
      <w:r>
        <w:rPr>
          <w:rFonts w:ascii="Arial" w:cs="Arial" w:eastAsia="Arial" w:hAnsi="Arial"/>
          <w:sz w:val="15"/>
          <w:szCs w:val="15"/>
          <w:color w:val="auto"/>
        </w:rPr>
        <w:t>o</w:t>
      </w:r>
      <w:r>
        <w:rPr>
          <w:rFonts w:ascii="Arial" w:cs="Arial" w:eastAsia="Arial" w:hAnsi="Arial"/>
          <w:sz w:val="14"/>
          <w:szCs w:val="14"/>
          <w:color w:val="auto"/>
        </w:rPr>
        <w:t xml:space="preserve"> Accelerated Filer </w:t>
      </w:r>
      <w:r>
        <w:rPr>
          <w:rFonts w:ascii="Arial" w:cs="Arial" w:eastAsia="Arial" w:hAnsi="Arial"/>
          <w:sz w:val="15"/>
          <w:szCs w:val="15"/>
          <w:color w:val="auto"/>
        </w:rPr>
        <w:t>x</w:t>
      </w:r>
      <w:r>
        <w:rPr>
          <w:rFonts w:ascii="Arial" w:cs="Arial" w:eastAsia="Arial" w:hAnsi="Arial"/>
          <w:sz w:val="14"/>
          <w:szCs w:val="14"/>
          <w:color w:val="auto"/>
        </w:rPr>
        <w:t xml:space="preserve"> Non-accelerated filer </w:t>
      </w:r>
      <w:r>
        <w:rPr>
          <w:rFonts w:ascii="Arial" w:cs="Arial" w:eastAsia="Arial" w:hAnsi="Arial"/>
          <w:sz w:val="15"/>
          <w:szCs w:val="15"/>
          <w:color w:val="auto"/>
        </w:rPr>
        <w:t>o</w:t>
      </w:r>
      <w:r>
        <w:rPr>
          <w:rFonts w:ascii="Arial" w:cs="Arial" w:eastAsia="Arial" w:hAnsi="Arial"/>
          <w:sz w:val="14"/>
          <w:szCs w:val="14"/>
          <w:color w:val="auto"/>
        </w:rPr>
        <w:t xml:space="preserve"> Smaller Reporting Company </w:t>
      </w:r>
      <w:r>
        <w:rPr>
          <w:rFonts w:ascii="Arial" w:cs="Arial" w:eastAsia="Arial" w:hAnsi="Arial"/>
          <w:sz w:val="15"/>
          <w:szCs w:val="15"/>
          <w:color w:val="auto"/>
        </w:rPr>
        <w:t>o</w:t>
      </w:r>
      <w:r>
        <w:rPr>
          <w:rFonts w:ascii="Arial" w:cs="Arial" w:eastAsia="Arial" w:hAnsi="Arial"/>
          <w:sz w:val="14"/>
          <w:szCs w:val="14"/>
          <w:color w:val="auto"/>
        </w:rPr>
        <w:t xml:space="preserve"> Indicate by check mark whether the registrant is a shell company (as defined in Rule 12b-2 of the Act). Yes </w:t>
      </w:r>
      <w:r>
        <w:rPr>
          <w:rFonts w:ascii="Arial" w:cs="Arial" w:eastAsia="Arial" w:hAnsi="Arial"/>
          <w:sz w:val="15"/>
          <w:szCs w:val="15"/>
          <w:color w:val="auto"/>
        </w:rPr>
        <w:t>o</w:t>
      </w:r>
      <w:r>
        <w:rPr>
          <w:rFonts w:ascii="Arial" w:cs="Arial" w:eastAsia="Arial" w:hAnsi="Arial"/>
          <w:sz w:val="14"/>
          <w:szCs w:val="14"/>
          <w:color w:val="auto"/>
        </w:rPr>
        <w:t xml:space="preserve"> No </w:t>
      </w:r>
      <w:r>
        <w:rPr>
          <w:rFonts w:ascii="Arial" w:cs="Arial" w:eastAsia="Arial" w:hAnsi="Arial"/>
          <w:sz w:val="15"/>
          <w:szCs w:val="15"/>
          <w:color w:val="auto"/>
        </w:rPr>
        <w:t>x</w:t>
      </w:r>
    </w:p>
    <w:p>
      <w:pPr>
        <w:ind w:right="40"/>
        <w:spacing w:after="0" w:line="245" w:lineRule="auto"/>
        <w:rPr>
          <w:sz w:val="20"/>
          <w:szCs w:val="20"/>
          <w:color w:val="auto"/>
        </w:rPr>
      </w:pPr>
      <w:r>
        <w:rPr>
          <w:rFonts w:ascii="Arial" w:cs="Arial" w:eastAsia="Arial" w:hAnsi="Arial"/>
          <w:sz w:val="15"/>
          <w:szCs w:val="15"/>
          <w:color w:val="auto"/>
        </w:rPr>
        <w:t>Aggregate market value of the common stock held by non-affiliates of the registrant: $337,376,333 (28,884,960 shares at the closing price on the New York Stock Exchange of $11.68 on February 26, 2010).</w:t>
      </w:r>
    </w:p>
    <w:p>
      <w:pPr>
        <w:spacing w:after="0" w:line="138" w:lineRule="exact"/>
        <w:rPr>
          <w:sz w:val="24"/>
          <w:szCs w:val="24"/>
          <w:color w:val="auto"/>
        </w:rPr>
      </w:pPr>
    </w:p>
    <w:p>
      <w:pPr>
        <w:spacing w:after="0"/>
        <w:rPr>
          <w:sz w:val="20"/>
          <w:szCs w:val="20"/>
          <w:color w:val="auto"/>
        </w:rPr>
      </w:pPr>
      <w:r>
        <w:rPr>
          <w:rFonts w:ascii="Arial" w:cs="Arial" w:eastAsia="Arial" w:hAnsi="Arial"/>
          <w:sz w:val="15"/>
          <w:szCs w:val="15"/>
          <w:color w:val="auto"/>
        </w:rPr>
        <w:t>Common stock outstanding on October 5, 2010: 29,116,168 shares.</w:t>
      </w:r>
    </w:p>
    <w:p>
      <w:pPr>
        <w:spacing w:after="0" w:line="214"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7" w:lineRule="exact"/>
        <w:rPr>
          <w:sz w:val="24"/>
          <w:szCs w:val="24"/>
          <w:color w:val="auto"/>
        </w:rPr>
      </w:pPr>
    </w:p>
    <w:p>
      <w:pPr>
        <w:ind w:right="580"/>
        <w:spacing w:after="0" w:line="245" w:lineRule="auto"/>
        <w:rPr>
          <w:sz w:val="20"/>
          <w:szCs w:val="20"/>
          <w:color w:val="auto"/>
        </w:rPr>
      </w:pPr>
      <w:r>
        <w:rPr>
          <w:rFonts w:ascii="Arial" w:cs="Arial" w:eastAsia="Arial" w:hAnsi="Arial"/>
          <w:sz w:val="15"/>
          <w:szCs w:val="15"/>
          <w:color w:val="auto"/>
        </w:rPr>
        <w:t>Portions of the registrant's Proxy Statement relating to the registrant's December 2010 Annual Meeting of Shareholders, scheduled to be held December 14, 2010,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149225</wp:posOffset>
            </wp:positionV>
            <wp:extent cx="7259320"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71120</wp:posOffset>
            </wp:positionV>
            <wp:extent cx="72593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40" w:type="dxa"/>
            <w:vAlign w:val="bottom"/>
            <w:gridSpan w:val="9"/>
          </w:tcPr>
          <w:p>
            <w:pPr>
              <w:jc w:val="center"/>
              <w:ind w:right="3220"/>
              <w:spacing w:after="0"/>
              <w:rPr>
                <w:sz w:val="20"/>
                <w:szCs w:val="20"/>
                <w:color w:val="auto"/>
              </w:rPr>
            </w:pPr>
            <w:r>
              <w:rPr>
                <w:rFonts w:ascii="Arial" w:cs="Arial" w:eastAsia="Arial" w:hAnsi="Arial"/>
                <w:sz w:val="20"/>
                <w:szCs w:val="20"/>
                <w:b w:val="1"/>
                <w:bCs w:val="1"/>
                <w:color w:val="auto"/>
                <w:w w:val="98"/>
              </w:rPr>
              <w:t>Winnebago Industries, Inc.</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40" w:type="dxa"/>
            <w:vAlign w:val="bottom"/>
            <w:gridSpan w:val="9"/>
          </w:tcPr>
          <w:p>
            <w:pPr>
              <w:jc w:val="center"/>
              <w:ind w:right="3220"/>
              <w:spacing w:after="0"/>
              <w:rPr>
                <w:sz w:val="20"/>
                <w:szCs w:val="20"/>
                <w:color w:val="auto"/>
              </w:rPr>
            </w:pPr>
            <w:r>
              <w:rPr>
                <w:rFonts w:ascii="Arial" w:cs="Arial" w:eastAsia="Arial" w:hAnsi="Arial"/>
                <w:sz w:val="20"/>
                <w:szCs w:val="20"/>
                <w:b w:val="1"/>
                <w:bCs w:val="1"/>
                <w:color w:val="auto"/>
                <w:w w:val="97"/>
              </w:rPr>
              <w:t>2010 Form 10-K Annual Report</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780" w:type="dxa"/>
            <w:vAlign w:val="bottom"/>
            <w:gridSpan w:val="8"/>
          </w:tcPr>
          <w:p>
            <w:pPr>
              <w:jc w:val="center"/>
              <w:ind w:right="3660"/>
              <w:spacing w:after="0"/>
              <w:rPr>
                <w:sz w:val="20"/>
                <w:szCs w:val="20"/>
                <w:color w:val="auto"/>
              </w:rPr>
            </w:pPr>
            <w:r>
              <w:rPr>
                <w:rFonts w:ascii="Arial" w:cs="Arial" w:eastAsia="Arial" w:hAnsi="Arial"/>
                <w:sz w:val="20"/>
                <w:szCs w:val="20"/>
                <w:b w:val="1"/>
                <w:bCs w:val="1"/>
                <w:color w:val="auto"/>
                <w:w w:val="97"/>
              </w:rPr>
              <w:t>Table of Contents</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2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gridSpan w:val="6"/>
          </w:tcPr>
          <w:p>
            <w:pPr>
              <w:jc w:val="center"/>
              <w:ind w:right="4560"/>
              <w:spacing w:after="0"/>
              <w:rPr>
                <w:sz w:val="20"/>
                <w:szCs w:val="20"/>
                <w:color w:val="auto"/>
              </w:rPr>
            </w:pPr>
            <w:r>
              <w:rPr>
                <w:rFonts w:ascii="Arial" w:cs="Arial" w:eastAsia="Arial" w:hAnsi="Arial"/>
                <w:sz w:val="10"/>
                <w:szCs w:val="10"/>
                <w:color w:val="auto"/>
                <w:w w:val="96"/>
              </w:rPr>
              <w:t>&lt; tr&gt;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20" w:type="dxa"/>
            <w:vAlign w:val="bottom"/>
          </w:tcPr>
          <w:p>
            <w:pPr>
              <w:spacing w:after="0"/>
              <w:rPr>
                <w:sz w:val="22"/>
                <w:szCs w:val="22"/>
                <w:color w:val="auto"/>
              </w:rPr>
            </w:pPr>
          </w:p>
        </w:tc>
        <w:tc>
          <w:tcPr>
            <w:tcW w:w="1260" w:type="dxa"/>
            <w:vAlign w:val="bottom"/>
            <w:gridSpan w:val="5"/>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w:t>
              </w:r>
            </w:hyperlink>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280" w:type="dxa"/>
            <w:vAlign w:val="bottom"/>
            <w:gridSpan w:val="6"/>
          </w:tcPr>
          <w:p>
            <w:pPr>
              <w:spacing w:after="0"/>
              <w:rPr>
                <w:sz w:val="20"/>
                <w:szCs w:val="20"/>
                <w:color w:val="auto"/>
              </w:rPr>
            </w:pPr>
            <w:r>
              <w:rPr>
                <w:rFonts w:ascii="Arial" w:cs="Arial" w:eastAsia="Arial" w:hAnsi="Arial"/>
                <w:sz w:val="16"/>
                <w:szCs w:val="16"/>
                <w:color w:val="auto"/>
              </w:rPr>
              <w:t>Item 1.</w:t>
            </w:r>
          </w:p>
        </w:tc>
        <w:tc>
          <w:tcPr>
            <w:tcW w:w="9160" w:type="dxa"/>
            <w:vAlign w:val="bottom"/>
            <w:gridSpan w:val="20"/>
          </w:tcPr>
          <w:p>
            <w:pPr>
              <w:spacing w:after="0"/>
              <w:rPr>
                <w:sz w:val="20"/>
                <w:szCs w:val="20"/>
                <w:color w:val="auto"/>
              </w:rPr>
            </w:pPr>
            <w:r>
              <w:rPr>
                <w:rFonts w:ascii="Arial" w:cs="Arial" w:eastAsia="Arial" w:hAnsi="Arial"/>
                <w:sz w:val="16"/>
                <w:szCs w:val="16"/>
                <w:color w:val="0000FF"/>
              </w:rPr>
              <w:t>Business</w:t>
            </w:r>
          </w:p>
        </w:tc>
        <w:tc>
          <w:tcPr>
            <w:tcW w:w="980" w:type="dxa"/>
            <w:vAlign w:val="bottom"/>
            <w:gridSpan w:val="5"/>
          </w:tcPr>
          <w:p>
            <w:pPr>
              <w:jc w:val="right"/>
              <w:ind w:right="20"/>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920" w:type="dxa"/>
            <w:vAlign w:val="bottom"/>
            <w:gridSpan w:val="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Risk Factors</w:t>
              </w:r>
            </w:hyperlink>
          </w:p>
        </w:tc>
        <w:tc>
          <w:tcPr>
            <w:tcW w:w="8240" w:type="dxa"/>
            <w:vAlign w:val="bottom"/>
            <w:gridSpan w:val="17"/>
          </w:tcPr>
          <w:p>
            <w:pPr>
              <w:spacing w:after="0"/>
              <w:rPr>
                <w:sz w:val="18"/>
                <w:szCs w:val="18"/>
                <w:color w:val="auto"/>
              </w:rPr>
            </w:pPr>
          </w:p>
        </w:tc>
        <w:tc>
          <w:tcPr>
            <w:tcW w:w="980" w:type="dxa"/>
            <w:vAlign w:val="bottom"/>
            <w:gridSpan w:val="5"/>
          </w:tcPr>
          <w:p>
            <w:pPr>
              <w:jc w:val="right"/>
              <w:ind w:right="20"/>
              <w:spacing w:after="0"/>
              <w:rPr>
                <w:rFonts w:ascii="Arial" w:cs="Arial" w:eastAsia="Arial" w:hAnsi="Arial"/>
                <w:sz w:val="16"/>
                <w:szCs w:val="16"/>
                <w:color w:val="0000FF"/>
              </w:rPr>
            </w:pPr>
            <w:hyperlink w:anchor="page7">
              <w:r>
                <w:rPr>
                  <w:rFonts w:ascii="Arial" w:cs="Arial" w:eastAsia="Arial" w:hAnsi="Arial"/>
                  <w:sz w:val="16"/>
                  <w:szCs w:val="16"/>
                  <w:color w:val="0000FF"/>
                </w:rPr>
                <w:t>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9160" w:type="dxa"/>
            <w:vAlign w:val="bottom"/>
            <w:gridSpan w:val="20"/>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Unresolved Staff Comments</w:t>
              </w:r>
            </w:hyperlink>
          </w:p>
        </w:tc>
        <w:tc>
          <w:tcPr>
            <w:tcW w:w="980" w:type="dxa"/>
            <w:vAlign w:val="bottom"/>
            <w:gridSpan w:val="5"/>
          </w:tcPr>
          <w:p>
            <w:pPr>
              <w:jc w:val="right"/>
              <w:ind w:right="20"/>
              <w:spacing w:after="0"/>
              <w:rPr>
                <w:rFonts w:ascii="Arial" w:cs="Arial" w:eastAsia="Arial" w:hAnsi="Arial"/>
                <w:sz w:val="16"/>
                <w:szCs w:val="16"/>
                <w:color w:val="0000FF"/>
              </w:rPr>
            </w:pPr>
            <w:hyperlink w:anchor="page10">
              <w:r>
                <w:rPr>
                  <w:rFonts w:ascii="Arial" w:cs="Arial" w:eastAsia="Arial" w:hAnsi="Arial"/>
                  <w:sz w:val="16"/>
                  <w:szCs w:val="16"/>
                  <w:color w:val="0000FF"/>
                </w:rPr>
                <w:t>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2.</w:t>
            </w:r>
          </w:p>
        </w:tc>
        <w:tc>
          <w:tcPr>
            <w:tcW w:w="760" w:type="dxa"/>
            <w:vAlign w:val="bottom"/>
            <w:gridSpan w:val="2"/>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Properties</w:t>
              </w:r>
            </w:hyperlink>
          </w:p>
        </w:tc>
        <w:tc>
          <w:tcPr>
            <w:tcW w:w="1280" w:type="dxa"/>
            <w:vAlign w:val="bottom"/>
            <w:gridSpan w:val="7"/>
          </w:tcPr>
          <w:p>
            <w:pPr>
              <w:spacing w:after="0"/>
              <w:rPr>
                <w:sz w:val="18"/>
                <w:szCs w:val="18"/>
                <w:color w:val="auto"/>
              </w:rPr>
            </w:pPr>
          </w:p>
        </w:tc>
        <w:tc>
          <w:tcPr>
            <w:tcW w:w="7120" w:type="dxa"/>
            <w:vAlign w:val="bottom"/>
            <w:gridSpan w:val="11"/>
          </w:tcPr>
          <w:p>
            <w:pPr>
              <w:spacing w:after="0"/>
              <w:rPr>
                <w:sz w:val="18"/>
                <w:szCs w:val="18"/>
                <w:color w:val="auto"/>
              </w:rPr>
            </w:pPr>
          </w:p>
        </w:tc>
        <w:tc>
          <w:tcPr>
            <w:tcW w:w="980" w:type="dxa"/>
            <w:vAlign w:val="bottom"/>
            <w:gridSpan w:val="5"/>
          </w:tcPr>
          <w:p>
            <w:pPr>
              <w:jc w:val="right"/>
              <w:ind w:right="20"/>
              <w:spacing w:after="0"/>
              <w:rPr>
                <w:rFonts w:ascii="Arial" w:cs="Arial" w:eastAsia="Arial" w:hAnsi="Arial"/>
                <w:sz w:val="16"/>
                <w:szCs w:val="16"/>
                <w:color w:val="0000FF"/>
              </w:rPr>
            </w:pPr>
            <w:hyperlink w:anchor="page10">
              <w:r>
                <w:rPr>
                  <w:rFonts w:ascii="Arial" w:cs="Arial" w:eastAsia="Arial" w:hAnsi="Arial"/>
                  <w:sz w:val="16"/>
                  <w:szCs w:val="16"/>
                  <w:color w:val="0000FF"/>
                </w:rPr>
                <w:t>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3.</w:t>
            </w:r>
          </w:p>
        </w:tc>
        <w:tc>
          <w:tcPr>
            <w:tcW w:w="9160" w:type="dxa"/>
            <w:vAlign w:val="bottom"/>
            <w:gridSpan w:val="20"/>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Legal Proceedings</w:t>
              </w:r>
            </w:hyperlink>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9</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Borders>
              <w:bottom w:val="single" w:sz="8" w:color="0000FF"/>
            </w:tcBorders>
            <w:gridSpan w:val="4"/>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gridSpan w:val="5"/>
          </w:tcPr>
          <w:p>
            <w:pPr>
              <w:spacing w:after="0" w:line="173" w:lineRule="exact"/>
              <w:rPr>
                <w:sz w:val="20"/>
                <w:szCs w:val="20"/>
                <w:color w:val="auto"/>
              </w:rPr>
            </w:pPr>
            <w:r>
              <w:rPr>
                <w:rFonts w:ascii="Arial" w:cs="Arial" w:eastAsia="Arial" w:hAnsi="Arial"/>
                <w:sz w:val="16"/>
                <w:szCs w:val="16"/>
                <w:color w:val="auto"/>
              </w:rPr>
              <w:t>Item 4.</w:t>
            </w:r>
          </w:p>
        </w:tc>
        <w:tc>
          <w:tcPr>
            <w:tcW w:w="9160" w:type="dxa"/>
            <w:vAlign w:val="bottom"/>
            <w:gridSpan w:val="20"/>
          </w:tcPr>
          <w:p>
            <w:pPr>
              <w:spacing w:after="0" w:line="173" w:lineRule="exact"/>
              <w:rPr>
                <w:rFonts w:ascii="Arial" w:cs="Arial" w:eastAsia="Arial" w:hAnsi="Arial"/>
                <w:sz w:val="16"/>
                <w:szCs w:val="16"/>
                <w:color w:val="0000EE"/>
              </w:rPr>
            </w:pPr>
            <w:hyperlink w:anchor="page11">
              <w:r>
                <w:rPr>
                  <w:rFonts w:ascii="Arial" w:cs="Arial" w:eastAsia="Arial" w:hAnsi="Arial"/>
                  <w:sz w:val="16"/>
                  <w:szCs w:val="16"/>
                  <w:color w:val="0000EE"/>
                </w:rPr>
                <w:t>(Removed and Reserved)</w:t>
              </w:r>
            </w:hyperlink>
          </w:p>
        </w:tc>
        <w:tc>
          <w:tcPr>
            <w:tcW w:w="980" w:type="dxa"/>
            <w:vAlign w:val="bottom"/>
            <w:gridSpan w:val="5"/>
          </w:tcPr>
          <w:p>
            <w:pPr>
              <w:jc w:val="right"/>
              <w:ind w:right="20"/>
              <w:spacing w:after="0" w:line="173" w:lineRule="exact"/>
              <w:rPr>
                <w:rFonts w:ascii="Arial" w:cs="Arial" w:eastAsia="Arial" w:hAnsi="Arial"/>
                <w:sz w:val="16"/>
                <w:szCs w:val="16"/>
                <w:color w:val="0000FF"/>
              </w:rPr>
            </w:pPr>
            <w:hyperlink w:anchor="page11">
              <w:r>
                <w:rPr>
                  <w:rFonts w:ascii="Arial" w:cs="Arial" w:eastAsia="Arial" w:hAnsi="Arial"/>
                  <w:sz w:val="16"/>
                  <w:szCs w:val="16"/>
                  <w:color w:val="0000FF"/>
                </w:rPr>
                <w:t>9</w:t>
              </w:r>
            </w:hyperlink>
          </w:p>
        </w:tc>
        <w:tc>
          <w:tcPr>
            <w:tcW w:w="20" w:type="dxa"/>
            <w:vAlign w:val="bottom"/>
          </w:tcPr>
          <w:p>
            <w:pPr>
              <w:spacing w:after="0"/>
              <w:rPr>
                <w:sz w:val="15"/>
                <w:szCs w:val="15"/>
                <w:color w:val="auto"/>
              </w:rPr>
            </w:pPr>
          </w:p>
        </w:tc>
      </w:tr>
      <w:tr>
        <w:trPr>
          <w:trHeight w:val="483"/>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rFonts w:ascii="Arial" w:cs="Arial" w:eastAsia="Arial" w:hAnsi="Arial"/>
                <w:sz w:val="16"/>
                <w:szCs w:val="16"/>
                <w:b w:val="1"/>
                <w:bCs w:val="1"/>
                <w:color w:val="0000FF"/>
                <w:w w:val="98"/>
              </w:rPr>
            </w:pPr>
            <w:hyperlink w:anchor="page11">
              <w:r>
                <w:rPr>
                  <w:rFonts w:ascii="Arial" w:cs="Arial" w:eastAsia="Arial" w:hAnsi="Arial"/>
                  <w:sz w:val="16"/>
                  <w:szCs w:val="16"/>
                  <w:b w:val="1"/>
                  <w:bCs w:val="1"/>
                  <w:color w:val="0000FF"/>
                  <w:w w:val="98"/>
                </w:rPr>
                <w:t>PART II</w:t>
              </w:r>
            </w:hyperlink>
          </w:p>
        </w:tc>
        <w:tc>
          <w:tcPr>
            <w:tcW w:w="680" w:type="dxa"/>
            <w:vAlign w:val="bottom"/>
            <w:gridSpan w:val="3"/>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5.</w:t>
            </w:r>
          </w:p>
        </w:tc>
        <w:tc>
          <w:tcPr>
            <w:tcW w:w="6080" w:type="dxa"/>
            <w:vAlign w:val="bottom"/>
            <w:tcBorders>
              <w:bottom w:val="single" w:sz="8" w:color="0000FF"/>
            </w:tcBorders>
            <w:gridSpan w:val="16"/>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Market for the Registrant's Common Equity, Related Stockholder Matters and Issuer</w:t>
              </w:r>
            </w:hyperlink>
          </w:p>
        </w:tc>
        <w:tc>
          <w:tcPr>
            <w:tcW w:w="3080" w:type="dxa"/>
            <w:vAlign w:val="bottom"/>
            <w:gridSpan w:val="4"/>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160" w:type="dxa"/>
            <w:vAlign w:val="bottom"/>
            <w:gridSpan w:val="20"/>
          </w:tcPr>
          <w:p>
            <w:pPr>
              <w:spacing w:after="0" w:line="164" w:lineRule="exact"/>
              <w:rPr>
                <w:rFonts w:ascii="Arial" w:cs="Arial" w:eastAsia="Arial" w:hAnsi="Arial"/>
                <w:sz w:val="16"/>
                <w:szCs w:val="16"/>
                <w:color w:val="0000FF"/>
              </w:rPr>
            </w:pPr>
            <w:hyperlink w:anchor="page11">
              <w:r>
                <w:rPr>
                  <w:rFonts w:ascii="Arial" w:cs="Arial" w:eastAsia="Arial" w:hAnsi="Arial"/>
                  <w:sz w:val="16"/>
                  <w:szCs w:val="16"/>
                  <w:color w:val="0000FF"/>
                </w:rPr>
                <w:t>Purchases of Equity Securities</w:t>
              </w:r>
            </w:hyperlink>
          </w:p>
        </w:tc>
        <w:tc>
          <w:tcPr>
            <w:tcW w:w="980" w:type="dxa"/>
            <w:vAlign w:val="bottom"/>
            <w:gridSpan w:val="5"/>
          </w:tcPr>
          <w:p>
            <w:pPr>
              <w:jc w:val="right"/>
              <w:ind w:right="20"/>
              <w:spacing w:after="0" w:line="164" w:lineRule="exact"/>
              <w:rPr>
                <w:rFonts w:ascii="Arial" w:cs="Arial" w:eastAsia="Arial" w:hAnsi="Arial"/>
                <w:sz w:val="16"/>
                <w:szCs w:val="16"/>
                <w:color w:val="0000FF"/>
              </w:rPr>
            </w:pPr>
            <w:hyperlink w:anchor="page11">
              <w:r>
                <w:rPr>
                  <w:rFonts w:ascii="Arial" w:cs="Arial" w:eastAsia="Arial" w:hAnsi="Arial"/>
                  <w:sz w:val="16"/>
                  <w:szCs w:val="16"/>
                  <w:color w:val="0000FF"/>
                </w:rPr>
                <w:t>9</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6.</w:t>
            </w:r>
          </w:p>
        </w:tc>
        <w:tc>
          <w:tcPr>
            <w:tcW w:w="1740" w:type="dxa"/>
            <w:vAlign w:val="bottom"/>
            <w:gridSpan w:val="6"/>
          </w:tcPr>
          <w:p>
            <w:pPr>
              <w:spacing w:after="0"/>
              <w:rPr>
                <w:rFonts w:ascii="Arial" w:cs="Arial" w:eastAsia="Arial" w:hAnsi="Arial"/>
                <w:sz w:val="16"/>
                <w:szCs w:val="16"/>
                <w:color w:val="0000FF"/>
              </w:rPr>
            </w:pPr>
            <w:hyperlink w:anchor="page13">
              <w:r>
                <w:rPr>
                  <w:rFonts w:ascii="Arial" w:cs="Arial" w:eastAsia="Arial" w:hAnsi="Arial"/>
                  <w:sz w:val="16"/>
                  <w:szCs w:val="16"/>
                  <w:color w:val="0000FF"/>
                </w:rPr>
                <w:t>Selected Financial Data</w:t>
              </w:r>
            </w:hyperlink>
          </w:p>
        </w:tc>
        <w:tc>
          <w:tcPr>
            <w:tcW w:w="480" w:type="dxa"/>
            <w:vAlign w:val="bottom"/>
            <w:gridSpan w:val="4"/>
          </w:tcPr>
          <w:p>
            <w:pPr>
              <w:spacing w:after="0"/>
              <w:rPr>
                <w:sz w:val="18"/>
                <w:szCs w:val="18"/>
                <w:color w:val="auto"/>
              </w:rPr>
            </w:pPr>
          </w:p>
        </w:tc>
        <w:tc>
          <w:tcPr>
            <w:tcW w:w="6940" w:type="dxa"/>
            <w:vAlign w:val="bottom"/>
            <w:gridSpan w:val="10"/>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13">
              <w:r>
                <w:rPr>
                  <w:rFonts w:ascii="Arial" w:cs="Arial" w:eastAsia="Arial" w:hAnsi="Arial"/>
                  <w:sz w:val="16"/>
                  <w:szCs w:val="16"/>
                  <w:color w:val="0000FF"/>
                  <w:w w:val="78"/>
                </w:rPr>
                <w:t>11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7.</w:t>
            </w:r>
          </w:p>
        </w:tc>
        <w:tc>
          <w:tcPr>
            <w:tcW w:w="6440" w:type="dxa"/>
            <w:vAlign w:val="bottom"/>
            <w:gridSpan w:val="17"/>
          </w:tcPr>
          <w:p>
            <w:pPr>
              <w:spacing w:after="0"/>
              <w:rPr>
                <w:rFonts w:ascii="Arial" w:cs="Arial" w:eastAsia="Arial" w:hAnsi="Arial"/>
                <w:sz w:val="16"/>
                <w:szCs w:val="16"/>
                <w:color w:val="0000FF"/>
              </w:rPr>
            </w:pPr>
            <w:hyperlink w:anchor="page13">
              <w:r>
                <w:rPr>
                  <w:rFonts w:ascii="Arial" w:cs="Arial" w:eastAsia="Arial" w:hAnsi="Arial"/>
                  <w:sz w:val="16"/>
                  <w:szCs w:val="16"/>
                  <w:color w:val="0000FF"/>
                </w:rPr>
                <w:t>Management's Discussion and Analysis of Financial Condition and Results of Operations</w:t>
              </w:r>
            </w:hyperlink>
          </w:p>
        </w:tc>
        <w:tc>
          <w:tcPr>
            <w:tcW w:w="2720" w:type="dxa"/>
            <w:vAlign w:val="bottom"/>
            <w:gridSpan w:val="3"/>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13">
              <w:r>
                <w:rPr>
                  <w:rFonts w:ascii="Arial" w:cs="Arial" w:eastAsia="Arial" w:hAnsi="Arial"/>
                  <w:sz w:val="16"/>
                  <w:szCs w:val="16"/>
                  <w:color w:val="0000FF"/>
                  <w:w w:val="78"/>
                </w:rPr>
                <w:t>12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6440" w:type="dxa"/>
            <w:vAlign w:val="bottom"/>
            <w:gridSpan w:val="17"/>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Quantitative and Qualitative Disclosures About Market Risk</w:t>
              </w:r>
            </w:hyperlink>
          </w:p>
        </w:tc>
        <w:tc>
          <w:tcPr>
            <w:tcW w:w="2720" w:type="dxa"/>
            <w:vAlign w:val="bottom"/>
            <w:gridSpan w:val="3"/>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25">
              <w:r>
                <w:rPr>
                  <w:rFonts w:ascii="Arial" w:cs="Arial" w:eastAsia="Arial" w:hAnsi="Arial"/>
                  <w:sz w:val="16"/>
                  <w:szCs w:val="16"/>
                  <w:color w:val="0000FF"/>
                  <w:w w:val="78"/>
                </w:rPr>
                <w:t>23</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8.</w:t>
            </w:r>
          </w:p>
        </w:tc>
        <w:tc>
          <w:tcPr>
            <w:tcW w:w="4280" w:type="dxa"/>
            <w:vAlign w:val="bottom"/>
            <w:gridSpan w:val="14"/>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Financial Statements and Supplementary Data</w:t>
              </w:r>
            </w:hyperlink>
          </w:p>
        </w:tc>
        <w:tc>
          <w:tcPr>
            <w:tcW w:w="4880" w:type="dxa"/>
            <w:vAlign w:val="bottom"/>
            <w:gridSpan w:val="6"/>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25">
              <w:r>
                <w:rPr>
                  <w:rFonts w:ascii="Arial" w:cs="Arial" w:eastAsia="Arial" w:hAnsi="Arial"/>
                  <w:sz w:val="16"/>
                  <w:szCs w:val="16"/>
                  <w:color w:val="0000FF"/>
                  <w:w w:val="78"/>
                </w:rPr>
                <w:t>23</w:t>
              </w:r>
            </w:hyperlink>
          </w:p>
        </w:tc>
        <w:tc>
          <w:tcPr>
            <w:tcW w:w="20" w:type="dxa"/>
            <w:vAlign w:val="bottom"/>
          </w:tcPr>
          <w:p>
            <w:pPr>
              <w:spacing w:after="0"/>
              <w:rPr>
                <w:sz w:val="18"/>
                <w:szCs w:val="18"/>
                <w:color w:val="auto"/>
              </w:rPr>
            </w:pPr>
          </w:p>
        </w:tc>
      </w:tr>
      <w:tr>
        <w:trPr>
          <w:trHeight w:val="20"/>
        </w:trPr>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280" w:type="dxa"/>
            <w:vAlign w:val="bottom"/>
            <w:gridSpan w:val="6"/>
          </w:tcPr>
          <w:p>
            <w:pPr>
              <w:spacing w:after="0"/>
              <w:rPr>
                <w:sz w:val="20"/>
                <w:szCs w:val="20"/>
                <w:color w:val="auto"/>
              </w:rPr>
            </w:pPr>
            <w:r>
              <w:rPr>
                <w:rFonts w:ascii="Arial" w:cs="Arial" w:eastAsia="Arial" w:hAnsi="Arial"/>
                <w:sz w:val="16"/>
                <w:szCs w:val="16"/>
                <w:color w:val="auto"/>
              </w:rPr>
              <w:t>Item 9.</w:t>
            </w:r>
          </w:p>
        </w:tc>
        <w:tc>
          <w:tcPr>
            <w:tcW w:w="6500" w:type="dxa"/>
            <w:vAlign w:val="bottom"/>
            <w:gridSpan w:val="18"/>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Changes In and Disagreements with Accountants on Accounting and Financial Disclosure</w:t>
              </w:r>
            </w:hyperlink>
          </w:p>
        </w:tc>
        <w:tc>
          <w:tcPr>
            <w:tcW w:w="266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8">
              <w:r>
                <w:rPr>
                  <w:rFonts w:ascii="Arial" w:cs="Arial" w:eastAsia="Arial" w:hAnsi="Arial"/>
                  <w:sz w:val="16"/>
                  <w:szCs w:val="16"/>
                  <w:color w:val="0000FF"/>
                  <w:w w:val="78"/>
                </w:rPr>
                <w:t>47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1820" w:type="dxa"/>
            <w:vAlign w:val="bottom"/>
            <w:gridSpan w:val="7"/>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Controls and Procedures</w:t>
              </w:r>
            </w:hyperlink>
          </w:p>
        </w:tc>
        <w:tc>
          <w:tcPr>
            <w:tcW w:w="4680" w:type="dxa"/>
            <w:vAlign w:val="bottom"/>
            <w:gridSpan w:val="11"/>
          </w:tcPr>
          <w:p>
            <w:pPr>
              <w:spacing w:after="0"/>
              <w:rPr>
                <w:sz w:val="18"/>
                <w:szCs w:val="18"/>
                <w:color w:val="auto"/>
              </w:rPr>
            </w:pPr>
          </w:p>
        </w:tc>
        <w:tc>
          <w:tcPr>
            <w:tcW w:w="266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1820" w:type="dxa"/>
            <w:vAlign w:val="bottom"/>
            <w:gridSpan w:val="7"/>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Other Information</w:t>
              </w:r>
            </w:hyperlink>
          </w:p>
        </w:tc>
        <w:tc>
          <w:tcPr>
            <w:tcW w:w="7340" w:type="dxa"/>
            <w:vAlign w:val="bottom"/>
            <w:gridSpan w:val="13"/>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47</w:t>
              </w:r>
            </w:hyperlink>
          </w:p>
        </w:tc>
        <w:tc>
          <w:tcPr>
            <w:tcW w:w="20" w:type="dxa"/>
            <w:vAlign w:val="bottom"/>
          </w:tcPr>
          <w:p>
            <w:pPr>
              <w:spacing w:after="0"/>
              <w:rPr>
                <w:sz w:val="18"/>
                <w:szCs w:val="18"/>
                <w:color w:val="auto"/>
              </w:rPr>
            </w:pPr>
          </w:p>
        </w:tc>
      </w:tr>
      <w:tr>
        <w:trPr>
          <w:trHeight w:val="483"/>
        </w:trPr>
        <w:tc>
          <w:tcPr>
            <w:tcW w:w="20" w:type="dxa"/>
            <w:vAlign w:val="bottom"/>
          </w:tcPr>
          <w:p>
            <w:pPr>
              <w:spacing w:after="0"/>
              <w:rPr>
                <w:sz w:val="24"/>
                <w:szCs w:val="24"/>
                <w:color w:val="auto"/>
              </w:rPr>
            </w:pPr>
          </w:p>
        </w:tc>
        <w:tc>
          <w:tcPr>
            <w:tcW w:w="620" w:type="dxa"/>
            <w:vAlign w:val="bottom"/>
            <w:tcBorders>
              <w:bottom w:val="single" w:sz="8" w:color="0000FF"/>
            </w:tcBorders>
            <w:gridSpan w:val="3"/>
          </w:tcPr>
          <w:p>
            <w:pPr>
              <w:spacing w:after="0"/>
              <w:rPr>
                <w:rFonts w:ascii="Arial" w:cs="Arial" w:eastAsia="Arial" w:hAnsi="Arial"/>
                <w:sz w:val="16"/>
                <w:szCs w:val="16"/>
                <w:b w:val="1"/>
                <w:bCs w:val="1"/>
                <w:color w:val="0000FF"/>
                <w:w w:val="97"/>
              </w:rPr>
            </w:pPr>
            <w:hyperlink w:anchor="page49">
              <w:r>
                <w:rPr>
                  <w:rFonts w:ascii="Arial" w:cs="Arial" w:eastAsia="Arial" w:hAnsi="Arial"/>
                  <w:sz w:val="16"/>
                  <w:szCs w:val="16"/>
                  <w:b w:val="1"/>
                  <w:bCs w:val="1"/>
                  <w:color w:val="0000FF"/>
                  <w:w w:val="97"/>
                </w:rPr>
                <w:t>PART III</w:t>
              </w:r>
            </w:hyperlink>
          </w:p>
        </w:tc>
        <w:tc>
          <w:tcPr>
            <w:tcW w:w="64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10.</w:t>
            </w:r>
          </w:p>
        </w:tc>
        <w:tc>
          <w:tcPr>
            <w:tcW w:w="4100" w:type="dxa"/>
            <w:vAlign w:val="bottom"/>
            <w:gridSpan w:val="13"/>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Directors, Executive Officers and Corporate Governance</w:t>
              </w:r>
            </w:hyperlink>
          </w:p>
        </w:tc>
        <w:tc>
          <w:tcPr>
            <w:tcW w:w="5060" w:type="dxa"/>
            <w:vAlign w:val="bottom"/>
            <w:gridSpan w:val="7"/>
          </w:tcPr>
          <w:p>
            <w:pPr>
              <w:spacing w:after="0"/>
              <w:rPr>
                <w:sz w:val="19"/>
                <w:szCs w:val="19"/>
                <w:color w:val="auto"/>
              </w:rPr>
            </w:pPr>
          </w:p>
        </w:tc>
        <w:tc>
          <w:tcPr>
            <w:tcW w:w="800" w:type="dxa"/>
            <w:vAlign w:val="bottom"/>
            <w:gridSpan w:val="2"/>
          </w:tcPr>
          <w:p>
            <w:pPr>
              <w:spacing w:after="0"/>
              <w:rPr>
                <w:sz w:val="19"/>
                <w:szCs w:val="19"/>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47</w:t>
              </w:r>
            </w:hyperlink>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1820" w:type="dxa"/>
            <w:vAlign w:val="bottom"/>
            <w:gridSpan w:val="7"/>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Executive Compensation</w:t>
              </w:r>
            </w:hyperlink>
          </w:p>
        </w:tc>
        <w:tc>
          <w:tcPr>
            <w:tcW w:w="2280" w:type="dxa"/>
            <w:vAlign w:val="bottom"/>
            <w:gridSpan w:val="6"/>
          </w:tcPr>
          <w:p>
            <w:pPr>
              <w:spacing w:after="0"/>
              <w:rPr>
                <w:sz w:val="18"/>
                <w:szCs w:val="18"/>
                <w:color w:val="auto"/>
              </w:rPr>
            </w:pPr>
          </w:p>
        </w:tc>
        <w:tc>
          <w:tcPr>
            <w:tcW w:w="5060" w:type="dxa"/>
            <w:vAlign w:val="bottom"/>
            <w:gridSpan w:val="7"/>
          </w:tcPr>
          <w:p>
            <w:pPr>
              <w:spacing w:after="0"/>
              <w:rPr>
                <w:sz w:val="18"/>
                <w:szCs w:val="18"/>
                <w:color w:val="auto"/>
              </w:rPr>
            </w:pPr>
          </w:p>
        </w:tc>
        <w:tc>
          <w:tcPr>
            <w:tcW w:w="800" w:type="dxa"/>
            <w:vAlign w:val="bottom"/>
            <w:gridSpan w:val="2"/>
          </w:tcPr>
          <w:p>
            <w:pPr>
              <w:spacing w:after="0"/>
              <w:rPr>
                <w:sz w:val="18"/>
                <w:szCs w:val="18"/>
                <w:color w:val="auto"/>
              </w:rPr>
            </w:pPr>
          </w:p>
        </w:tc>
        <w:tc>
          <w:tcPr>
            <w:tcW w:w="200" w:type="dxa"/>
            <w:vAlign w:val="bottom"/>
            <w:gridSpan w:val="4"/>
          </w:tcPr>
          <w:p>
            <w:pPr>
              <w:jc w:val="right"/>
              <w:spacing w:after="0"/>
              <w:rPr>
                <w:rFonts w:ascii="Arial" w:cs="Arial" w:eastAsia="Arial" w:hAnsi="Arial"/>
                <w:sz w:val="16"/>
                <w:szCs w:val="16"/>
                <w:color w:val="0000FF"/>
              </w:rPr>
            </w:pPr>
            <w:hyperlink w:anchor="page49">
              <w:r>
                <w:rPr>
                  <w:rFonts w:ascii="Arial" w:cs="Arial" w:eastAsia="Arial" w:hAnsi="Arial"/>
                  <w:sz w:val="16"/>
                  <w:szCs w:val="16"/>
                  <w:color w:val="0000FF"/>
                </w:rPr>
                <w:t>47</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9160" w:type="dxa"/>
            <w:vAlign w:val="bottom"/>
            <w:gridSpan w:val="20"/>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Security Ownership of Certain Beneficial Owners and Management and Related Stockholder Matters</w:t>
              </w:r>
            </w:hyperlink>
          </w:p>
        </w:tc>
        <w:tc>
          <w:tcPr>
            <w:tcW w:w="1000" w:type="dxa"/>
            <w:vAlign w:val="bottom"/>
            <w:gridSpan w:val="6"/>
          </w:tcPr>
          <w:p>
            <w:pPr>
              <w:jc w:val="right"/>
              <w:spacing w:after="0"/>
              <w:rPr>
                <w:rFonts w:ascii="Arial" w:cs="Arial" w:eastAsia="Arial" w:hAnsi="Arial"/>
                <w:sz w:val="16"/>
                <w:szCs w:val="16"/>
                <w:color w:val="0000FF"/>
              </w:rPr>
            </w:pPr>
            <w:hyperlink w:anchor="page50">
              <w:r>
                <w:rPr>
                  <w:rFonts w:ascii="Arial" w:cs="Arial" w:eastAsia="Arial" w:hAnsi="Arial"/>
                  <w:sz w:val="16"/>
                  <w:szCs w:val="16"/>
                  <w:color w:val="0000FF"/>
                </w:rPr>
                <w:t>48</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20" w:type="dxa"/>
            <w:vAlign w:val="bottom"/>
            <w:tcBorders>
              <w:right w:val="single" w:sz="8" w:color="0000FF"/>
            </w:tcBorders>
            <w:gridSpan w:val="11"/>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5480" w:type="dxa"/>
            <w:vAlign w:val="bottom"/>
            <w:gridSpan w:val="15"/>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Certain Relationships and Related Transactions and Director Independence</w:t>
              </w:r>
            </w:hyperlink>
          </w:p>
        </w:tc>
        <w:tc>
          <w:tcPr>
            <w:tcW w:w="1800" w:type="dxa"/>
            <w:vAlign w:val="bottom"/>
            <w:gridSpan w:val="4"/>
          </w:tcPr>
          <w:p>
            <w:pPr>
              <w:spacing w:after="0"/>
              <w:rPr>
                <w:sz w:val="18"/>
                <w:szCs w:val="18"/>
                <w:color w:val="auto"/>
              </w:rPr>
            </w:pPr>
          </w:p>
        </w:tc>
        <w:tc>
          <w:tcPr>
            <w:tcW w:w="18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48</w:t>
              </w:r>
            </w:hyperlink>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5480" w:type="dxa"/>
            <w:vAlign w:val="bottom"/>
            <w:tcBorders>
              <w:top w:val="single" w:sz="8" w:color="0000FF"/>
            </w:tcBorders>
            <w:gridSpan w:val="15"/>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Principal Accounting Fees and Services</w:t>
              </w:r>
            </w:hyperlink>
          </w:p>
        </w:tc>
        <w:tc>
          <w:tcPr>
            <w:tcW w:w="3680" w:type="dxa"/>
            <w:vAlign w:val="bottom"/>
            <w:gridSpan w:val="5"/>
          </w:tcPr>
          <w:p>
            <w:pPr>
              <w:spacing w:after="0"/>
              <w:rPr>
                <w:sz w:val="18"/>
                <w:szCs w:val="18"/>
                <w:color w:val="auto"/>
              </w:rPr>
            </w:pPr>
          </w:p>
        </w:tc>
        <w:tc>
          <w:tcPr>
            <w:tcW w:w="800" w:type="dxa"/>
            <w:vAlign w:val="bottom"/>
            <w:gridSpan w:val="2"/>
          </w:tcPr>
          <w:p>
            <w:pPr>
              <w:jc w:val="right"/>
              <w:ind w:right="620"/>
              <w:spacing w:after="0"/>
              <w:rPr>
                <w:rFonts w:ascii="Arial" w:cs="Arial" w:eastAsia="Arial" w:hAnsi="Arial"/>
                <w:sz w:val="16"/>
                <w:szCs w:val="16"/>
                <w:color w:val="0000FF"/>
                <w:w w:val="89"/>
              </w:rPr>
            </w:pPr>
            <w:hyperlink w:anchor="page50">
              <w:r>
                <w:rPr>
                  <w:rFonts w:ascii="Arial" w:cs="Arial" w:eastAsia="Arial" w:hAnsi="Arial"/>
                  <w:sz w:val="16"/>
                  <w:szCs w:val="16"/>
                  <w:color w:val="0000FF"/>
                  <w:w w:val="89"/>
                </w:rPr>
                <w:t>48</w:t>
              </w:r>
            </w:hyperlink>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3"/>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rFonts w:ascii="Arial" w:cs="Arial" w:eastAsia="Arial" w:hAnsi="Arial"/>
                <w:sz w:val="16"/>
                <w:szCs w:val="16"/>
                <w:b w:val="1"/>
                <w:bCs w:val="1"/>
                <w:color w:val="0000FF"/>
                <w:w w:val="98"/>
              </w:rPr>
            </w:pPr>
            <w:hyperlink w:anchor="page50">
              <w:r>
                <w:rPr>
                  <w:rFonts w:ascii="Arial" w:cs="Arial" w:eastAsia="Arial" w:hAnsi="Arial"/>
                  <w:sz w:val="16"/>
                  <w:szCs w:val="16"/>
                  <w:b w:val="1"/>
                  <w:bCs w:val="1"/>
                  <w:color w:val="0000FF"/>
                  <w:w w:val="98"/>
                </w:rPr>
                <w:t>PART IV</w:t>
              </w:r>
            </w:hyperlink>
          </w:p>
        </w:tc>
        <w:tc>
          <w:tcPr>
            <w:tcW w:w="6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1260" w:type="dxa"/>
            <w:vAlign w:val="bottom"/>
            <w:gridSpan w:val="5"/>
          </w:tcPr>
          <w:p>
            <w:pPr>
              <w:spacing w:after="0"/>
              <w:rPr>
                <w:sz w:val="20"/>
                <w:szCs w:val="20"/>
                <w:color w:val="auto"/>
              </w:rPr>
            </w:pPr>
            <w:r>
              <w:rPr>
                <w:rFonts w:ascii="Arial" w:cs="Arial" w:eastAsia="Arial" w:hAnsi="Arial"/>
                <w:sz w:val="16"/>
                <w:szCs w:val="16"/>
                <w:color w:val="auto"/>
              </w:rPr>
              <w:t>Item 15.</w:t>
            </w:r>
          </w:p>
        </w:tc>
        <w:tc>
          <w:tcPr>
            <w:tcW w:w="9160" w:type="dxa"/>
            <w:vAlign w:val="bottom"/>
            <w:gridSpan w:val="20"/>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Exhibits, Financial Statement Schedules</w:t>
              </w:r>
            </w:hyperlink>
          </w:p>
        </w:tc>
        <w:tc>
          <w:tcPr>
            <w:tcW w:w="980" w:type="dxa"/>
            <w:vAlign w:val="bottom"/>
            <w:gridSpan w:val="5"/>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48</w:t>
              </w:r>
            </w:hyperlink>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440"/>
          </w:cols>
          <w:pgMar w:left="240" w:top="122" w:right="219" w:bottom="1440" w:gutter="0" w:footer="0" w:header="0"/>
        </w:sectPr>
      </w:pPr>
    </w:p>
    <w:bookmarkStart w:id="2" w:name="page3"/>
    <w:bookmarkEnd w:id="2"/>
    <w:p>
      <w:pPr>
        <w:ind w:left="26"/>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62"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WINNEBAGO INDUSTRIES, INC.</w:t>
      </w:r>
    </w:p>
    <w:p>
      <w:pPr>
        <w:spacing w:after="0" w:line="179"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FORM 10-K</w:t>
      </w:r>
    </w:p>
    <w:p>
      <w:pPr>
        <w:spacing w:after="0" w:line="159"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Report for the Fiscal Year Ended August 28, 2010</w:t>
      </w:r>
    </w:p>
    <w:p>
      <w:pPr>
        <w:spacing w:after="0" w:line="139"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Forward-Looking Information</w:t>
      </w:r>
    </w:p>
    <w:p>
      <w:pPr>
        <w:spacing w:after="0" w:line="179" w:lineRule="exact"/>
        <w:rPr>
          <w:sz w:val="20"/>
          <w:szCs w:val="20"/>
          <w:color w:val="auto"/>
        </w:rPr>
      </w:pPr>
    </w:p>
    <w:p>
      <w:pPr>
        <w:ind w:left="26" w:right="40"/>
        <w:spacing w:after="0" w:line="257"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230"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PART I</w:t>
      </w:r>
    </w:p>
    <w:p>
      <w:pPr>
        <w:spacing w:after="0" w:line="123"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Business</w:t>
      </w:r>
    </w:p>
    <w:p>
      <w:pPr>
        <w:spacing w:after="0" w:line="270"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General</w:t>
      </w:r>
    </w:p>
    <w:p>
      <w:pPr>
        <w:spacing w:after="0" w:line="179" w:lineRule="exact"/>
        <w:rPr>
          <w:sz w:val="20"/>
          <w:szCs w:val="20"/>
          <w:color w:val="auto"/>
        </w:rPr>
      </w:pPr>
    </w:p>
    <w:p>
      <w:pPr>
        <w:ind w:left="26"/>
        <w:spacing w:after="0"/>
        <w:rPr>
          <w:sz w:val="20"/>
          <w:szCs w:val="20"/>
          <w:color w:val="auto"/>
        </w:rPr>
      </w:pPr>
      <w:r>
        <w:rPr>
          <w:rFonts w:ascii="Arial" w:cs="Arial" w:eastAsia="Arial" w:hAnsi="Arial"/>
          <w:sz w:val="16"/>
          <w:szCs w:val="16"/>
          <w:color w:val="auto"/>
        </w:rPr>
        <w:t>The "Company," "Winnebago Industries," "we," "our" and "us" are used interchangeably t o refer to Winnebago Industries, Inc. as appropriate in the context.</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At August 28, 2010, we had no subsidiaries.</w:t>
      </w:r>
    </w:p>
    <w:p>
      <w:pPr>
        <w:spacing w:after="0" w:line="159" w:lineRule="exact"/>
        <w:rPr>
          <w:sz w:val="20"/>
          <w:szCs w:val="20"/>
          <w:color w:val="auto"/>
        </w:rPr>
      </w:pPr>
    </w:p>
    <w:p>
      <w:pPr>
        <w:ind w:left="26" w:right="180"/>
        <w:spacing w:after="0" w:line="261" w:lineRule="auto"/>
        <w:rPr>
          <w:sz w:val="20"/>
          <w:szCs w:val="20"/>
          <w:color w:val="auto"/>
        </w:rPr>
      </w:pPr>
      <w:r>
        <w:rPr>
          <w:rFonts w:ascii="Arial" w:cs="Arial" w:eastAsia="Arial" w:hAnsi="Arial"/>
          <w:sz w:val="16"/>
          <w:szCs w:val="16"/>
          <w:color w:val="auto"/>
        </w:rPr>
        <w:t>Winnebago Industries, Inc., headquartered in Forest City, Iowa, is one of the leading United States manufacturer of motor homes which are self-contained recreation vehicles (RV) used primarily in leisure travel and outdoor recreation activities. We sell motor homes through independent dealers under the Winnebago, Itasca and ERA brand names. Other products manufactured by us consist primarily of original equipment manufacturing (OEM) parts, including extruded aluminum and other component products for other manufacturers and commercial vehicles.</w:t>
      </w:r>
    </w:p>
    <w:p>
      <w:pPr>
        <w:spacing w:after="0" w:line="132" w:lineRule="exact"/>
        <w:rPr>
          <w:sz w:val="20"/>
          <w:szCs w:val="20"/>
          <w:color w:val="auto"/>
        </w:rPr>
      </w:pPr>
    </w:p>
    <w:p>
      <w:pPr>
        <w:ind w:left="26" w:right="140"/>
        <w:spacing w:after="0" w:line="271"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04"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Available Information</w:t>
      </w:r>
    </w:p>
    <w:p>
      <w:pPr>
        <w:spacing w:after="0" w:line="179" w:lineRule="exact"/>
        <w:rPr>
          <w:sz w:val="20"/>
          <w:szCs w:val="20"/>
          <w:color w:val="auto"/>
        </w:rPr>
      </w:pPr>
    </w:p>
    <w:p>
      <w:pPr>
        <w:ind w:left="26" w:right="260"/>
        <w:spacing w:after="0" w:line="261" w:lineRule="auto"/>
        <w:rPr>
          <w:sz w:val="20"/>
          <w:szCs w:val="20"/>
          <w:color w:val="auto"/>
        </w:rPr>
      </w:pPr>
      <w:r>
        <w:rPr>
          <w:rFonts w:ascii="Arial" w:cs="Arial" w:eastAsia="Arial" w:hAnsi="Arial"/>
          <w:sz w:val="16"/>
          <w:szCs w:val="16"/>
          <w:color w:val="auto"/>
        </w:rPr>
        <w:t>Our Web Site, located at www.winnebagoind.com, provides additional information about us. On our Web Site, you can obtain, free of charge, this and prior year Annual Reports on Form 10-K, Quarterly Reports on Form 10-Q, Current Reports on Form 8-K and all of our other filings with the Securities and Exchange Commission ("SEC"). Our recent press releases are also available on our Web Site. Our Web Site also contains important information regarding our corporate governance practices. Information contained on our Web Site is not incorporated into this Annual Report on Form 10-K.</w:t>
      </w:r>
    </w:p>
    <w:p>
      <w:pPr>
        <w:spacing w:after="0" w:line="222"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Principal Products</w:t>
      </w:r>
    </w:p>
    <w:p>
      <w:pPr>
        <w:spacing w:after="0" w:line="159"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Net revenues by major product classes</w:t>
      </w:r>
    </w:p>
    <w:p>
      <w:pPr>
        <w:spacing w:after="0" w:line="183" w:lineRule="exact"/>
        <w:rPr>
          <w:sz w:val="20"/>
          <w:szCs w:val="20"/>
          <w:color w:val="auto"/>
        </w:rPr>
      </w:pPr>
    </w:p>
    <w:tbl>
      <w:tblPr>
        <w:tblLayout w:type="fixed"/>
        <w:tblInd w:w="26" w:type="dxa"/>
        <w:tblCellMar>
          <w:top w:w="0" w:type="dxa"/>
          <w:left w:w="0" w:type="dxa"/>
          <w:bottom w:w="0" w:type="dxa"/>
          <w:right w:w="0" w:type="dxa"/>
        </w:tblCellMar>
      </w:tblPr>
      <w:tr>
        <w:trPr>
          <w:trHeight w:val="218"/>
        </w:trPr>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186"/>
              <w:spacing w:after="0"/>
              <w:rPr>
                <w:sz w:val="20"/>
                <w:szCs w:val="20"/>
                <w:color w:val="auto"/>
              </w:rPr>
            </w:pPr>
            <w:r>
              <w:rPr>
                <w:rFonts w:ascii="Arial" w:cs="Arial" w:eastAsia="Arial" w:hAnsi="Arial"/>
                <w:sz w:val="15"/>
                <w:szCs w:val="15"/>
                <w:b w:val="1"/>
                <w:bCs w:val="1"/>
                <w:color w:val="auto"/>
                <w:w w:val="93"/>
              </w:rPr>
              <w:t xml:space="preserve">Year Ended </w:t>
            </w:r>
            <w:r>
              <w:rPr>
                <w:rFonts w:ascii="Arial" w:cs="Arial" w:eastAsia="Arial" w:hAnsi="Arial"/>
                <w:sz w:val="19"/>
                <w:szCs w:val="19"/>
                <w:color w:val="auto"/>
                <w:w w:val="93"/>
                <w:vertAlign w:val="superscript"/>
              </w:rPr>
              <w:t>(1)</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172"/>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Aug. 28,</w:t>
            </w:r>
          </w:p>
        </w:tc>
        <w:tc>
          <w:tcPr>
            <w:tcW w:w="600" w:type="dxa"/>
            <w:vAlign w:val="bottom"/>
          </w:tcPr>
          <w:p>
            <w:pPr>
              <w:spacing w:after="0"/>
              <w:rPr>
                <w:sz w:val="14"/>
                <w:szCs w:val="14"/>
                <w:color w:val="auto"/>
              </w:rPr>
            </w:pPr>
          </w:p>
        </w:tc>
        <w:tc>
          <w:tcPr>
            <w:tcW w:w="106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Aug. 29,</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left="326"/>
              <w:spacing w:after="0"/>
              <w:rPr>
                <w:sz w:val="20"/>
                <w:szCs w:val="20"/>
                <w:color w:val="auto"/>
              </w:rPr>
            </w:pPr>
            <w:r>
              <w:rPr>
                <w:rFonts w:ascii="Arial" w:cs="Arial" w:eastAsia="Arial" w:hAnsi="Arial"/>
                <w:sz w:val="15"/>
                <w:szCs w:val="15"/>
                <w:b w:val="1"/>
                <w:bCs w:val="1"/>
                <w:color w:val="auto"/>
                <w:w w:val="95"/>
              </w:rPr>
              <w:t>Aug. 30,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Aug. 25,</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Aug. 26,</w:t>
            </w:r>
          </w:p>
        </w:tc>
        <w:tc>
          <w:tcPr>
            <w:tcW w:w="540" w:type="dxa"/>
            <w:vAlign w:val="bottom"/>
          </w:tcPr>
          <w:p>
            <w:pPr>
              <w:spacing w:after="0"/>
              <w:rPr>
                <w:sz w:val="14"/>
                <w:szCs w:val="14"/>
                <w:color w:val="auto"/>
              </w:rPr>
            </w:pPr>
          </w:p>
        </w:tc>
      </w:tr>
      <w:tr>
        <w:trPr>
          <w:trHeight w:val="205"/>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2010</w:t>
            </w: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2009</w:t>
            </w: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326"/>
              <w:spacing w:after="0"/>
              <w:rPr>
                <w:sz w:val="20"/>
                <w:szCs w:val="20"/>
                <w:color w:val="auto"/>
              </w:rPr>
            </w:pPr>
            <w:r>
              <w:rPr>
                <w:rFonts w:ascii="Arial" w:cs="Arial" w:eastAsia="Arial" w:hAnsi="Arial"/>
                <w:sz w:val="15"/>
                <w:szCs w:val="15"/>
                <w:b w:val="1"/>
                <w:bCs w:val="1"/>
                <w:color w:val="auto"/>
                <w:w w:val="95"/>
              </w:rPr>
              <w:t>2008</w:t>
            </w: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66"/>
              <w:spacing w:after="0"/>
              <w:rPr>
                <w:sz w:val="20"/>
                <w:szCs w:val="20"/>
                <w:color w:val="auto"/>
              </w:rPr>
            </w:pPr>
            <w:r>
              <w:rPr>
                <w:rFonts w:ascii="Arial" w:cs="Arial" w:eastAsia="Arial" w:hAnsi="Arial"/>
                <w:sz w:val="15"/>
                <w:szCs w:val="15"/>
                <w:b w:val="1"/>
                <w:bCs w:val="1"/>
                <w:color w:val="auto"/>
              </w:rPr>
              <w:t>2007</w:t>
            </w:r>
          </w:p>
        </w:tc>
        <w:tc>
          <w:tcPr>
            <w:tcW w:w="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2006</w:t>
            </w:r>
          </w:p>
        </w:tc>
        <w:tc>
          <w:tcPr>
            <w:tcW w:w="540" w:type="dxa"/>
            <w:vAlign w:val="bottom"/>
            <w:tcBorders>
              <w:bottom w:val="single" w:sz="8" w:color="auto"/>
            </w:tcBorders>
          </w:tcPr>
          <w:p>
            <w:pPr>
              <w:spacing w:after="0"/>
              <w:rPr>
                <w:sz w:val="17"/>
                <w:szCs w:val="17"/>
                <w:color w:val="auto"/>
              </w:rPr>
            </w:pPr>
          </w:p>
        </w:tc>
      </w:tr>
      <w:tr>
        <w:trPr>
          <w:trHeight w:val="245"/>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Motor homes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415,277</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92.4%</w:t>
            </w:r>
          </w:p>
        </w:tc>
        <w:tc>
          <w:tcPr>
            <w:tcW w:w="24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178,619</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84.5%</w:t>
            </w:r>
          </w:p>
        </w:tc>
        <w:tc>
          <w:tcPr>
            <w:tcW w:w="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555,671</w:t>
            </w:r>
          </w:p>
        </w:tc>
        <w:tc>
          <w:tcPr>
            <w:tcW w:w="6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91.9%</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815,895</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808,715</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w:t>
            </w:r>
          </w:p>
        </w:tc>
      </w:tr>
      <w:tr>
        <w:trPr>
          <w:trHeight w:val="237"/>
        </w:trPr>
        <w:tc>
          <w:tcPr>
            <w:tcW w:w="2200" w:type="dxa"/>
            <w:vAlign w:val="bottom"/>
          </w:tcPr>
          <w:p>
            <w:pPr>
              <w:ind w:left="20"/>
              <w:spacing w:after="0"/>
              <w:rPr>
                <w:sz w:val="20"/>
                <w:szCs w:val="20"/>
                <w:color w:val="auto"/>
              </w:rPr>
            </w:pPr>
            <w:r>
              <w:rPr>
                <w:rFonts w:ascii="Arial" w:cs="Arial" w:eastAsia="Arial" w:hAnsi="Arial"/>
                <w:sz w:val="15"/>
                <w:szCs w:val="15"/>
                <w:color w:val="auto"/>
              </w:rPr>
              <w:t>Motor home parts and services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26"/>
              <w:spacing w:after="0"/>
              <w:rPr>
                <w:sz w:val="20"/>
                <w:szCs w:val="20"/>
                <w:color w:val="auto"/>
              </w:rPr>
            </w:pPr>
            <w:r>
              <w:rPr>
                <w:rFonts w:ascii="Arial" w:cs="Arial" w:eastAsia="Arial" w:hAnsi="Arial"/>
                <w:sz w:val="15"/>
                <w:szCs w:val="15"/>
                <w:color w:val="auto"/>
              </w:rPr>
              <w:t>13,655</w:t>
            </w: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3.0%</w:t>
            </w:r>
          </w:p>
        </w:tc>
        <w:tc>
          <w:tcPr>
            <w:tcW w:w="240" w:type="dxa"/>
            <w:vAlign w:val="bottom"/>
          </w:tcPr>
          <w:p>
            <w:pPr>
              <w:spacing w:after="0"/>
              <w:rPr>
                <w:sz w:val="20"/>
                <w:szCs w:val="20"/>
                <w:color w:val="auto"/>
              </w:rPr>
            </w:pPr>
          </w:p>
        </w:tc>
        <w:tc>
          <w:tcPr>
            <w:tcW w:w="820" w:type="dxa"/>
            <w:vAlign w:val="bottom"/>
          </w:tcPr>
          <w:p>
            <w:pPr>
              <w:jc w:val="right"/>
              <w:ind w:right="146"/>
              <w:spacing w:after="0"/>
              <w:rPr>
                <w:sz w:val="20"/>
                <w:szCs w:val="20"/>
                <w:color w:val="auto"/>
              </w:rPr>
            </w:pPr>
            <w:r>
              <w:rPr>
                <w:rFonts w:ascii="Arial" w:cs="Arial" w:eastAsia="Arial" w:hAnsi="Arial"/>
                <w:sz w:val="15"/>
                <w:szCs w:val="15"/>
                <w:color w:val="auto"/>
              </w:rPr>
              <w:t>12,559</w:t>
            </w: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5.9%</w:t>
            </w:r>
          </w:p>
        </w:tc>
        <w:tc>
          <w:tcPr>
            <w:tcW w:w="240" w:type="dxa"/>
            <w:vAlign w:val="bottom"/>
          </w:tcPr>
          <w:p>
            <w:pPr>
              <w:spacing w:after="0"/>
              <w:rPr>
                <w:sz w:val="20"/>
                <w:szCs w:val="20"/>
                <w:color w:val="auto"/>
              </w:rPr>
            </w:pPr>
          </w:p>
        </w:tc>
        <w:tc>
          <w:tcPr>
            <w:tcW w:w="1000" w:type="dxa"/>
            <w:vAlign w:val="bottom"/>
          </w:tcPr>
          <w:p>
            <w:pPr>
              <w:jc w:val="right"/>
              <w:ind w:right="326"/>
              <w:spacing w:after="0"/>
              <w:rPr>
                <w:sz w:val="20"/>
                <w:szCs w:val="20"/>
                <w:color w:val="auto"/>
              </w:rPr>
            </w:pPr>
            <w:r>
              <w:rPr>
                <w:rFonts w:ascii="Arial" w:cs="Arial" w:eastAsia="Arial" w:hAnsi="Arial"/>
                <w:sz w:val="15"/>
                <w:szCs w:val="15"/>
                <w:color w:val="auto"/>
              </w:rPr>
              <w:t>16,923</w:t>
            </w:r>
          </w:p>
        </w:tc>
        <w:tc>
          <w:tcPr>
            <w:tcW w:w="660" w:type="dxa"/>
            <w:vAlign w:val="bottom"/>
          </w:tcPr>
          <w:p>
            <w:pPr>
              <w:jc w:val="right"/>
              <w:ind w:right="66"/>
              <w:spacing w:after="0"/>
              <w:rPr>
                <w:sz w:val="20"/>
                <w:szCs w:val="20"/>
                <w:color w:val="auto"/>
              </w:rPr>
            </w:pPr>
            <w:r>
              <w:rPr>
                <w:rFonts w:ascii="Arial" w:cs="Arial" w:eastAsia="Arial" w:hAnsi="Arial"/>
                <w:sz w:val="15"/>
                <w:szCs w:val="15"/>
                <w:color w:val="auto"/>
              </w:rPr>
              <w:t>2.8%</w:t>
            </w:r>
          </w:p>
        </w:tc>
        <w:tc>
          <w:tcPr>
            <w:tcW w:w="180" w:type="dxa"/>
            <w:vAlign w:val="bottom"/>
          </w:tcPr>
          <w:p>
            <w:pPr>
              <w:spacing w:after="0"/>
              <w:rPr>
                <w:sz w:val="20"/>
                <w:szCs w:val="20"/>
                <w:color w:val="auto"/>
              </w:rPr>
            </w:pPr>
          </w:p>
        </w:tc>
        <w:tc>
          <w:tcPr>
            <w:tcW w:w="1000" w:type="dxa"/>
            <w:vAlign w:val="bottom"/>
          </w:tcPr>
          <w:p>
            <w:pPr>
              <w:jc w:val="right"/>
              <w:ind w:right="326"/>
              <w:spacing w:after="0"/>
              <w:rPr>
                <w:sz w:val="20"/>
                <w:szCs w:val="20"/>
                <w:color w:val="auto"/>
              </w:rPr>
            </w:pPr>
            <w:r>
              <w:rPr>
                <w:rFonts w:ascii="Arial" w:cs="Arial" w:eastAsia="Arial" w:hAnsi="Arial"/>
                <w:sz w:val="15"/>
                <w:szCs w:val="15"/>
                <w:color w:val="auto"/>
              </w:rPr>
              <w:t>16,413</w:t>
            </w:r>
          </w:p>
        </w:tc>
        <w:tc>
          <w:tcPr>
            <w:tcW w:w="540" w:type="dxa"/>
            <w:vAlign w:val="bottom"/>
          </w:tcPr>
          <w:p>
            <w:pPr>
              <w:jc w:val="right"/>
              <w:spacing w:after="0"/>
              <w:rPr>
                <w:sz w:val="20"/>
                <w:szCs w:val="20"/>
                <w:color w:val="auto"/>
              </w:rPr>
            </w:pPr>
            <w:r>
              <w:rPr>
                <w:rFonts w:ascii="Arial" w:cs="Arial" w:eastAsia="Arial" w:hAnsi="Arial"/>
                <w:sz w:val="15"/>
                <w:szCs w:val="15"/>
                <w:color w:val="auto"/>
              </w:rPr>
              <w:t>1.9%</w:t>
            </w:r>
          </w:p>
        </w:tc>
        <w:tc>
          <w:tcPr>
            <w:tcW w:w="300" w:type="dxa"/>
            <w:vAlign w:val="bottom"/>
          </w:tcPr>
          <w:p>
            <w:pPr>
              <w:spacing w:after="0"/>
              <w:rPr>
                <w:sz w:val="20"/>
                <w:szCs w:val="20"/>
                <w:color w:val="auto"/>
              </w:rPr>
            </w:pPr>
          </w:p>
        </w:tc>
        <w:tc>
          <w:tcPr>
            <w:tcW w:w="1000" w:type="dxa"/>
            <w:vAlign w:val="bottom"/>
          </w:tcPr>
          <w:p>
            <w:pPr>
              <w:jc w:val="right"/>
              <w:ind w:right="326"/>
              <w:spacing w:after="0"/>
              <w:rPr>
                <w:sz w:val="20"/>
                <w:szCs w:val="20"/>
                <w:color w:val="auto"/>
              </w:rPr>
            </w:pPr>
            <w:r>
              <w:rPr>
                <w:rFonts w:ascii="Arial" w:cs="Arial" w:eastAsia="Arial" w:hAnsi="Arial"/>
                <w:sz w:val="15"/>
                <w:szCs w:val="15"/>
                <w:color w:val="auto"/>
              </w:rPr>
              <w:t>15,901</w:t>
            </w:r>
          </w:p>
        </w:tc>
        <w:tc>
          <w:tcPr>
            <w:tcW w:w="5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46"/>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manufactured products</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20,552</w:t>
            </w: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4.6%</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20,341</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9.6%</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31,758</w:t>
            </w:r>
          </w:p>
        </w:tc>
        <w:tc>
          <w:tcPr>
            <w:tcW w:w="6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5.3%</w:t>
            </w: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37,844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39,787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r>
      <w:tr>
        <w:trPr>
          <w:trHeight w:val="240"/>
        </w:trPr>
        <w:tc>
          <w:tcPr>
            <w:tcW w:w="2200" w:type="dxa"/>
            <w:vAlign w:val="bottom"/>
          </w:tcPr>
          <w:p>
            <w:pPr>
              <w:ind w:left="20"/>
              <w:spacing w:after="0"/>
              <w:rPr>
                <w:sz w:val="20"/>
                <w:szCs w:val="20"/>
                <w:color w:val="auto"/>
              </w:rPr>
            </w:pPr>
            <w:r>
              <w:rPr>
                <w:rFonts w:ascii="Arial" w:cs="Arial" w:eastAsia="Arial" w:hAnsi="Arial"/>
                <w:sz w:val="15"/>
                <w:szCs w:val="15"/>
                <w:color w:val="auto"/>
              </w:rPr>
              <w:t>Total net revenues</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26"/>
              <w:spacing w:after="0"/>
              <w:rPr>
                <w:sz w:val="20"/>
                <w:szCs w:val="20"/>
                <w:color w:val="auto"/>
              </w:rPr>
            </w:pPr>
            <w:r>
              <w:rPr>
                <w:rFonts w:ascii="Arial" w:cs="Arial" w:eastAsia="Arial" w:hAnsi="Arial"/>
                <w:sz w:val="15"/>
                <w:szCs w:val="15"/>
                <w:color w:val="auto"/>
              </w:rPr>
              <w:t>449,484</w:t>
            </w:r>
          </w:p>
        </w:tc>
        <w:tc>
          <w:tcPr>
            <w:tcW w:w="600" w:type="dxa"/>
            <w:vAlign w:val="bottom"/>
          </w:tcPr>
          <w:p>
            <w:pPr>
              <w:jc w:val="right"/>
              <w:ind w:right="6"/>
              <w:spacing w:after="0"/>
              <w:rPr>
                <w:sz w:val="20"/>
                <w:szCs w:val="20"/>
                <w:color w:val="auto"/>
              </w:rPr>
            </w:pPr>
            <w:r>
              <w:rPr>
                <w:rFonts w:ascii="Arial" w:cs="Arial" w:eastAsia="Arial" w:hAnsi="Arial"/>
                <w:sz w:val="15"/>
                <w:szCs w:val="15"/>
                <w:color w:val="auto"/>
                <w:w w:val="98"/>
              </w:rPr>
              <w:t>100.0%</w:t>
            </w:r>
          </w:p>
        </w:tc>
        <w:tc>
          <w:tcPr>
            <w:tcW w:w="240" w:type="dxa"/>
            <w:vAlign w:val="bottom"/>
          </w:tcPr>
          <w:p>
            <w:pPr>
              <w:ind w:left="8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46"/>
              <w:spacing w:after="0"/>
              <w:rPr>
                <w:sz w:val="20"/>
                <w:szCs w:val="20"/>
                <w:color w:val="auto"/>
              </w:rPr>
            </w:pPr>
            <w:r>
              <w:rPr>
                <w:rFonts w:ascii="Arial" w:cs="Arial" w:eastAsia="Arial" w:hAnsi="Arial"/>
                <w:sz w:val="15"/>
                <w:szCs w:val="15"/>
                <w:color w:val="auto"/>
              </w:rPr>
              <w:t>211,519</w:t>
            </w: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100.0%</w:t>
            </w:r>
          </w:p>
        </w:tc>
        <w:tc>
          <w:tcPr>
            <w:tcW w:w="2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26"/>
              <w:spacing w:after="0"/>
              <w:rPr>
                <w:sz w:val="20"/>
                <w:szCs w:val="20"/>
                <w:color w:val="auto"/>
              </w:rPr>
            </w:pPr>
            <w:r>
              <w:rPr>
                <w:rFonts w:ascii="Arial" w:cs="Arial" w:eastAsia="Arial" w:hAnsi="Arial"/>
                <w:sz w:val="15"/>
                <w:szCs w:val="15"/>
                <w:color w:val="auto"/>
              </w:rPr>
              <w:t>604,352</w:t>
            </w:r>
          </w:p>
        </w:tc>
        <w:tc>
          <w:tcPr>
            <w:tcW w:w="660" w:type="dxa"/>
            <w:vAlign w:val="bottom"/>
          </w:tcPr>
          <w:p>
            <w:pPr>
              <w:jc w:val="right"/>
              <w:ind w:right="66"/>
              <w:spacing w:after="0"/>
              <w:rPr>
                <w:sz w:val="20"/>
                <w:szCs w:val="20"/>
                <w:color w:val="auto"/>
              </w:rPr>
            </w:pPr>
            <w:r>
              <w:rPr>
                <w:rFonts w:ascii="Arial" w:cs="Arial" w:eastAsia="Arial" w:hAnsi="Arial"/>
                <w:sz w:val="15"/>
                <w:szCs w:val="15"/>
                <w:color w:val="auto"/>
                <w:w w:val="98"/>
              </w:rPr>
              <w:t>100.0%</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26"/>
              <w:spacing w:after="0"/>
              <w:rPr>
                <w:sz w:val="20"/>
                <w:szCs w:val="20"/>
                <w:color w:val="auto"/>
              </w:rPr>
            </w:pPr>
            <w:r>
              <w:rPr>
                <w:rFonts w:ascii="Arial" w:cs="Arial" w:eastAsia="Arial" w:hAnsi="Arial"/>
                <w:sz w:val="15"/>
                <w:szCs w:val="15"/>
                <w:color w:val="auto"/>
              </w:rPr>
              <w:t>870,152</w:t>
            </w:r>
          </w:p>
        </w:tc>
        <w:tc>
          <w:tcPr>
            <w:tcW w:w="540" w:type="dxa"/>
            <w:vAlign w:val="bottom"/>
          </w:tcPr>
          <w:p>
            <w:pPr>
              <w:jc w:val="right"/>
              <w:spacing w:after="0"/>
              <w:rPr>
                <w:sz w:val="20"/>
                <w:szCs w:val="20"/>
                <w:color w:val="auto"/>
              </w:rPr>
            </w:pPr>
            <w:r>
              <w:rPr>
                <w:rFonts w:ascii="Arial" w:cs="Arial" w:eastAsia="Arial" w:hAnsi="Arial"/>
                <w:sz w:val="15"/>
                <w:szCs w:val="15"/>
                <w:color w:val="auto"/>
                <w:w w:val="98"/>
              </w:rPr>
              <w:t>100.0%</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26"/>
              <w:spacing w:after="0"/>
              <w:rPr>
                <w:sz w:val="20"/>
                <w:szCs w:val="20"/>
                <w:color w:val="auto"/>
              </w:rPr>
            </w:pPr>
            <w:r>
              <w:rPr>
                <w:rFonts w:ascii="Arial" w:cs="Arial" w:eastAsia="Arial" w:hAnsi="Arial"/>
                <w:sz w:val="15"/>
                <w:szCs w:val="15"/>
                <w:color w:val="auto"/>
              </w:rPr>
              <w:t>864,403</w:t>
            </w:r>
          </w:p>
        </w:tc>
        <w:tc>
          <w:tcPr>
            <w:tcW w:w="540" w:type="dxa"/>
            <w:vAlign w:val="bottom"/>
          </w:tcPr>
          <w:p>
            <w:pPr>
              <w:jc w:val="right"/>
              <w:spacing w:after="0"/>
              <w:rPr>
                <w:sz w:val="20"/>
                <w:szCs w:val="20"/>
                <w:color w:val="auto"/>
              </w:rPr>
            </w:pPr>
            <w:r>
              <w:rPr>
                <w:rFonts w:ascii="Arial" w:cs="Arial" w:eastAsia="Arial" w:hAnsi="Arial"/>
                <w:sz w:val="15"/>
                <w:szCs w:val="15"/>
                <w:color w:val="auto"/>
                <w:w w:val="98"/>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3175</wp:posOffset>
            </wp:positionV>
            <wp:extent cx="577151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1515" cy="23495"/>
                    </a:xfrm>
                    <a:prstGeom prst="rect">
                      <a:avLst/>
                    </a:prstGeom>
                    <a:noFill/>
                  </pic:spPr>
                </pic:pic>
              </a:graphicData>
            </a:graphic>
          </wp:anchor>
        </w:drawing>
      </w:r>
    </w:p>
    <w:p>
      <w:pPr>
        <w:spacing w:after="0" w:line="26" w:lineRule="exact"/>
        <w:rPr>
          <w:sz w:val="20"/>
          <w:szCs w:val="20"/>
          <w:color w:val="auto"/>
        </w:rPr>
      </w:pPr>
    </w:p>
    <w:p>
      <w:pPr>
        <w:ind w:left="266" w:hanging="266"/>
        <w:spacing w:after="0"/>
        <w:tabs>
          <w:tab w:leader="none" w:pos="266" w:val="left"/>
        </w:tabs>
        <w:numPr>
          <w:ilvl w:val="0"/>
          <w:numId w:val="1"/>
        </w:numPr>
        <w:rPr>
          <w:rFonts w:ascii="Arial" w:cs="Arial" w:eastAsia="Arial" w:hAnsi="Arial"/>
          <w:sz w:val="8"/>
          <w:szCs w:val="8"/>
          <w:color w:val="auto"/>
        </w:rPr>
      </w:pPr>
      <w:r>
        <w:rPr>
          <w:rFonts w:ascii="Arial" w:cs="Arial" w:eastAsia="Arial" w:hAnsi="Arial"/>
          <w:sz w:val="13"/>
          <w:szCs w:val="13"/>
          <w:color w:val="auto"/>
        </w:rPr>
        <w:t>The fiscal year ended August 30, 2008 contained 53 weeks; all other fiscal years contained 52 weeks.</w:t>
      </w:r>
    </w:p>
    <w:p>
      <w:pPr>
        <w:spacing w:after="0" w:line="215" w:lineRule="exact"/>
        <w:rPr>
          <w:rFonts w:ascii="Arial" w:cs="Arial" w:eastAsia="Arial" w:hAnsi="Arial"/>
          <w:sz w:val="8"/>
          <w:szCs w:val="8"/>
          <w:color w:val="auto"/>
        </w:rPr>
      </w:pPr>
    </w:p>
    <w:p>
      <w:pPr>
        <w:ind w:left="5706"/>
        <w:spacing w:after="0"/>
        <w:rPr>
          <w:rFonts w:ascii="Arial" w:cs="Arial" w:eastAsia="Arial" w:hAnsi="Arial"/>
          <w:sz w:val="8"/>
          <w:szCs w:val="8"/>
          <w:color w:val="auto"/>
        </w:rPr>
      </w:pPr>
      <w:r>
        <w:rPr>
          <w:rFonts w:ascii="Arial" w:cs="Arial" w:eastAsia="Arial" w:hAnsi="Arial"/>
          <w:sz w:val="15"/>
          <w:szCs w:val="15"/>
          <w:color w:val="auto"/>
        </w:rPr>
        <w:t>1</w:t>
      </w:r>
    </w:p>
    <w:p>
      <w:pPr>
        <w:sectPr>
          <w:pgSz w:w="11900" w:h="16838" w:orient="portrait"/>
          <w:cols w:equalWidth="0" w:num="1">
            <w:col w:w="11446"/>
          </w:cols>
          <w:pgMar w:left="214" w:top="105" w:right="239" w:bottom="1440" w:gutter="0" w:footer="0" w:header="0"/>
        </w:sectPr>
      </w:pPr>
    </w:p>
    <w:bookmarkStart w:id="3" w:name="page4"/>
    <w:bookmarkEnd w:id="3"/>
    <w:p>
      <w:pPr>
        <w:ind w:left="26"/>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62" w:lineRule="exact"/>
        <w:rPr>
          <w:sz w:val="20"/>
          <w:szCs w:val="20"/>
          <w:color w:val="auto"/>
        </w:rPr>
      </w:pPr>
    </w:p>
    <w:p>
      <w:pPr>
        <w:ind w:left="26" w:right="100"/>
        <w:spacing w:after="0" w:line="297" w:lineRule="auto"/>
        <w:rPr>
          <w:sz w:val="20"/>
          <w:szCs w:val="20"/>
          <w:color w:val="auto"/>
        </w:rPr>
      </w:pPr>
      <w:r>
        <w:rPr>
          <w:rFonts w:ascii="Arial" w:cs="Arial" w:eastAsia="Arial" w:hAnsi="Arial"/>
          <w:sz w:val="16"/>
          <w:szCs w:val="16"/>
          <w:b w:val="1"/>
          <w:bCs w:val="1"/>
          <w:color w:val="auto"/>
        </w:rPr>
        <w:t>Motor Homes</w:t>
      </w:r>
      <w:r>
        <w:rPr>
          <w:rFonts w:ascii="Arial" w:cs="Arial" w:eastAsia="Arial" w:hAnsi="Arial"/>
          <w:sz w:val="16"/>
          <w:szCs w:val="16"/>
          <w:color w:val="auto"/>
        </w:rPr>
        <w:t>. A motor home is a self-propelled mobile dwelling used primarily as temporary living quar ters during vacation and camping trips, or to support</w:t>
      </w:r>
      <w:r>
        <w:rPr>
          <w:rFonts w:ascii="Arial" w:cs="Arial" w:eastAsia="Arial" w:hAnsi="Arial"/>
          <w:sz w:val="16"/>
          <w:szCs w:val="16"/>
          <w:b w:val="1"/>
          <w:bCs w:val="1"/>
          <w:color w:val="auto"/>
        </w:rPr>
        <w:t xml:space="preserve"> </w:t>
      </w:r>
      <w:r>
        <w:rPr>
          <w:rFonts w:ascii="Arial" w:cs="Arial" w:eastAsia="Arial" w:hAnsi="Arial"/>
          <w:sz w:val="16"/>
          <w:szCs w:val="16"/>
          <w:color w:val="auto"/>
        </w:rPr>
        <w:t>some other active lifestyle. The Recreation Vehicle Industry Association (RVIA) classifies motor homes into three types which are defined as follows:</w:t>
      </w:r>
    </w:p>
    <w:p>
      <w:pPr>
        <w:spacing w:after="0" w:line="104" w:lineRule="exact"/>
        <w:rPr>
          <w:sz w:val="20"/>
          <w:szCs w:val="20"/>
          <w:color w:val="auto"/>
        </w:rPr>
      </w:pPr>
    </w:p>
    <w:p>
      <w:pPr>
        <w:ind w:left="326" w:right="320" w:hanging="302"/>
        <w:spacing w:after="0" w:line="263" w:lineRule="auto"/>
        <w:tabs>
          <w:tab w:leader="none" w:pos="326"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A models are conventional motor homes constructed directly on medium- and heavy-duty truck chassis, which include the engine and drivetrain components. The living area and driver's compartment are designed and produced by the motor home manufacturer. We manufacture Class A motor homes with gas and diesel engines.</w:t>
      </w:r>
    </w:p>
    <w:p>
      <w:pPr>
        <w:spacing w:after="0" w:line="131" w:lineRule="exact"/>
        <w:rPr>
          <w:rFonts w:ascii="Arial" w:cs="Arial" w:eastAsia="Arial" w:hAnsi="Arial"/>
          <w:sz w:val="16"/>
          <w:szCs w:val="16"/>
          <w:color w:val="auto"/>
        </w:rPr>
      </w:pPr>
    </w:p>
    <w:p>
      <w:pPr>
        <w:ind w:left="326" w:right="20" w:hanging="302"/>
        <w:spacing w:after="0" w:line="271" w:lineRule="auto"/>
        <w:tabs>
          <w:tab w:leader="none" w:pos="326"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B models are panel-type trucks to which sleeping, kitchen, and/or toilet facilities are added. These models may also have a top extension to provide more headroom. Our product offerings for the 2011 model year do not include any Class B models.</w:t>
      </w:r>
    </w:p>
    <w:p>
      <w:pPr>
        <w:spacing w:after="0" w:line="124" w:lineRule="exact"/>
        <w:rPr>
          <w:rFonts w:ascii="Arial" w:cs="Arial" w:eastAsia="Arial" w:hAnsi="Arial"/>
          <w:sz w:val="16"/>
          <w:szCs w:val="16"/>
          <w:color w:val="auto"/>
        </w:rPr>
      </w:pPr>
    </w:p>
    <w:p>
      <w:pPr>
        <w:ind w:left="326" w:right="440" w:hanging="302"/>
        <w:spacing w:after="0" w:line="271" w:lineRule="auto"/>
        <w:tabs>
          <w:tab w:leader="none" w:pos="326"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C models are mini motor homes built on van-type chassis onto which the motor home manufacturer constructs a living area with access to the driver's compartment. We manufacture Class C motor homes with gas and diesel engines.</w:t>
      </w:r>
    </w:p>
    <w:p>
      <w:pPr>
        <w:spacing w:after="0" w:line="124" w:lineRule="exact"/>
        <w:rPr>
          <w:sz w:val="20"/>
          <w:szCs w:val="20"/>
          <w:color w:val="auto"/>
        </w:rPr>
      </w:pPr>
    </w:p>
    <w:p>
      <w:pPr>
        <w:ind w:left="26" w:right="220"/>
        <w:spacing w:after="0" w:line="271" w:lineRule="auto"/>
        <w:rPr>
          <w:sz w:val="20"/>
          <w:szCs w:val="20"/>
          <w:color w:val="auto"/>
        </w:rPr>
      </w:pPr>
      <w:r>
        <w:rPr>
          <w:rFonts w:ascii="Arial" w:cs="Arial" w:eastAsia="Arial" w:hAnsi="Arial"/>
          <w:sz w:val="16"/>
          <w:szCs w:val="16"/>
          <w:color w:val="auto"/>
        </w:rPr>
        <w:t>We manufacture and sell Class A and C motor homes under the Winnebago and Itasca brand names. Our product offerings for the 2011 model year are as follows:</w:t>
      </w:r>
    </w:p>
    <w:p>
      <w:pPr>
        <w:spacing w:after="0" w:line="104" w:lineRule="exact"/>
        <w:rPr>
          <w:sz w:val="20"/>
          <w:szCs w:val="20"/>
          <w:color w:val="auto"/>
        </w:rPr>
      </w:pPr>
    </w:p>
    <w:tbl>
      <w:tblPr>
        <w:tblLayout w:type="fixed"/>
        <w:tblInd w:w="26" w:type="dxa"/>
        <w:tblCellMar>
          <w:top w:w="0" w:type="dxa"/>
          <w:left w:w="0" w:type="dxa"/>
          <w:bottom w:w="0" w:type="dxa"/>
          <w:right w:w="0" w:type="dxa"/>
        </w:tblCellMar>
      </w:tblPr>
      <w:tr>
        <w:trPr>
          <w:trHeight w:val="22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w:t>
            </w:r>
          </w:p>
        </w:tc>
        <w:tc>
          <w:tcPr>
            <w:tcW w:w="472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Winnebago</w:t>
            </w:r>
          </w:p>
        </w:tc>
        <w:tc>
          <w:tcPr>
            <w:tcW w:w="47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Itasca</w:t>
            </w:r>
          </w:p>
        </w:tc>
      </w:tr>
      <w:tr>
        <w:trPr>
          <w:trHeight w:val="232"/>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47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Vista, Sightseer, Adventurer</w:t>
            </w:r>
          </w:p>
        </w:tc>
        <w:tc>
          <w:tcPr>
            <w:tcW w:w="4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Sunstar, Sunova, Suncruiser</w:t>
            </w:r>
          </w:p>
        </w:tc>
      </w:tr>
      <w:tr>
        <w:trPr>
          <w:trHeight w:val="226"/>
        </w:trPr>
        <w:tc>
          <w:tcPr>
            <w:tcW w:w="1920" w:type="dxa"/>
            <w:vAlign w:val="bottom"/>
          </w:tcPr>
          <w:p>
            <w:pPr>
              <w:ind w:left="20"/>
              <w:spacing w:after="0"/>
              <w:rPr>
                <w:sz w:val="20"/>
                <w:szCs w:val="20"/>
                <w:color w:val="auto"/>
              </w:rPr>
            </w:pPr>
            <w:r>
              <w:rPr>
                <w:rFonts w:ascii="Arial" w:cs="Arial" w:eastAsia="Arial" w:hAnsi="Arial"/>
                <w:sz w:val="16"/>
                <w:szCs w:val="16"/>
                <w:color w:val="auto"/>
              </w:rPr>
              <w:t>Class A (diesel)</w:t>
            </w:r>
          </w:p>
        </w:tc>
        <w:tc>
          <w:tcPr>
            <w:tcW w:w="4720" w:type="dxa"/>
            <w:vAlign w:val="bottom"/>
          </w:tcPr>
          <w:p>
            <w:pPr>
              <w:ind w:left="740"/>
              <w:spacing w:after="0"/>
              <w:rPr>
                <w:sz w:val="20"/>
                <w:szCs w:val="20"/>
                <w:color w:val="auto"/>
              </w:rPr>
            </w:pPr>
            <w:r>
              <w:rPr>
                <w:rFonts w:ascii="Arial" w:cs="Arial" w:eastAsia="Arial" w:hAnsi="Arial"/>
                <w:sz w:val="16"/>
                <w:szCs w:val="16"/>
                <w:color w:val="auto"/>
              </w:rPr>
              <w:t>Via, Journey, Journey Express, Tour</w:t>
            </w:r>
          </w:p>
        </w:tc>
        <w:tc>
          <w:tcPr>
            <w:tcW w:w="4780" w:type="dxa"/>
            <w:vAlign w:val="bottom"/>
          </w:tcPr>
          <w:p>
            <w:pPr>
              <w:ind w:left="260"/>
              <w:spacing w:after="0"/>
              <w:rPr>
                <w:sz w:val="20"/>
                <w:szCs w:val="20"/>
                <w:color w:val="auto"/>
              </w:rPr>
            </w:pPr>
            <w:r>
              <w:rPr>
                <w:rFonts w:ascii="Arial" w:cs="Arial" w:eastAsia="Arial" w:hAnsi="Arial"/>
                <w:sz w:val="16"/>
                <w:szCs w:val="16"/>
                <w:color w:val="auto"/>
              </w:rPr>
              <w:t>Reyo, Meridian, Meridian V Class, Ellipse</w:t>
            </w:r>
          </w:p>
        </w:tc>
      </w:tr>
      <w:tr>
        <w:trPr>
          <w:trHeight w:val="240"/>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47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Access, Access Premier, Aspect, View, View Profile</w:t>
            </w:r>
          </w:p>
        </w:tc>
        <w:tc>
          <w:tcPr>
            <w:tcW w:w="4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Impulse, Impulse Silver, Cambria, Navion, Navion iQ</w:t>
            </w:r>
          </w:p>
        </w:tc>
      </w:tr>
    </w:tbl>
    <w:p>
      <w:pPr>
        <w:spacing w:after="0" w:line="146" w:lineRule="exact"/>
        <w:rPr>
          <w:sz w:val="20"/>
          <w:szCs w:val="20"/>
          <w:color w:val="auto"/>
        </w:rPr>
      </w:pPr>
    </w:p>
    <w:p>
      <w:pPr>
        <w:ind w:left="26" w:right="60"/>
        <w:spacing w:after="0" w:line="271" w:lineRule="auto"/>
        <w:rPr>
          <w:sz w:val="20"/>
          <w:szCs w:val="20"/>
          <w:color w:val="auto"/>
        </w:rPr>
      </w:pPr>
      <w:r>
        <w:rPr>
          <w:rFonts w:ascii="Arial" w:cs="Arial" w:eastAsia="Arial" w:hAnsi="Arial"/>
          <w:sz w:val="16"/>
          <w:szCs w:val="16"/>
          <w:color w:val="auto"/>
        </w:rPr>
        <w:t>Models in our 2010 model year lineup discontinued for 2011 include the Winnebago Outlook (Class C) and the ERA (Class B). Current plans call for the ERA to be reintroduced in the 2012 model year.</w:t>
      </w:r>
    </w:p>
    <w:p>
      <w:pPr>
        <w:spacing w:after="0" w:line="124" w:lineRule="exact"/>
        <w:rPr>
          <w:sz w:val="20"/>
          <w:szCs w:val="20"/>
          <w:color w:val="auto"/>
        </w:rPr>
      </w:pPr>
    </w:p>
    <w:p>
      <w:pPr>
        <w:ind w:left="26" w:right="180"/>
        <w:spacing w:after="0" w:line="261" w:lineRule="auto"/>
        <w:rPr>
          <w:sz w:val="20"/>
          <w:szCs w:val="20"/>
          <w:color w:val="auto"/>
        </w:rPr>
      </w:pPr>
      <w:r>
        <w:rPr>
          <w:rFonts w:ascii="Arial" w:cs="Arial" w:eastAsia="Arial" w:hAnsi="Arial"/>
          <w:sz w:val="16"/>
          <w:szCs w:val="16"/>
          <w:color w:val="auto"/>
        </w:rPr>
        <w:t>These motor homes generally provide living accommodations for up to seven people and include kitchen, dining, sleeping and bath areas, and in some models, a lounge. Optional equipment accessories include, among other items, generators, home theater systems, king-siz e beds, and UltraLeather</w:t>
      </w:r>
      <w:r>
        <w:rPr>
          <w:rFonts w:ascii="Arial" w:cs="Arial" w:eastAsia="Arial" w:hAnsi="Arial"/>
          <w:sz w:val="9"/>
          <w:szCs w:val="9"/>
          <w:color w:val="auto"/>
        </w:rPr>
        <w:t>TM</w:t>
      </w:r>
      <w:r>
        <w:rPr>
          <w:rFonts w:ascii="Arial" w:cs="Arial" w:eastAsia="Arial" w:hAnsi="Arial"/>
          <w:sz w:val="16"/>
          <w:szCs w:val="16"/>
          <w:color w:val="auto"/>
        </w:rPr>
        <w:t xml:space="preserve"> upholstery and a wide selection of interior equipment. With the purchase of any new motor home, we offer a comprehensive 12-month/15,000-mile warranty on the coach and, for Class A and C motor homes, a 3-year/36,000-mile structural warranty on sidewalls and floors.</w:t>
      </w:r>
    </w:p>
    <w:p>
      <w:pPr>
        <w:spacing w:after="0" w:line="132" w:lineRule="exact"/>
        <w:rPr>
          <w:sz w:val="20"/>
          <w:szCs w:val="20"/>
          <w:color w:val="auto"/>
        </w:rPr>
      </w:pPr>
    </w:p>
    <w:p>
      <w:pPr>
        <w:ind w:left="26" w:right="260"/>
        <w:spacing w:after="0" w:line="271" w:lineRule="auto"/>
        <w:rPr>
          <w:sz w:val="20"/>
          <w:szCs w:val="20"/>
          <w:color w:val="auto"/>
        </w:rPr>
      </w:pPr>
      <w:r>
        <w:rPr>
          <w:rFonts w:ascii="Arial" w:cs="Arial" w:eastAsia="Arial" w:hAnsi="Arial"/>
          <w:sz w:val="16"/>
          <w:szCs w:val="16"/>
          <w:color w:val="auto"/>
        </w:rPr>
        <w:t>Our Class A and C motor homes are sold by dealers in the retail market with manufacturer's suggested retail prices ranging from approximately $69,000 to $333,000, depending on size and model, plus optional equipment and delivery charges. Our motor homes range in length from 24 to 42 feet.</w:t>
      </w:r>
    </w:p>
    <w:p>
      <w:pPr>
        <w:spacing w:after="0" w:line="124" w:lineRule="exact"/>
        <w:rPr>
          <w:sz w:val="20"/>
          <w:szCs w:val="20"/>
          <w:color w:val="auto"/>
        </w:rPr>
      </w:pPr>
    </w:p>
    <w:p>
      <w:pPr>
        <w:ind w:left="26"/>
        <w:spacing w:after="0"/>
        <w:rPr>
          <w:sz w:val="20"/>
          <w:szCs w:val="20"/>
          <w:color w:val="auto"/>
        </w:rPr>
      </w:pPr>
      <w:r>
        <w:rPr>
          <w:rFonts w:ascii="Arial" w:cs="Arial" w:eastAsia="Arial" w:hAnsi="Arial"/>
          <w:sz w:val="16"/>
          <w:szCs w:val="16"/>
          <w:color w:val="auto"/>
        </w:rPr>
        <w:t>Unit sales of our recreation vehicles for the last five fiscal years were as follows:</w:t>
      </w:r>
    </w:p>
    <w:p>
      <w:pPr>
        <w:spacing w:after="0" w:line="163" w:lineRule="exact"/>
        <w:rPr>
          <w:sz w:val="20"/>
          <w:szCs w:val="20"/>
          <w:color w:val="auto"/>
        </w:rPr>
      </w:pPr>
    </w:p>
    <w:tbl>
      <w:tblPr>
        <w:tblLayout w:type="fixed"/>
        <w:tblInd w:w="26" w:type="dxa"/>
        <w:tblCellMar>
          <w:top w:w="0" w:type="dxa"/>
          <w:left w:w="0" w:type="dxa"/>
          <w:bottom w:w="0" w:type="dxa"/>
          <w:right w:w="0" w:type="dxa"/>
        </w:tblCellMar>
      </w:tblPr>
      <w:tr>
        <w:trPr>
          <w:trHeight w:val="218"/>
        </w:trPr>
        <w:tc>
          <w:tcPr>
            <w:tcW w:w="21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5"/>
                <w:szCs w:val="15"/>
                <w:b w:val="1"/>
                <w:bCs w:val="1"/>
                <w:color w:val="auto"/>
              </w:rPr>
              <w:t xml:space="preserve">Year Ended </w:t>
            </w:r>
            <w:r>
              <w:rPr>
                <w:rFonts w:ascii="Arial" w:cs="Arial" w:eastAsia="Arial" w:hAnsi="Arial"/>
                <w:sz w:val="19"/>
                <w:szCs w:val="19"/>
                <w:b w:val="1"/>
                <w:bCs w:val="1"/>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Aug. 28,</w:t>
            </w:r>
          </w:p>
        </w:tc>
        <w:tc>
          <w:tcPr>
            <w:tcW w:w="780" w:type="dxa"/>
            <w:vAlign w:val="bottom"/>
          </w:tcPr>
          <w:p>
            <w:pPr>
              <w:spacing w:after="0"/>
              <w:rPr>
                <w:sz w:val="14"/>
                <w:szCs w:val="14"/>
                <w:color w:val="auto"/>
              </w:rPr>
            </w:pPr>
          </w:p>
        </w:tc>
        <w:tc>
          <w:tcPr>
            <w:tcW w:w="1200" w:type="dxa"/>
            <w:vAlign w:val="bottom"/>
            <w:gridSpan w:val="3"/>
          </w:tcPr>
          <w:p>
            <w:pPr>
              <w:jc w:val="center"/>
              <w:ind w:left="405"/>
              <w:spacing w:after="0"/>
              <w:rPr>
                <w:sz w:val="20"/>
                <w:szCs w:val="20"/>
                <w:color w:val="auto"/>
              </w:rPr>
            </w:pPr>
            <w:r>
              <w:rPr>
                <w:rFonts w:ascii="Arial" w:cs="Arial" w:eastAsia="Arial" w:hAnsi="Arial"/>
                <w:sz w:val="15"/>
                <w:szCs w:val="15"/>
                <w:b w:val="1"/>
                <w:bCs w:val="1"/>
                <w:color w:val="auto"/>
                <w:w w:val="95"/>
              </w:rPr>
              <w:t>Aug. 29,</w:t>
            </w:r>
          </w:p>
        </w:tc>
        <w:tc>
          <w:tcPr>
            <w:tcW w:w="800" w:type="dxa"/>
            <w:vAlign w:val="bottom"/>
          </w:tcPr>
          <w:p>
            <w:pPr>
              <w:spacing w:after="0"/>
              <w:rPr>
                <w:sz w:val="14"/>
                <w:szCs w:val="14"/>
                <w:color w:val="auto"/>
              </w:rPr>
            </w:pPr>
          </w:p>
        </w:tc>
        <w:tc>
          <w:tcPr>
            <w:tcW w:w="1040" w:type="dxa"/>
            <w:vAlign w:val="bottom"/>
            <w:gridSpan w:val="2"/>
          </w:tcPr>
          <w:p>
            <w:pPr>
              <w:jc w:val="center"/>
              <w:ind w:left="406"/>
              <w:spacing w:after="0"/>
              <w:rPr>
                <w:sz w:val="20"/>
                <w:szCs w:val="20"/>
                <w:color w:val="auto"/>
              </w:rPr>
            </w:pPr>
            <w:r>
              <w:rPr>
                <w:rFonts w:ascii="Arial" w:cs="Arial" w:eastAsia="Arial" w:hAnsi="Arial"/>
                <w:sz w:val="15"/>
                <w:szCs w:val="15"/>
                <w:color w:val="auto"/>
              </w:rPr>
              <w:t>Aug. 30,</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Aug. 25,</w:t>
            </w:r>
          </w:p>
        </w:tc>
        <w:tc>
          <w:tcPr>
            <w:tcW w:w="8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Aug. 26,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Units</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2010</w:t>
            </w: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5"/>
                <w:szCs w:val="15"/>
                <w:b w:val="1"/>
                <w:bCs w:val="1"/>
                <w:color w:val="auto"/>
              </w:rPr>
              <w:t>2009</w:t>
            </w:r>
          </w:p>
        </w:tc>
        <w:tc>
          <w:tcPr>
            <w:tcW w:w="8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2008</w:t>
            </w: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5"/>
              </w:rPr>
              <w:t>2007</w:t>
            </w:r>
          </w:p>
        </w:tc>
        <w:tc>
          <w:tcPr>
            <w:tcW w:w="8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2006</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55.3%</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ind w:right="164"/>
              <w:spacing w:after="0"/>
              <w:rPr>
                <w:sz w:val="20"/>
                <w:szCs w:val="20"/>
                <w:color w:val="auto"/>
              </w:rPr>
            </w:pPr>
            <w:r>
              <w:rPr>
                <w:rFonts w:ascii="Arial" w:cs="Arial" w:eastAsia="Arial" w:hAnsi="Arial"/>
                <w:sz w:val="16"/>
                <w:szCs w:val="16"/>
                <w:color w:val="auto"/>
                <w:w w:val="91"/>
              </w:rPr>
              <w:t>&amp;nb</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Class A</w:t>
            </w:r>
          </w:p>
        </w:tc>
        <w:tc>
          <w:tcPr>
            <w:tcW w:w="114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2,452</w:t>
            </w:r>
          </w:p>
        </w:tc>
        <w:tc>
          <w:tcPr>
            <w:tcW w:w="7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37.4%</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3,029</w:t>
            </w:r>
          </w:p>
        </w:tc>
        <w:tc>
          <w:tcPr>
            <w:tcW w:w="260" w:type="dxa"/>
            <w:vAlign w:val="bottom"/>
          </w:tcPr>
          <w:p>
            <w:pPr>
              <w:spacing w:after="0"/>
              <w:rPr>
                <w:sz w:val="18"/>
                <w:szCs w:val="18"/>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47.3%</w:t>
            </w:r>
          </w:p>
        </w:tc>
        <w:tc>
          <w:tcPr>
            <w:tcW w:w="440" w:type="dxa"/>
            <w:vAlign w:val="bottom"/>
          </w:tcPr>
          <w:p>
            <w:pPr>
              <w:spacing w:after="0"/>
              <w:rPr>
                <w:sz w:val="18"/>
                <w:szCs w:val="18"/>
                <w:color w:val="auto"/>
              </w:rPr>
            </w:pPr>
          </w:p>
        </w:tc>
        <w:tc>
          <w:tcPr>
            <w:tcW w:w="900" w:type="dxa"/>
            <w:vAlign w:val="bottom"/>
            <w:gridSpan w:val="2"/>
          </w:tcPr>
          <w:p>
            <w:pPr>
              <w:jc w:val="right"/>
              <w:ind w:right="264"/>
              <w:spacing w:after="0"/>
              <w:rPr>
                <w:sz w:val="20"/>
                <w:szCs w:val="20"/>
                <w:color w:val="auto"/>
              </w:rPr>
            </w:pPr>
            <w:r>
              <w:rPr>
                <w:rFonts w:ascii="Arial" w:cs="Arial" w:eastAsia="Arial" w:hAnsi="Arial"/>
                <w:sz w:val="15"/>
                <w:szCs w:val="15"/>
                <w:color w:val="auto"/>
                <w:w w:val="91"/>
              </w:rPr>
              <w:t>5,031</w:t>
            </w:r>
            <w:r>
              <w:rPr>
                <w:rFonts w:ascii="Arial" w:cs="Arial" w:eastAsia="Arial" w:hAnsi="Arial"/>
                <w:sz w:val="16"/>
                <w:szCs w:val="16"/>
                <w:color w:val="auto"/>
                <w:w w:val="91"/>
              </w:rPr>
              <w:t>sp;</w:t>
            </w:r>
          </w:p>
        </w:tc>
        <w:tc>
          <w:tcPr>
            <w:tcW w:w="820" w:type="dxa"/>
            <w:vAlign w:val="bottom"/>
          </w:tcPr>
          <w:p>
            <w:pPr>
              <w:jc w:val="right"/>
              <w:ind w:right="186"/>
              <w:spacing w:after="0"/>
              <w:rPr>
                <w:sz w:val="20"/>
                <w:szCs w:val="20"/>
                <w:color w:val="auto"/>
              </w:rPr>
            </w:pPr>
            <w:r>
              <w:rPr>
                <w:rFonts w:ascii="Arial" w:cs="Arial" w:eastAsia="Arial" w:hAnsi="Arial"/>
                <w:sz w:val="15"/>
                <w:szCs w:val="15"/>
                <w:color w:val="auto"/>
              </w:rPr>
              <w:t>53.1%</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4,455</w:t>
            </w:r>
          </w:p>
        </w:tc>
        <w:tc>
          <w:tcPr>
            <w:tcW w:w="520" w:type="dxa"/>
            <w:vAlign w:val="bottom"/>
          </w:tcPr>
          <w:p>
            <w:pPr>
              <w:jc w:val="right"/>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620"/>
              <w:spacing w:after="0"/>
              <w:rPr>
                <w:sz w:val="20"/>
                <w:szCs w:val="20"/>
                <w:color w:val="auto"/>
              </w:rPr>
            </w:pPr>
            <w:r>
              <w:rPr>
                <w:rFonts w:ascii="Arial" w:cs="Arial" w:eastAsia="Arial" w:hAnsi="Arial"/>
                <w:sz w:val="16"/>
                <w:szCs w:val="16"/>
                <w:color w:val="auto"/>
              </w:rPr>
              <w:t>&amp;nbs</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160" w:type="dxa"/>
            <w:vAlign w:val="bottom"/>
          </w:tcPr>
          <w:p>
            <w:pPr>
              <w:ind w:left="20"/>
              <w:spacing w:after="0"/>
              <w:rPr>
                <w:sz w:val="20"/>
                <w:szCs w:val="20"/>
                <w:color w:val="auto"/>
              </w:rPr>
            </w:pPr>
            <w:r>
              <w:rPr>
                <w:rFonts w:ascii="Arial" w:cs="Arial" w:eastAsia="Arial" w:hAnsi="Arial"/>
                <w:sz w:val="15"/>
                <w:szCs w:val="15"/>
                <w:color w:val="auto"/>
              </w:rPr>
              <w:t>Class B</w:t>
            </w:r>
          </w:p>
        </w:tc>
        <w:tc>
          <w:tcPr>
            <w:tcW w:w="1140" w:type="dxa"/>
            <w:vAlign w:val="bottom"/>
          </w:tcPr>
          <w:p>
            <w:pPr>
              <w:jc w:val="right"/>
              <w:ind w:right="306"/>
              <w:spacing w:after="0"/>
              <w:rPr>
                <w:sz w:val="20"/>
                <w:szCs w:val="20"/>
                <w:color w:val="auto"/>
              </w:rPr>
            </w:pPr>
            <w:r>
              <w:rPr>
                <w:rFonts w:ascii="Arial" w:cs="Arial" w:eastAsia="Arial" w:hAnsi="Arial"/>
                <w:sz w:val="15"/>
                <w:szCs w:val="15"/>
                <w:color w:val="auto"/>
              </w:rPr>
              <w:t>236</w:t>
            </w:r>
          </w:p>
        </w:tc>
        <w:tc>
          <w:tcPr>
            <w:tcW w:w="780" w:type="dxa"/>
            <w:vAlign w:val="bottom"/>
          </w:tcPr>
          <w:p>
            <w:pPr>
              <w:jc w:val="right"/>
              <w:ind w:right="206"/>
              <w:spacing w:after="0"/>
              <w:rPr>
                <w:sz w:val="20"/>
                <w:szCs w:val="20"/>
                <w:color w:val="auto"/>
              </w:rPr>
            </w:pPr>
            <w:r>
              <w:rPr>
                <w:rFonts w:ascii="Arial" w:cs="Arial" w:eastAsia="Arial" w:hAnsi="Arial"/>
                <w:sz w:val="15"/>
                <w:szCs w:val="15"/>
                <w:color w:val="auto"/>
              </w:rPr>
              <w:t>5.3%</w:t>
            </w:r>
          </w:p>
        </w:tc>
        <w:tc>
          <w:tcPr>
            <w:tcW w:w="1200" w:type="dxa"/>
            <w:vAlign w:val="bottom"/>
            <w:gridSpan w:val="3"/>
          </w:tcPr>
          <w:p>
            <w:pPr>
              <w:ind w:left="380"/>
              <w:spacing w:after="0"/>
              <w:rPr>
                <w:sz w:val="20"/>
                <w:szCs w:val="20"/>
                <w:color w:val="auto"/>
              </w:rPr>
            </w:pPr>
            <w:r>
              <w:rPr>
                <w:rFonts w:ascii="Arial" w:cs="Arial" w:eastAsia="Arial" w:hAnsi="Arial"/>
                <w:sz w:val="15"/>
                <w:szCs w:val="15"/>
                <w:color w:val="auto"/>
              </w:rPr>
              <w:t>149</w:t>
            </w:r>
            <w:r>
              <w:rPr>
                <w:rFonts w:ascii="Arial" w:cs="Arial" w:eastAsia="Arial" w:hAnsi="Arial"/>
                <w:sz w:val="16"/>
                <w:szCs w:val="16"/>
                <w:color w:val="auto"/>
              </w:rPr>
              <w:t>p;</w:t>
            </w:r>
          </w:p>
        </w:tc>
        <w:tc>
          <w:tcPr>
            <w:tcW w:w="800" w:type="dxa"/>
            <w:vAlign w:val="bottom"/>
          </w:tcPr>
          <w:p>
            <w:pPr>
              <w:jc w:val="right"/>
              <w:ind w:right="166"/>
              <w:spacing w:after="0"/>
              <w:rPr>
                <w:sz w:val="20"/>
                <w:szCs w:val="20"/>
                <w:color w:val="auto"/>
              </w:rPr>
            </w:pPr>
            <w:r>
              <w:rPr>
                <w:rFonts w:ascii="Arial" w:cs="Arial" w:eastAsia="Arial" w:hAnsi="Arial"/>
                <w:sz w:val="15"/>
                <w:szCs w:val="15"/>
                <w:color w:val="auto"/>
              </w:rPr>
              <w:t>6.8%</w:t>
            </w: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140</w:t>
            </w:r>
          </w:p>
        </w:tc>
        <w:tc>
          <w:tcPr>
            <w:tcW w:w="260" w:type="dxa"/>
            <w:vAlign w:val="bottom"/>
          </w:tcPr>
          <w:p>
            <w:pPr>
              <w:spacing w:after="0"/>
              <w:rPr>
                <w:sz w:val="18"/>
                <w:szCs w:val="18"/>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2.2%</w:t>
            </w: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Class C</w:t>
            </w:r>
          </w:p>
        </w:tc>
        <w:tc>
          <w:tcPr>
            <w:tcW w:w="114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1,745</w:t>
            </w:r>
          </w:p>
        </w:tc>
        <w:tc>
          <w:tcPr>
            <w:tcW w:w="7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39.4%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1,225</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55.8%</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3,238</w:t>
            </w:r>
          </w:p>
        </w:tc>
        <w:tc>
          <w:tcPr>
            <w:tcW w:w="2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50.5%</w:t>
            </w:r>
          </w:p>
        </w:tc>
        <w:tc>
          <w:tcPr>
            <w:tcW w:w="4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4,438</w:t>
            </w:r>
          </w:p>
        </w:tc>
        <w:tc>
          <w:tcPr>
            <w:tcW w:w="5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46.9%</w:t>
            </w:r>
          </w:p>
        </w:tc>
        <w:tc>
          <w:tcPr>
            <w:tcW w:w="102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5,388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54.7%</w:t>
            </w:r>
          </w:p>
        </w:tc>
        <w:tc>
          <w:tcPr>
            <w:tcW w:w="0" w:type="dxa"/>
            <w:vAlign w:val="bottom"/>
          </w:tcPr>
          <w:p>
            <w:pPr>
              <w:spacing w:after="0"/>
              <w:rPr>
                <w:sz w:val="1"/>
                <w:szCs w:val="1"/>
                <w:color w:val="auto"/>
              </w:rPr>
            </w:pPr>
          </w:p>
        </w:tc>
      </w:tr>
      <w:tr>
        <w:trPr>
          <w:trHeight w:val="240"/>
        </w:trPr>
        <w:tc>
          <w:tcPr>
            <w:tcW w:w="2160" w:type="dxa"/>
            <w:vAlign w:val="bottom"/>
          </w:tcPr>
          <w:p>
            <w:pPr>
              <w:ind w:left="20"/>
              <w:spacing w:after="0"/>
              <w:rPr>
                <w:sz w:val="20"/>
                <w:szCs w:val="20"/>
                <w:color w:val="auto"/>
              </w:rPr>
            </w:pPr>
            <w:r>
              <w:rPr>
                <w:rFonts w:ascii="Arial" w:cs="Arial" w:eastAsia="Arial" w:hAnsi="Arial"/>
                <w:sz w:val="15"/>
                <w:szCs w:val="15"/>
                <w:color w:val="auto"/>
              </w:rPr>
              <w:t>Total motor homes</w:t>
            </w:r>
          </w:p>
        </w:tc>
        <w:tc>
          <w:tcPr>
            <w:tcW w:w="1140" w:type="dxa"/>
            <w:vAlign w:val="bottom"/>
          </w:tcPr>
          <w:p>
            <w:pPr>
              <w:jc w:val="right"/>
              <w:ind w:right="306"/>
              <w:spacing w:after="0"/>
              <w:rPr>
                <w:sz w:val="20"/>
                <w:szCs w:val="20"/>
                <w:color w:val="auto"/>
              </w:rPr>
            </w:pPr>
            <w:r>
              <w:rPr>
                <w:rFonts w:ascii="Arial" w:cs="Arial" w:eastAsia="Arial" w:hAnsi="Arial"/>
                <w:sz w:val="15"/>
                <w:szCs w:val="15"/>
                <w:color w:val="auto"/>
              </w:rPr>
              <w:t>4,433</w:t>
            </w:r>
          </w:p>
        </w:tc>
        <w:tc>
          <w:tcPr>
            <w:tcW w:w="780" w:type="dxa"/>
            <w:vAlign w:val="bottom"/>
          </w:tcPr>
          <w:p>
            <w:pPr>
              <w:jc w:val="right"/>
              <w:ind w:right="206"/>
              <w:spacing w:after="0"/>
              <w:rPr>
                <w:sz w:val="20"/>
                <w:szCs w:val="20"/>
                <w:color w:val="auto"/>
              </w:rPr>
            </w:pPr>
            <w:r>
              <w:rPr>
                <w:rFonts w:ascii="Arial" w:cs="Arial" w:eastAsia="Arial" w:hAnsi="Arial"/>
                <w:sz w:val="15"/>
                <w:szCs w:val="15"/>
                <w:color w:val="auto"/>
                <w:w w:val="94"/>
              </w:rPr>
              <w:t>100.0%</w:t>
            </w:r>
          </w:p>
        </w:tc>
        <w:tc>
          <w:tcPr>
            <w:tcW w:w="980" w:type="dxa"/>
            <w:vAlign w:val="bottom"/>
            <w:gridSpan w:val="2"/>
          </w:tcPr>
          <w:p>
            <w:pPr>
              <w:jc w:val="right"/>
              <w:ind w:right="360"/>
              <w:spacing w:after="0"/>
              <w:rPr>
                <w:sz w:val="20"/>
                <w:szCs w:val="20"/>
                <w:color w:val="auto"/>
              </w:rPr>
            </w:pPr>
            <w:r>
              <w:rPr>
                <w:rFonts w:ascii="Arial" w:cs="Arial" w:eastAsia="Arial" w:hAnsi="Arial"/>
                <w:sz w:val="15"/>
                <w:szCs w:val="15"/>
                <w:color w:val="auto"/>
              </w:rPr>
              <w:t>2,196</w:t>
            </w:r>
          </w:p>
        </w:tc>
        <w:tc>
          <w:tcPr>
            <w:tcW w:w="220" w:type="dxa"/>
            <w:vAlign w:val="bottom"/>
          </w:tcPr>
          <w:p>
            <w:pPr>
              <w:spacing w:after="0"/>
              <w:rPr>
                <w:sz w:val="20"/>
                <w:szCs w:val="20"/>
                <w:color w:val="auto"/>
              </w:rPr>
            </w:pPr>
          </w:p>
        </w:tc>
        <w:tc>
          <w:tcPr>
            <w:tcW w:w="800" w:type="dxa"/>
            <w:vAlign w:val="bottom"/>
          </w:tcPr>
          <w:p>
            <w:pPr>
              <w:jc w:val="right"/>
              <w:ind w:right="166"/>
              <w:spacing w:after="0"/>
              <w:rPr>
                <w:sz w:val="20"/>
                <w:szCs w:val="20"/>
                <w:color w:val="auto"/>
              </w:rPr>
            </w:pPr>
            <w:r>
              <w:rPr>
                <w:rFonts w:ascii="Arial" w:cs="Arial" w:eastAsia="Arial" w:hAnsi="Arial"/>
                <w:sz w:val="15"/>
                <w:szCs w:val="15"/>
                <w:color w:val="auto"/>
              </w:rPr>
              <w:t>100.0%</w:t>
            </w: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6,407</w:t>
            </w:r>
          </w:p>
        </w:tc>
        <w:tc>
          <w:tcPr>
            <w:tcW w:w="260" w:type="dxa"/>
            <w:vAlign w:val="bottom"/>
          </w:tcPr>
          <w:p>
            <w:pPr>
              <w:spacing w:after="0"/>
              <w:rPr>
                <w:sz w:val="20"/>
                <w:szCs w:val="20"/>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w w:val="98"/>
              </w:rPr>
              <w:t>100.0%</w:t>
            </w:r>
          </w:p>
        </w:tc>
        <w:tc>
          <w:tcPr>
            <w:tcW w:w="440" w:type="dxa"/>
            <w:vAlign w:val="bottom"/>
          </w:tcPr>
          <w:p>
            <w:pPr>
              <w:jc w:val="right"/>
              <w:spacing w:after="0"/>
              <w:rPr>
                <w:sz w:val="20"/>
                <w:szCs w:val="20"/>
                <w:color w:val="auto"/>
              </w:rPr>
            </w:pPr>
            <w:r>
              <w:rPr>
                <w:rFonts w:ascii="Arial" w:cs="Arial" w:eastAsia="Arial" w:hAnsi="Arial"/>
                <w:sz w:val="15"/>
                <w:szCs w:val="15"/>
                <w:color w:val="auto"/>
              </w:rPr>
              <w:t>9,469</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186"/>
              <w:spacing w:after="0"/>
              <w:rPr>
                <w:sz w:val="20"/>
                <w:szCs w:val="20"/>
                <w:color w:val="auto"/>
              </w:rPr>
            </w:pPr>
            <w:r>
              <w:rPr>
                <w:rFonts w:ascii="Arial" w:cs="Arial" w:eastAsia="Arial" w:hAnsi="Arial"/>
                <w:sz w:val="15"/>
                <w:szCs w:val="15"/>
                <w:color w:val="auto"/>
              </w:rPr>
              <w:t>100.0%</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9,843</w:t>
            </w:r>
          </w:p>
        </w:tc>
        <w:tc>
          <w:tcPr>
            <w:tcW w:w="520" w:type="dxa"/>
            <w:vAlign w:val="bottom"/>
          </w:tcPr>
          <w:p>
            <w:pPr>
              <w:jc w:val="right"/>
              <w:spacing w:after="0"/>
              <w:rPr>
                <w:sz w:val="20"/>
                <w:szCs w:val="20"/>
                <w:color w:val="auto"/>
              </w:rPr>
            </w:pPr>
            <w:r>
              <w:rPr>
                <w:rFonts w:ascii="Arial" w:cs="Arial" w:eastAsia="Arial" w:hAnsi="Arial"/>
                <w:sz w:val="15"/>
                <w:szCs w:val="15"/>
                <w:color w:val="auto"/>
                <w:w w:val="94"/>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-821690</wp:posOffset>
            </wp:positionV>
            <wp:extent cx="249237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2375" cy="25717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3175</wp:posOffset>
            </wp:positionV>
            <wp:extent cx="588835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pacing w:after="0" w:line="26" w:lineRule="exact"/>
        <w:rPr>
          <w:sz w:val="20"/>
          <w:szCs w:val="20"/>
          <w:color w:val="auto"/>
        </w:rPr>
      </w:pPr>
    </w:p>
    <w:p>
      <w:pPr>
        <w:ind w:left="266" w:hanging="266"/>
        <w:spacing w:after="0"/>
        <w:tabs>
          <w:tab w:leader="none" w:pos="266" w:val="left"/>
        </w:tabs>
        <w:numPr>
          <w:ilvl w:val="0"/>
          <w:numId w:val="3"/>
        </w:numPr>
        <w:rPr>
          <w:rFonts w:ascii="Arial" w:cs="Arial" w:eastAsia="Arial" w:hAnsi="Arial"/>
          <w:sz w:val="8"/>
          <w:szCs w:val="8"/>
          <w:color w:val="auto"/>
        </w:rPr>
      </w:pPr>
      <w:r>
        <w:rPr>
          <w:rFonts w:ascii="Arial" w:cs="Arial" w:eastAsia="Arial" w:hAnsi="Arial"/>
          <w:sz w:val="13"/>
          <w:szCs w:val="13"/>
          <w:color w:val="auto"/>
        </w:rPr>
        <w:t>The fiscal year ended August 30, 2008 contained 53 weeks; all other fiscal years contained 52 weeks.</w:t>
      </w:r>
    </w:p>
    <w:p>
      <w:pPr>
        <w:spacing w:after="0" w:line="140" w:lineRule="exact"/>
        <w:rPr>
          <w:sz w:val="20"/>
          <w:szCs w:val="20"/>
          <w:color w:val="auto"/>
        </w:rPr>
      </w:pPr>
    </w:p>
    <w:p>
      <w:pPr>
        <w:jc w:val="both"/>
        <w:ind w:left="26" w:right="240"/>
        <w:spacing w:after="0" w:line="263" w:lineRule="auto"/>
        <w:rPr>
          <w:sz w:val="20"/>
          <w:szCs w:val="20"/>
          <w:color w:val="auto"/>
        </w:rPr>
      </w:pPr>
      <w:r>
        <w:rPr>
          <w:rFonts w:ascii="Arial" w:cs="Arial" w:eastAsia="Arial" w:hAnsi="Arial"/>
          <w:sz w:val="16"/>
          <w:szCs w:val="16"/>
          <w:color w:val="auto"/>
        </w:rPr>
        <w:t>The primary use of recreation vehicles for leisure travel and outdoor recreation has historically led to a peak retail selling season concentrated in the spring and summer months. Our sales of recreation vehicles are generally influenced by this pattern in retail sales, but can also be affected by the level of dealer inventory. Our products are generally manufactured against orders from dealers.</w:t>
      </w:r>
    </w:p>
    <w:p>
      <w:pPr>
        <w:spacing w:after="0" w:line="111" w:lineRule="exact"/>
        <w:rPr>
          <w:sz w:val="20"/>
          <w:szCs w:val="20"/>
          <w:color w:val="auto"/>
        </w:rPr>
      </w:pPr>
    </w:p>
    <w:p>
      <w:pPr>
        <w:ind w:left="26" w:right="80"/>
        <w:spacing w:after="0" w:line="269" w:lineRule="auto"/>
        <w:rPr>
          <w:sz w:val="20"/>
          <w:szCs w:val="20"/>
          <w:color w:val="auto"/>
        </w:rPr>
      </w:pPr>
      <w:r>
        <w:rPr>
          <w:rFonts w:ascii="Arial" w:cs="Arial" w:eastAsia="Arial" w:hAnsi="Arial"/>
          <w:sz w:val="16"/>
          <w:szCs w:val="16"/>
          <w:b w:val="1"/>
          <w:bCs w:val="1"/>
          <w:color w:val="auto"/>
        </w:rPr>
        <w:t>Motor Home Parts an d Services</w:t>
      </w:r>
      <w:r>
        <w:rPr>
          <w:rFonts w:ascii="Arial" w:cs="Arial" w:eastAsia="Arial" w:hAnsi="Arial"/>
          <w:sz w:val="16"/>
          <w:szCs w:val="16"/>
          <w:color w:val="auto"/>
        </w:rPr>
        <w:t>. Motor home parts and service activities represent revenues generated by service work we perform for retail customers at</w:t>
      </w:r>
      <w:r>
        <w:rPr>
          <w:rFonts w:ascii="Arial" w:cs="Arial" w:eastAsia="Arial" w:hAnsi="Arial"/>
          <w:sz w:val="16"/>
          <w:szCs w:val="16"/>
          <w:b w:val="1"/>
          <w:bCs w:val="1"/>
          <w:color w:val="auto"/>
        </w:rPr>
        <w:t xml:space="preserve"> </w:t>
      </w:r>
      <w:r>
        <w:rPr>
          <w:rFonts w:ascii="Arial" w:cs="Arial" w:eastAsia="Arial" w:hAnsi="Arial"/>
          <w:sz w:val="16"/>
          <w:szCs w:val="16"/>
          <w:color w:val="auto"/>
        </w:rPr>
        <w:t>our Forest City, Iowa facility and parts we sell to our dealers. As of August 28, 2010, our parts inventory was approximately $2.2 million and is located in a 450,000-square foot warehouse with what we believe to be the most sophisticated distribution and tracking system in the industry. Our competitive strategy is to provide proprietary manufactured parts through our dealer network, which we believe increases customer satisfaction and the value of our motor homes.</w:t>
      </w:r>
    </w:p>
    <w:p>
      <w:pPr>
        <w:spacing w:after="0" w:line="107" w:lineRule="exact"/>
        <w:rPr>
          <w:sz w:val="20"/>
          <w:szCs w:val="20"/>
          <w:color w:val="auto"/>
        </w:rPr>
      </w:pPr>
    </w:p>
    <w:p>
      <w:pPr>
        <w:ind w:left="26" w:right="220"/>
        <w:spacing w:after="0" w:line="297" w:lineRule="auto"/>
        <w:rPr>
          <w:sz w:val="20"/>
          <w:szCs w:val="20"/>
          <w:color w:val="auto"/>
        </w:rPr>
      </w:pPr>
      <w:r>
        <w:rPr>
          <w:rFonts w:ascii="Arial" w:cs="Arial" w:eastAsia="Arial" w:hAnsi="Arial"/>
          <w:sz w:val="16"/>
          <w:szCs w:val="16"/>
          <w:b w:val="1"/>
          <w:bCs w:val="1"/>
          <w:color w:val="auto"/>
        </w:rPr>
        <w:t>Other Manufactured Products</w:t>
      </w:r>
      <w:r>
        <w:rPr>
          <w:rFonts w:ascii="Arial" w:cs="Arial" w:eastAsia="Arial" w:hAnsi="Arial"/>
          <w:sz w:val="16"/>
          <w:szCs w:val="16"/>
          <w:color w:val="auto"/>
        </w:rPr>
        <w:t>. We manufa cture aluminum extrusions which are sold to approximately 70 customers. To a limited extent, we manufacture</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component parts sold to outside manufacturers. We also manufacture commercial</w:t>
      </w:r>
    </w:p>
    <w:p>
      <w:pPr>
        <w:spacing w:after="0" w:line="33"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46"/>
          </w:cols>
          <w:pgMar w:left="214" w:top="106" w:right="239" w:bottom="1440" w:gutter="0" w:footer="0" w:header="0"/>
        </w:sectPr>
      </w:pPr>
    </w:p>
    <w:bookmarkStart w:id="4" w:name="page5"/>
    <w:bookmarkEnd w:id="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8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vehicles which are motor home shells, primarily custom designed for the buyer's special needs and requirements, such as law enforcement command centers and mobile medical and d ental clinics. These commercial vehicles are sold through our dealer network.</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79" w:lineRule="exact"/>
        <w:rPr>
          <w:sz w:val="20"/>
          <w:szCs w:val="20"/>
          <w:color w:val="auto"/>
        </w:rPr>
      </w:pPr>
    </w:p>
    <w:p>
      <w:pPr>
        <w:ind w:right="600"/>
        <w:spacing w:after="0" w:line="271" w:lineRule="auto"/>
        <w:rPr>
          <w:sz w:val="20"/>
          <w:szCs w:val="20"/>
          <w:color w:val="auto"/>
        </w:rPr>
      </w:pPr>
      <w:r>
        <w:rPr>
          <w:rFonts w:ascii="Arial" w:cs="Arial" w:eastAsia="Arial" w:hAnsi="Arial"/>
          <w:sz w:val="16"/>
          <w:szCs w:val="16"/>
          <w:color w:val="auto"/>
        </w:rPr>
        <w:t>We generally produce motor homes to order from dealers. We have the ability to increase our capacity by scheduling overtime and/or hiring additional production employees or to decrease our capacity through the use of shortened workweeks and/or reducing head count.</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Forest City facilities have been designe d to provide vertically integrated production line manufacturing. We also operate a cabinet products manufacturing facility in Charles City, Iowa. Our motor home bodies are made from various materials and structural components which are typically laminated into rigid, lightweight panels. Body designs are developed with computer design and analysis and subjected to a variety of tests and evaluations to meet our standards and requirements. We manufacture a number of components utilized in our motor homes, with the principal exceptions being chassis, engines, generators and appliances.</w:t>
      </w:r>
    </w:p>
    <w:p>
      <w:pPr>
        <w:spacing w:after="0" w:line="13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Most of our raw materials such as steel, aluminum, fiberglass and wood products are obtainable from numerous sources. Certain parts, especially motor home chassis, are available from a small group of suppliers. We are currently purchasing Class A and C chassis from Ford Motor Company, Mercedes-Benz Canada (a Daimler company) and Mercedes-Benz USA (a Daimler company) and Class A chassis from Freightliner Custom Chassis Corporation (a Daimler company). In Fiscal 2010, only two vendors, Ford Motor Company and Freightliner Custom Chassis Corporation individually accounted for more than 10 percent of our raw material purchases and approximating 35 percent in the aggregate.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As of August 28, 2010, we had a backlog for our motor homes of 818 units with an approximate revenue value of $82.8 million. In comparison as of</w:t>
      </w:r>
    </w:p>
    <w:p>
      <w:pPr>
        <w:spacing w:after="0" w:line="1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August 29, 2009, our backlog was 940 units with an approximate revenue value of $86.6 million. A more detailed description of our motor home order backlog is included in Item 7, "Management's Discussion and Analysis of Financial Condition and Results of Operations" below.</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market our motor homes on a wholesale basis to a diversified independent dealer organization located throughout the United States and, to a limited extent, in Canada. Foreign sales, including Canada, were less than nine percent of net revenues during each of the past three fiscal years. As of August 28, 2010 and August 29, 2009, our motor home dealer organization in the United States and Canada included approximately 230 and 245 dealer locations, respectively. We have a number of dealers that carry our Winnebago, Itasca and ERA brands; we count each dealer location only once regardless of how many of our brands are offered at each such dealer location. During Fiscal 2010, three dealer organizations accounted for approximately 25 percent of our net revenues. One of our dealer organizations, FreedomRoads, LLC, accounted for 15 percent of our net revenue, as they sold our products in 32 of their dealership locations across 20 U.S. states.</w:t>
      </w:r>
    </w:p>
    <w:p>
      <w:pPr>
        <w:spacing w:after="0" w:line="136"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have sales and service agreements with dealers which generally have a term of ten years but are subject to annual review. Many of the dealers are also engaged in other areas of business, including the sale of automobiles, trailers or boats, and many dealers carry one or more competitive lines of motor homes. We continue to place high emphasis on the capability of our dealers to provide complete service for our motor homes. Dealers are obligated to provide full service for owners of our recreation vehicles or, in lieu thereof, to secure such service from other authorized providers.</w:t>
      </w:r>
    </w:p>
    <w:p>
      <w:pPr>
        <w:spacing w:after="0" w:line="132"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31"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Recreation vehicle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recreation vehicle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Our maximum exposure for repurchases varies significantly from time to time, depending upon general economi c conditions, seasonal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00"/>
          </w:cols>
          <w:pgMar w:left="240" w:top="106" w:right="259" w:bottom="1440" w:gutter="0" w:footer="0" w:header="0"/>
        </w:sectPr>
      </w:pPr>
    </w:p>
    <w:bookmarkStart w:id="5" w:name="page6"/>
    <w:bookmarkEnd w:id="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shipments, competition, dealer organization, gasoline availability and access to and the cost of bank financing. (See Note 9.)</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recreation vehicle market is highly competitive with many other manufacturers selling products which compete directly with our products. Some of our competitors are much larger than us as they also participate in the towable recreation vehicle market, which may provide them additional purchasing power. Also, some of our competitors went through Chapter 11 bankruptcy protection and their assets were purchased without many of their liabilities, thus reducing their cost structure as compared to ours. The competition in the motor home industry is based upon design, price, quality and service of the products. We believe our principal competitive advantages are our b rand strength, product quality and our service after the sale. We also believe that our products have historically commanded a price premium as a result of these competitive advantages.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Trademarks and Patents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subject to a variety of federal, state and local laws and regulations, including the National Traffic and Motor Vehicle Safety Act, under which the National Highway Traffic Safety Administration may require manufacturers to recall recreation vehicles that contain safety-related defects, and numerous state con sumer protection laws and regulations relating to the operation of motor vehicles, including so-called "Lemon Laws." We are also subject to regulations established by the Occupational Safety and Health Administration (OSHA). Our facilities are periodically inspected by federal and state agencies, such as OSHA. We believe that our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our products and could have a material adverse effect on our results of operations. Our failure to comply with present or future regulations could result in fines being imposed on us, potential civil and criminal liability, suspension of sales or production or cessation of operations. In addition, a major product recall could have a material adverse effect on our results of operations.</w:t>
      </w:r>
    </w:p>
    <w:p>
      <w:pPr>
        <w:spacing w:after="0" w:line="14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and disposal of hazardous materials and wastes and noise pollution. Although we believe that we currently are in material compliance with applicable environmental regulations, the failure by us to comply with present or future laws and regulations could result in fines being imposed on us, potential civil and criminal liability, suspension of production or operations, alterations to the manufacturing process or costly cleanup or capital expenditures.</w:t>
      </w:r>
    </w:p>
    <w:p>
      <w:pPr>
        <w:spacing w:after="0" w:line="13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We have several registered trademarks which include: Adventurer, Aspect, Cambria, Ellipse, ERA, Impulse, Itasca, Journey, Meridian , Navion, Outlook, Reyo, Sightseer, Suncruiser, Sunova, Sunstar, Tour, Via, View, Vista, and Winnebago. We believe that our trademarks and trade names are significant to our business and we will vigorously protect them against infringement. We are not dependent upon any patents or technology licenses for the conduct of our business.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Research and development expenditures are expensed as incurred. During Fiscal 2010, 2009 and 2008, we spent approximately $3.2 million, $3.3 million and $4.1 million, respectively on research and development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179"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color w:val="auto"/>
        </w:rPr>
        <w:t>At the end of Fiscal 2010, 2009 and 2008, we employed approximately 1,950, 1,630 and 2,250 persons, respectively. None of our employees are covered under a collective bargaining agreement. We believe our relations with our employees are good.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40" w:top="15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3160" w:type="dxa"/>
            <w:vAlign w:val="bottom"/>
            <w:gridSpan w:val="2"/>
          </w:tcPr>
          <w:p>
            <w:pPr>
              <w:spacing w:after="0"/>
              <w:rPr>
                <w:rFonts w:ascii="Arial" w:cs="Arial" w:eastAsia="Arial" w:hAnsi="Arial"/>
                <w:sz w:val="15"/>
                <w:szCs w:val="15"/>
                <w:color w:val="0000FF"/>
              </w:rPr>
            </w:pPr>
            <w:hyperlink w:anchor="page1">
              <w:r>
                <w:rPr>
                  <w:rFonts w:ascii="Arial" w:cs="Arial" w:eastAsia="Arial" w:hAnsi="Arial"/>
                  <w:sz w:val="15"/>
                  <w:szCs w:val="15"/>
                  <w:color w:val="0000FF"/>
                </w:rPr>
                <w:t>Table of Contents</w:t>
              </w:r>
            </w:hyperlink>
          </w:p>
        </w:tc>
        <w:tc>
          <w:tcPr>
            <w:tcW w:w="6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96"/>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6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50"/>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64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Office (Year First Elected an Officer)</w:t>
            </w:r>
          </w:p>
        </w:tc>
        <w:tc>
          <w:tcPr>
            <w:tcW w:w="18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Age</w:t>
            </w:r>
          </w:p>
        </w:tc>
      </w:tr>
      <w:tr>
        <w:trPr>
          <w:trHeight w:val="23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J. Olson +</w:t>
            </w:r>
          </w:p>
        </w:tc>
        <w:tc>
          <w:tcPr>
            <w:tcW w:w="6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Chairman of the Board, Chief Executive Officer and President (1996)</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59</w:t>
            </w:r>
          </w:p>
        </w:tc>
      </w:tr>
      <w:tr>
        <w:trPr>
          <w:trHeight w:val="226"/>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Raymond M. Beebe</w:t>
            </w:r>
          </w:p>
        </w:tc>
        <w:tc>
          <w:tcPr>
            <w:tcW w:w="6440" w:type="dxa"/>
            <w:vAlign w:val="bottom"/>
          </w:tcPr>
          <w:p>
            <w:pPr>
              <w:ind w:left="400"/>
              <w:spacing w:after="0"/>
              <w:rPr>
                <w:sz w:val="20"/>
                <w:szCs w:val="20"/>
                <w:color w:val="auto"/>
              </w:rPr>
            </w:pPr>
            <w:r>
              <w:rPr>
                <w:rFonts w:ascii="Arial" w:cs="Arial" w:eastAsia="Arial" w:hAnsi="Arial"/>
                <w:sz w:val="16"/>
                <w:szCs w:val="16"/>
                <w:color w:val="auto"/>
              </w:rPr>
              <w:t>Vice President, General Counsel &amp; Secretary (1974)</w:t>
            </w:r>
          </w:p>
        </w:tc>
        <w:tc>
          <w:tcPr>
            <w:tcW w:w="1820" w:type="dxa"/>
            <w:vAlign w:val="bottom"/>
          </w:tcPr>
          <w:p>
            <w:pPr>
              <w:jc w:val="right"/>
              <w:ind w:right="18"/>
              <w:spacing w:after="0"/>
              <w:rPr>
                <w:sz w:val="20"/>
                <w:szCs w:val="20"/>
                <w:color w:val="auto"/>
              </w:rPr>
            </w:pPr>
            <w:r>
              <w:rPr>
                <w:rFonts w:ascii="Arial" w:cs="Arial" w:eastAsia="Arial" w:hAnsi="Arial"/>
                <w:sz w:val="16"/>
                <w:szCs w:val="16"/>
                <w:color w:val="auto"/>
              </w:rPr>
              <w:t>68</w:t>
            </w:r>
          </w:p>
        </w:tc>
      </w:tr>
      <w:tr>
        <w:trPr>
          <w:trHeight w:val="24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L. Gossett</w:t>
            </w:r>
          </w:p>
        </w:tc>
        <w:tc>
          <w:tcPr>
            <w:tcW w:w="6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Vice President, Administration (1998)</w:t>
            </w:r>
          </w:p>
        </w:tc>
        <w:tc>
          <w:tcPr>
            <w:tcW w:w="182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59</w:t>
            </w:r>
          </w:p>
        </w:tc>
      </w:tr>
      <w:tr>
        <w:trPr>
          <w:trHeight w:val="226"/>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Daryl W. Krieger</w:t>
            </w:r>
          </w:p>
        </w:tc>
        <w:tc>
          <w:tcPr>
            <w:tcW w:w="6440" w:type="dxa"/>
            <w:vAlign w:val="bottom"/>
          </w:tcPr>
          <w:p>
            <w:pPr>
              <w:ind w:left="400"/>
              <w:spacing w:after="0"/>
              <w:rPr>
                <w:sz w:val="20"/>
                <w:szCs w:val="20"/>
                <w:color w:val="auto"/>
              </w:rPr>
            </w:pPr>
            <w:r>
              <w:rPr>
                <w:rFonts w:ascii="Arial" w:cs="Arial" w:eastAsia="Arial" w:hAnsi="Arial"/>
                <w:sz w:val="16"/>
                <w:szCs w:val="16"/>
                <w:color w:val="auto"/>
              </w:rPr>
              <w:t>Vice President, Manufacturing (2010)</w:t>
            </w:r>
          </w:p>
        </w:tc>
        <w:tc>
          <w:tcPr>
            <w:tcW w:w="1820" w:type="dxa"/>
            <w:vAlign w:val="bottom"/>
          </w:tcPr>
          <w:p>
            <w:pPr>
              <w:jc w:val="right"/>
              <w:ind w:right="18"/>
              <w:spacing w:after="0"/>
              <w:rPr>
                <w:sz w:val="20"/>
                <w:szCs w:val="20"/>
                <w:color w:val="auto"/>
              </w:rPr>
            </w:pPr>
            <w:r>
              <w:rPr>
                <w:rFonts w:ascii="Arial" w:cs="Arial" w:eastAsia="Arial" w:hAnsi="Arial"/>
                <w:sz w:val="16"/>
                <w:szCs w:val="16"/>
                <w:color w:val="auto"/>
              </w:rPr>
              <w:t>47</w:t>
            </w:r>
          </w:p>
        </w:tc>
      </w:tr>
      <w:tr>
        <w:trPr>
          <w:trHeight w:val="24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Roger W. Martin</w:t>
            </w:r>
          </w:p>
        </w:tc>
        <w:tc>
          <w:tcPr>
            <w:tcW w:w="6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Vice President, Sales and Marketing (2003)</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50</w:t>
            </w:r>
          </w:p>
        </w:tc>
      </w:tr>
      <w:tr>
        <w:trPr>
          <w:trHeight w:val="226"/>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Sarah N. Nielsen</w:t>
            </w:r>
          </w:p>
        </w:tc>
        <w:tc>
          <w:tcPr>
            <w:tcW w:w="6440" w:type="dxa"/>
            <w:vAlign w:val="bottom"/>
          </w:tcPr>
          <w:p>
            <w:pPr>
              <w:ind w:left="400"/>
              <w:spacing w:after="0"/>
              <w:rPr>
                <w:sz w:val="20"/>
                <w:szCs w:val="20"/>
                <w:color w:val="auto"/>
              </w:rPr>
            </w:pPr>
            <w:r>
              <w:rPr>
                <w:rFonts w:ascii="Arial" w:cs="Arial" w:eastAsia="Arial" w:hAnsi="Arial"/>
                <w:sz w:val="16"/>
                <w:szCs w:val="16"/>
                <w:color w:val="auto"/>
              </w:rPr>
              <w:t>Vice President, Chief Financial Officer (2005)</w:t>
            </w:r>
          </w:p>
        </w:tc>
        <w:tc>
          <w:tcPr>
            <w:tcW w:w="1820" w:type="dxa"/>
            <w:vAlign w:val="bottom"/>
          </w:tcPr>
          <w:p>
            <w:pPr>
              <w:jc w:val="right"/>
              <w:ind w:right="18"/>
              <w:spacing w:after="0"/>
              <w:rPr>
                <w:sz w:val="20"/>
                <w:szCs w:val="20"/>
                <w:color w:val="auto"/>
              </w:rPr>
            </w:pPr>
            <w:r>
              <w:rPr>
                <w:rFonts w:ascii="Arial" w:cs="Arial" w:eastAsia="Arial" w:hAnsi="Arial"/>
                <w:sz w:val="16"/>
                <w:szCs w:val="16"/>
                <w:color w:val="auto"/>
              </w:rPr>
              <w:t>37</w:t>
            </w:r>
          </w:p>
        </w:tc>
      </w:tr>
      <w:tr>
        <w:trPr>
          <w:trHeight w:val="24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J. O'Leary</w:t>
            </w:r>
          </w:p>
        </w:tc>
        <w:tc>
          <w:tcPr>
            <w:tcW w:w="6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Vice President, Product Development (2001)</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61</w:t>
            </w:r>
          </w:p>
        </w:tc>
      </w:tr>
      <w:tr>
        <w:trPr>
          <w:trHeight w:val="226"/>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Randy J. Potts</w:t>
            </w:r>
          </w:p>
        </w:tc>
        <w:tc>
          <w:tcPr>
            <w:tcW w:w="6440" w:type="dxa"/>
            <w:vAlign w:val="bottom"/>
          </w:tcPr>
          <w:p>
            <w:pPr>
              <w:ind w:left="400"/>
              <w:spacing w:after="0"/>
              <w:rPr>
                <w:sz w:val="20"/>
                <w:szCs w:val="20"/>
                <w:color w:val="auto"/>
              </w:rPr>
            </w:pPr>
            <w:r>
              <w:rPr>
                <w:rFonts w:ascii="Arial" w:cs="Arial" w:eastAsia="Arial" w:hAnsi="Arial"/>
                <w:sz w:val="16"/>
                <w:szCs w:val="16"/>
                <w:color w:val="auto"/>
              </w:rPr>
              <w:t>Senior Vice President, Strategic Planning (2006)</w:t>
            </w:r>
          </w:p>
        </w:tc>
        <w:tc>
          <w:tcPr>
            <w:tcW w:w="1820" w:type="dxa"/>
            <w:vAlign w:val="bottom"/>
          </w:tcPr>
          <w:p>
            <w:pPr>
              <w:jc w:val="right"/>
              <w:ind w:right="18"/>
              <w:spacing w:after="0"/>
              <w:rPr>
                <w:sz w:val="20"/>
                <w:szCs w:val="20"/>
                <w:color w:val="auto"/>
              </w:rPr>
            </w:pPr>
            <w:r>
              <w:rPr>
                <w:rFonts w:ascii="Arial" w:cs="Arial" w:eastAsia="Arial" w:hAnsi="Arial"/>
                <w:sz w:val="16"/>
                <w:szCs w:val="16"/>
                <w:color w:val="auto"/>
              </w:rPr>
              <w:t>51</w:t>
            </w:r>
          </w:p>
        </w:tc>
      </w:tr>
      <w:tr>
        <w:trPr>
          <w:trHeight w:val="25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Brian J. Hrubes</w:t>
            </w:r>
          </w:p>
        </w:tc>
        <w:tc>
          <w:tcPr>
            <w:tcW w:w="6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&lt; font style="font-family:Arial;font-size:10pt;"&gt;Controller (1996)</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59</w:t>
            </w:r>
          </w:p>
        </w:tc>
      </w:tr>
      <w:tr>
        <w:trPr>
          <w:trHeight w:val="232"/>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Donald L. Heidemann</w:t>
            </w:r>
          </w:p>
        </w:tc>
        <w:tc>
          <w:tcPr>
            <w:tcW w:w="6440" w:type="dxa"/>
            <w:vAlign w:val="bottom"/>
          </w:tcPr>
          <w:p>
            <w:pPr>
              <w:ind w:left="400"/>
              <w:spacing w:after="0"/>
              <w:rPr>
                <w:sz w:val="20"/>
                <w:szCs w:val="20"/>
                <w:color w:val="auto"/>
              </w:rPr>
            </w:pPr>
            <w:r>
              <w:rPr>
                <w:rFonts w:ascii="Arial" w:cs="Arial" w:eastAsia="Arial" w:hAnsi="Arial"/>
                <w:sz w:val="16"/>
                <w:szCs w:val="16"/>
                <w:color w:val="auto"/>
              </w:rPr>
              <w:t>Treasurer (2007)</w:t>
            </w:r>
          </w:p>
        </w:tc>
        <w:tc>
          <w:tcPr>
            <w:tcW w:w="1820" w:type="dxa"/>
            <w:vAlign w:val="bottom"/>
          </w:tcPr>
          <w:p>
            <w:pPr>
              <w:jc w:val="right"/>
              <w:ind w:right="18"/>
              <w:spacing w:after="0"/>
              <w:rPr>
                <w:sz w:val="20"/>
                <w:szCs w:val="20"/>
                <w:color w:val="auto"/>
              </w:rPr>
            </w:pPr>
            <w:r>
              <w:rPr>
                <w:rFonts w:ascii="Arial" w:cs="Arial" w:eastAsia="Arial" w:hAnsi="Arial"/>
                <w:sz w:val="16"/>
                <w:szCs w:val="16"/>
                <w:color w:val="auto"/>
              </w:rPr>
              <w:t>38</w:t>
            </w:r>
          </w:p>
        </w:tc>
      </w:tr>
      <w:tr>
        <w:trPr>
          <w:trHeight w:val="196"/>
        </w:trPr>
        <w:tc>
          <w:tcPr>
            <w:tcW w:w="3160" w:type="dxa"/>
            <w:vAlign w:val="bottom"/>
            <w:gridSpan w:val="2"/>
          </w:tcPr>
          <w:p>
            <w:pPr>
              <w:spacing w:after="0"/>
              <w:rPr>
                <w:sz w:val="20"/>
                <w:szCs w:val="20"/>
                <w:color w:val="auto"/>
              </w:rPr>
            </w:pPr>
            <w:r>
              <w:rPr>
                <w:rFonts w:ascii="Arial" w:cs="Arial" w:eastAsia="Arial" w:hAnsi="Arial"/>
                <w:sz w:val="16"/>
                <w:szCs w:val="16"/>
                <w:color w:val="auto"/>
              </w:rPr>
              <w:t>+ Director</w:t>
            </w:r>
          </w:p>
        </w:tc>
        <w:tc>
          <w:tcPr>
            <w:tcW w:w="644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spacing w:after="0" w:line="147"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Officers are elected annually by the Board of Directors. There are no family relationships between or among any of the Corporate Officers or Directors of the Company.</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Mr. Olson has over 41 years of experience with Winnebago Industries. He was elected Chairman of the Board and Chief Executive Officer on May 5, 2008. He has been President since May 2007, previously serving as Senior Vice President, Operations, since January 2006. He served as Vice President, Manufacturing, from August 1996 to January 2006.</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Mr. Beebe has over 36 years of experience with Winnebago Industries. He has been Vice President, General Counsel and Secretary since 1986.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Mr. Gossett has over 11 years of experience with Winnebago Industries. He has been Vice President, Administration since joining the Company in 1998.</w:t>
      </w:r>
    </w:p>
    <w:p>
      <w:pPr>
        <w:spacing w:after="0" w:line="159"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Mr. Krieger has over 26 years of experience with Winnebago Industries. He has been Vice President, Manuf acturing since May 2010. Prior to that time, he served as Director of Manufacturing from November 2009 to May 2010 and General Manager - Fabrication from February 2002 to November 2009.</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Mr. Martin has over 16 years of experience with Winnebago Industries. He has been Vice President, Sales and Marketing since February 2003. He joined the Company as Director of Marketing in 1994.</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Ms. Nielsen has five years of experience with Winnebago Industries. She has been Vice President, Chief Financial Officer since November 2005. Ms. Nielsen joined the Company in August 2005 as Director of Special Projects and Training. Prior to joining Winnebago Industries, she was employed by Deloitte &amp; Touche LLP beginning in 1995; she was in the posi tion of Assurance and Advisory Services Senior Manager from 2003 to August 2005.</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Mr. O'Leary has over 38 years of experience with Winnebago Industries. He has been Vice President, Product Development since 2001.</w:t>
      </w:r>
    </w:p>
    <w:p>
      <w:pPr>
        <w:spacing w:after="0" w:line="159" w:lineRule="exact"/>
        <w:rPr>
          <w:sz w:val="20"/>
          <w:szCs w:val="20"/>
          <w:color w:val="auto"/>
        </w:rPr>
      </w:pPr>
    </w:p>
    <w:p>
      <w:pPr>
        <w:jc w:val="both"/>
        <w:ind w:right="120"/>
        <w:spacing w:after="0" w:line="263" w:lineRule="auto"/>
        <w:rPr>
          <w:sz w:val="20"/>
          <w:szCs w:val="20"/>
          <w:color w:val="auto"/>
        </w:rPr>
      </w:pPr>
      <w:r>
        <w:rPr>
          <w:rFonts w:ascii="Arial" w:cs="Arial" w:eastAsia="Arial" w:hAnsi="Arial"/>
          <w:sz w:val="16"/>
          <w:szCs w:val="16"/>
          <w:color w:val="auto"/>
        </w:rPr>
        <w:t>Mr. Potts has over 27 years of experience with Winnebago Industries. He has been Senior Vice President, Strategic Planning since November 2009. Prior to that time, he served as Vice President, Manufacturing from October 2006 to November 2009, Director of Manufacturing from February 2006 to October 2006 and as General Manager of Manufacturing Services from November 2000 to February 2006.</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Mr. Hrubes has over 38 years of experience with Winnebago Industries. He has been Controller since December 1996.</w:t>
      </w:r>
    </w:p>
    <w:p>
      <w:pPr>
        <w:spacing w:after="0" w:line="159" w:lineRule="exact"/>
        <w:rPr>
          <w:sz w:val="20"/>
          <w:szCs w:val="20"/>
          <w:color w:val="auto"/>
        </w:rPr>
      </w:pPr>
    </w:p>
    <w:p>
      <w:pPr>
        <w:ind w:right="620"/>
        <w:spacing w:after="0" w:line="271" w:lineRule="auto"/>
        <w:rPr>
          <w:sz w:val="20"/>
          <w:szCs w:val="20"/>
          <w:color w:val="auto"/>
        </w:rPr>
      </w:pPr>
      <w:r>
        <w:rPr>
          <w:rFonts w:ascii="Arial" w:cs="Arial" w:eastAsia="Arial" w:hAnsi="Arial"/>
          <w:sz w:val="16"/>
          <w:szCs w:val="16"/>
          <w:color w:val="auto"/>
        </w:rPr>
        <w:t>Mr. Heidemann has three years of experience with Winnebago Industries and was elected to the position of Treasurer in August 2007. Prior to joining Winnebago Industries, Mr. Heidemann served in various treasury positions for Select Comfort Corporation from 2003 to July 2007.</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126" w:right="239" w:bottom="1440" w:gutter="0" w:footer="0" w:header="0"/>
        </w:sectPr>
      </w:pPr>
    </w:p>
    <w:bookmarkStart w:id="7" w:name="page8"/>
    <w:bookmarkEnd w:id="7"/>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79" w:lineRule="exact"/>
        <w:rPr>
          <w:sz w:val="20"/>
          <w:szCs w:val="20"/>
          <w:color w:val="auto"/>
        </w:rPr>
      </w:pPr>
    </w:p>
    <w:p>
      <w:pPr>
        <w:ind w:left="2" w:right="420"/>
        <w:spacing w:after="0" w:line="263" w:lineRule="auto"/>
        <w:rPr>
          <w:sz w:val="20"/>
          <w:szCs w:val="20"/>
          <w:color w:val="auto"/>
        </w:rPr>
      </w:pPr>
      <w:r>
        <w:rPr>
          <w:rFonts w:ascii="Arial" w:cs="Arial" w:eastAsia="Arial" w:hAnsi="Arial"/>
          <w:sz w:val="16"/>
          <w:szCs w:val="16"/>
          <w:color w:val="auto"/>
        </w:rPr>
        <w:t>The following risk factors should be considered carefully in addition to the other information contained in this Annual Report on Form 10-K. The risks and uncertainties described below are not the only ones we face, but represent the most significant risk factors that we believe may adversely affect the RV industry and our business, operations or financial position.</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Risks Related to Our Business</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Competition</w:t>
      </w:r>
    </w:p>
    <w:p>
      <w:pPr>
        <w:spacing w:after="0" w:line="160" w:lineRule="exact"/>
        <w:rPr>
          <w:sz w:val="20"/>
          <w:szCs w:val="20"/>
          <w:color w:val="auto"/>
        </w:rPr>
      </w:pPr>
    </w:p>
    <w:p>
      <w:pPr>
        <w:ind w:left="2" w:right="100"/>
        <w:spacing w:after="0" w:line="259" w:lineRule="auto"/>
        <w:rPr>
          <w:sz w:val="20"/>
          <w:szCs w:val="20"/>
          <w:color w:val="auto"/>
        </w:rPr>
      </w:pPr>
      <w:r>
        <w:rPr>
          <w:rFonts w:ascii="Arial" w:cs="Arial" w:eastAsia="Arial" w:hAnsi="Arial"/>
          <w:sz w:val="16"/>
          <w:szCs w:val="16"/>
          <w:color w:val="auto"/>
        </w:rPr>
        <w:t>The market for recreation vehicles is very competitive. Competition in this industry is based upon price, design, value, quality and service. There can be no assurance that existing or new competitors will not develop products that are superior to our recreation vehicles or that achieve better consumer acceptance, thereby adversely affecting market share, sales volume and profit margins. Some of our competitors are much larger than us as they also participate in the towable recreation vehicle market, which may provide them additional purchasing power. Also, some of our comp etitors have recently sought Chapter 11 bankruptcy protection and their assets were purchased without many of their liabilities, thus reducing their cost structure as compared to ours. These competitive pressures could have a material adverse effect on our results of operations.</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General Economic Conditions and Certain Other External Factors</w:t>
      </w:r>
    </w:p>
    <w:p>
      <w:pPr>
        <w:spacing w:after="0" w:line="179" w:lineRule="exact"/>
        <w:rPr>
          <w:sz w:val="20"/>
          <w:szCs w:val="20"/>
          <w:color w:val="auto"/>
        </w:rPr>
      </w:pPr>
    </w:p>
    <w:p>
      <w:pPr>
        <w:ind w:left="2" w:right="360"/>
        <w:spacing w:after="0" w:line="255" w:lineRule="auto"/>
        <w:rPr>
          <w:sz w:val="20"/>
          <w:szCs w:val="20"/>
          <w:color w:val="auto"/>
        </w:rPr>
      </w:pPr>
      <w:r>
        <w:rPr>
          <w:rFonts w:ascii="Arial" w:cs="Arial" w:eastAsia="Arial" w:hAnsi="Arial"/>
          <w:sz w:val="16"/>
          <w:szCs w:val="16"/>
          <w:color w:val="auto"/>
        </w:rPr>
        <w:t>Companies within the recreation vehicle industry are subject to volatility in operating results due primarily to general economic conditions. Specific factors affecting the recreation vehicle industry include:</w:t>
      </w:r>
    </w:p>
    <w:p>
      <w:pPr>
        <w:spacing w:after="0" w:line="2" w:lineRule="exact"/>
        <w:rPr>
          <w:sz w:val="20"/>
          <w:szCs w:val="20"/>
          <w:color w:val="auto"/>
        </w:rPr>
      </w:pPr>
    </w:p>
    <w:p>
      <w:pPr>
        <w:ind w:left="302" w:hanging="302"/>
        <w:spacing w:after="0"/>
        <w:tabs>
          <w:tab w:leader="none" w:pos="302"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12" w:lineRule="exact"/>
        <w:rPr>
          <w:rFonts w:ascii="Arial" w:cs="Arial" w:eastAsia="Arial" w:hAnsi="Arial"/>
          <w:sz w:val="16"/>
          <w:szCs w:val="16"/>
          <w:color w:val="auto"/>
        </w:rPr>
      </w:pPr>
    </w:p>
    <w:p>
      <w:pPr>
        <w:ind w:left="302" w:hanging="302"/>
        <w:spacing w:after="0"/>
        <w:tabs>
          <w:tab w:leader="none" w:pos="302"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12" w:lineRule="exact"/>
        <w:rPr>
          <w:rFonts w:ascii="Arial" w:cs="Arial" w:eastAsia="Arial" w:hAnsi="Arial"/>
          <w:sz w:val="16"/>
          <w:szCs w:val="16"/>
          <w:color w:val="auto"/>
        </w:rPr>
      </w:pPr>
    </w:p>
    <w:p>
      <w:pPr>
        <w:ind w:left="222" w:hanging="222"/>
        <w:spacing w:after="0"/>
        <w:tabs>
          <w:tab w:leader="none" w:pos="22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12" w:lineRule="exact"/>
        <w:rPr>
          <w:rFonts w:ascii="Arial" w:cs="Arial" w:eastAsia="Arial" w:hAnsi="Arial"/>
          <w:sz w:val="16"/>
          <w:szCs w:val="16"/>
          <w:color w:val="auto"/>
        </w:rPr>
      </w:pPr>
    </w:p>
    <w:p>
      <w:pPr>
        <w:ind w:left="302" w:hanging="302"/>
        <w:spacing w:after="0"/>
        <w:tabs>
          <w:tab w:leader="none" w:pos="302"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impact on margins of increases in raw material costs which we are unable to pass on to customers without negatively affecting sales.</w:t>
      </w:r>
    </w:p>
    <w:p>
      <w:pPr>
        <w:spacing w:after="0" w:line="18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Credit Availability and Interest Rates to Dealers and Retail Purchasers</w:t>
      </w:r>
    </w:p>
    <w:p>
      <w:pPr>
        <w:spacing w:after="0" w:line="179" w:lineRule="exact"/>
        <w:rPr>
          <w:sz w:val="20"/>
          <w:szCs w:val="20"/>
          <w:color w:val="auto"/>
        </w:rPr>
      </w:pPr>
    </w:p>
    <w:p>
      <w:pPr>
        <w:ind w:left="2"/>
        <w:spacing w:after="0" w:line="259" w:lineRule="auto"/>
        <w:rPr>
          <w:sz w:val="20"/>
          <w:szCs w:val="20"/>
          <w:color w:val="auto"/>
        </w:rPr>
      </w:pPr>
      <w:r>
        <w:rPr>
          <w:rFonts w:ascii="Arial" w:cs="Arial" w:eastAsia="Arial" w:hAnsi="Arial"/>
          <w:sz w:val="16"/>
          <w:szCs w:val="16"/>
          <w:color w:val="auto"/>
        </w:rPr>
        <w:t>Our business is affected by the availability and terms of the financing to dealers. Generally, recreation vehicle dealers finance their purchases of inventory with financing provided by lending institutions. Two financial flooring institutions held 70 percent of our total financed dealer inventory dollars that were outstanding at August 28, 2010. In the event that either or both of these lending institutions limit or discontinue dealer financing, we could experience a material adverse effect on our results of operations. Our business is also affected by the availability and terms of financing to retail purchasers. Customers purchasing a motor home may elect to finance their purchase through the dealership or a financial institution of their choice. Substantial increases in interest rates and decreases in the general availability of credit for our dealers or for the retail purchaser may have an adverse impact upon our business and results of operations.</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Maintaining Adequate Liquidity and Capital Resources</w:t>
      </w:r>
    </w:p>
    <w:p>
      <w:pPr>
        <w:spacing w:after="0" w:line="179" w:lineRule="exact"/>
        <w:rPr>
          <w:sz w:val="20"/>
          <w:szCs w:val="20"/>
          <w:color w:val="auto"/>
        </w:rPr>
      </w:pPr>
    </w:p>
    <w:p>
      <w:pPr>
        <w:ind w:left="2" w:right="20"/>
        <w:spacing w:after="0" w:line="258" w:lineRule="auto"/>
        <w:rPr>
          <w:sz w:val="20"/>
          <w:szCs w:val="20"/>
          <w:color w:val="auto"/>
        </w:rPr>
      </w:pPr>
      <w:r>
        <w:rPr>
          <w:rFonts w:ascii="Arial" w:cs="Arial" w:eastAsia="Arial" w:hAnsi="Arial"/>
          <w:sz w:val="16"/>
          <w:szCs w:val="16"/>
          <w:color w:val="auto"/>
        </w:rPr>
        <w:t>Although we have historically generated revenues from our operations to pay operating expenses, make capital expenditures, buy back stock and pay cash dividends, our ability to continue to meet our cash requirements over the long term may be substantially more difficult. Due to challenging market conditions in the past few years, revenues generated from motor home sales have been significantly reduced from historical levels, further constraining our liquidity and capital resources. We have taken a number of steps, as discussed in "Item 7 - Management's Discussion and Analysis of Financial Condition and Results of Operations - Analysis of Financial Condition, Liquidity and Resources" below, to increase our cash position and ensure adequate liquidity. However, the continuation of reduced demand for our products could weaken our liquidity position and materially adversely affe ct net revenues available for anticipated cash needs. To the extent the initiatives we have undertaken are not successful or we are unable to successfully implement other alternative actions, our ability to cover both short-term and long-term operation requirements would be significantly adversely affected.</w:t>
      </w:r>
    </w:p>
    <w:p>
      <w:pPr>
        <w:spacing w:after="0" w:line="11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Cyclicality and Seasonality</w:t>
      </w:r>
    </w:p>
    <w:p>
      <w:pPr>
        <w:spacing w:after="0" w:line="179" w:lineRule="exact"/>
        <w:rPr>
          <w:sz w:val="20"/>
          <w:szCs w:val="20"/>
          <w:color w:val="auto"/>
        </w:rPr>
      </w:pPr>
    </w:p>
    <w:p>
      <w:pPr>
        <w:ind w:left="2" w:right="440"/>
        <w:spacing w:after="0" w:line="263" w:lineRule="auto"/>
        <w:rPr>
          <w:sz w:val="20"/>
          <w:szCs w:val="20"/>
          <w:color w:val="auto"/>
        </w:rPr>
      </w:pPr>
      <w:r>
        <w:rPr>
          <w:rFonts w:ascii="Arial" w:cs="Arial" w:eastAsia="Arial" w:hAnsi="Arial"/>
          <w:sz w:val="16"/>
          <w:szCs w:val="16"/>
          <w:color w:val="auto"/>
        </w:rPr>
        <w:t>The recreation vehicle industry has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31" w:lineRule="exact"/>
        <w:rPr>
          <w:sz w:val="20"/>
          <w:szCs w:val="20"/>
          <w:color w:val="auto"/>
        </w:rPr>
      </w:pPr>
    </w:p>
    <w:p>
      <w:pPr>
        <w:ind w:left="2" w:right="320"/>
        <w:spacing w:after="0" w:line="271"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recreation vehicle industry generally declines over the winter season, while sales are generally highest during the spring</w:t>
      </w:r>
    </w:p>
    <w:p>
      <w:pPr>
        <w:spacing w:after="0" w:line="176"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22"/>
          </w:cols>
          <w:pgMar w:left="238" w:top="141" w:right="239" w:bottom="1440" w:gutter="0" w:footer="0" w:header="0"/>
        </w:sectPr>
      </w:pPr>
    </w:p>
    <w:bookmarkStart w:id="8" w:name="page9"/>
    <w:bookmarkEnd w:id="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and summer months. Also, unusually severe weather conditions in some markets may impact demand.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Loss of a Large Dealer Organization</w:t>
      </w:r>
    </w:p>
    <w:p>
      <w:pPr>
        <w:spacing w:after="0" w:line="179"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During Fiscal 2010, one of our dealer organizations, FreedomRoads, LLC, accounted for 15 percent of our net revenue, as they sold our products in 32 of their dealership locations across 20 U.S. states. The loss of this dealer organization could have a significant adverse effect on our business. In addition, deterioration in the liquidity or creditworthiness of FreedomRoads, LLC could negatively impact our sales and could trigger repurchase obligations under our repurchase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Repurchase Liabilities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accordance with customary practice in the recreation vehicle industry, we enter into formal repurchase agreements with lending institutions pursuant to which we agree, in the event of a default by an independent retailer in its obligation to a lender and repossession of the unit(s) by the lending institution, to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Our maximum potential exposure under these formal repurchase agreements was approximately $155.5 million at August 28, 2010.</w:t>
      </w:r>
    </w:p>
    <w:p>
      <w:pPr>
        <w:spacing w:after="0" w:line="136" w:lineRule="exact"/>
        <w:rPr>
          <w:sz w:val="20"/>
          <w:szCs w:val="20"/>
          <w:color w:val="auto"/>
        </w:rPr>
      </w:pPr>
    </w:p>
    <w:p>
      <w:pPr>
        <w:ind w:right="800"/>
        <w:spacing w:after="0" w:line="27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terminations. Incremental repurchase exposure beyond repurchase agreements was approximately $4.5 million at August 28, 2010.</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Prior to Fiscal 2009, our losses associated with repurchases had not been material. However, the substantial decrease in retail demand for recreation vehicles and tightened credit sta ndards by lenders resulted in a significant increase in defaults by our dealers during Fiscal 2009. If we are obligated to repurchase a larger number of motor homes in the future, this would increase our costs and could be material. (See Note 9.)</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Availability and Prices</w:t>
      </w:r>
    </w:p>
    <w:p>
      <w:pPr>
        <w:spacing w:after="0" w:line="179"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Gasoline or diesel fuel is required for the operation of motorized recreation vehicles. There can be no assurance that the supply of these petroleum products will continue uninterrupted or that the price or tax on these petroleum products will not significantly increase in the future. Fuel shortages and substantial increases in fuel prices have had a material adverse effect on the recreation vehicle industry as a whole in the past and could have a material adverse effect on us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Suppliers</w:t>
      </w:r>
    </w:p>
    <w:p>
      <w:pPr>
        <w:spacing w:after="0" w:line="17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Most of our RV components are readily available from numerous sources. However, a few of our components are produced by a small group of quality suppliers. In the case of motor home chassis, Ford Motor Company, Freightliner Custom Chassis Corporation and Mercedes-Benz USA are our major suppliers. Our relationship with our chassis suppliers is similar to our other supplier relationships in that no special contractual commitments are engaged in by either party. Historically, chassis suppliers resort to an industry-wide allocation system during periods when supply is restricted. These allocations have been based on the volume of chassis previously purchased. Sales of motor homes rely on chassis and are affected accordingly. Decisions by our suppliers to decrease production, production delays, or work stoppages by the employees of such suppliers could have a material adverse effect on our ability to produce motor homes and ultimately, on the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Claims</w:t>
      </w:r>
    </w:p>
    <w:p>
      <w:pPr>
        <w:spacing w:after="0" w:line="17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3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153" w:right="239" w:bottom="1440" w:gutter="0" w:footer="0" w:header="0"/>
        </w:sectPr>
      </w:pPr>
    </w:p>
    <w:bookmarkStart w:id="9" w:name="page10"/>
    <w:bookmarkEnd w:id="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17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are involved in legal proceedings in the ordinary course of business, including a variety of warranty, "Lemon Law" and product liability claims typical in the recreation veh icle industry. We have an insurance policy covering product liability, however, we are self-insured for a portion of product liability claims. Self-insurance retention liability for at least the past five fiscal years was $2.5 million per occurrence and $6.0 million in aggregate per policy year. In the event that the annual aggregate of the self-insured retention is exhausted by payment of claims and defense expenses, a deductible of $1.0 million, excluding defense expenses, is applicable to each claim covered under this insurance policy. We cannot be certain that our insurance coverage will be sufficient to cover all future claims against us, which may have a material adverse effect on our results of operations and financial condition. In addition, if these claims rise to a level of frequency or size that are significantly higher than similar claims made against our competitors, our reputation and business may be harmed.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are subject to numerous federal, state and local regulations governing the manufacture and sale of our products, including the provisions of the National Traffic and Motor Vehicle Safety Act ("Motor Vehicle Act"), and the safety standards for recreation vehicles and components which have been established under the Motor Vehicle Act by the Department of Transportation. The Motor Vehicle Act authorizes the National Highway Traffic Safety Administration to require a manufacturer to recall and repair vehicles which contain certain hazards or defects. Any recalls of our vehicles, voluntary or involuntary, could have a material adverse effect on our results of operations, financial condition and cash flows.</w:t>
      </w:r>
    </w:p>
    <w:p>
      <w:pPr>
        <w:spacing w:after="0" w:line="13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 homes that may be operated in certain jurisdictions or on certain roadways. Certain jurisdictions also prohibit the sale of vehicles exceeding length restrictions.</w:t>
      </w:r>
    </w:p>
    <w:p>
      <w:pPr>
        <w:spacing w:after="0" w:line="132" w:lineRule="exact"/>
        <w:rPr>
          <w:sz w:val="20"/>
          <w:szCs w:val="20"/>
          <w:color w:val="auto"/>
        </w:rPr>
      </w:pPr>
    </w:p>
    <w:p>
      <w:pPr>
        <w:jc w:val="both"/>
        <w:ind w:right="100"/>
        <w:spacing w:after="0" w:line="263"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which affect us and our operations. Failure to comply with any of the foregoing laws or regu lations could have an adverse impact on our results of operations, financial condition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w:t>
      </w:r>
    </w:p>
    <w:p>
      <w:pPr>
        <w:spacing w:after="0" w:line="179" w:lineRule="exact"/>
        <w:rPr>
          <w:sz w:val="20"/>
          <w:szCs w:val="20"/>
          <w:color w:val="auto"/>
        </w:rPr>
      </w:pPr>
    </w:p>
    <w:p>
      <w:pPr>
        <w:jc w:val="both"/>
        <w:ind w:right="240"/>
        <w:spacing w:after="0" w:line="263" w:lineRule="auto"/>
        <w:rPr>
          <w:sz w:val="20"/>
          <w:szCs w:val="20"/>
          <w:color w:val="auto"/>
        </w:rPr>
      </w:pPr>
      <w:r>
        <w:rPr>
          <w:rFonts w:ascii="Arial" w:cs="Arial" w:eastAsia="Arial" w:hAnsi="Arial"/>
          <w:sz w:val="16"/>
          <w:szCs w:val="16"/>
          <w:color w:val="auto"/>
        </w:rPr>
        <w:t>Provisions of our articles of incorporation, by-laws and the Iowa Business Corporation Act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color w:val="auto"/>
        </w:rPr>
        <w:t>Unresolved Staff Comments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Properties</w:t>
      </w:r>
    </w:p>
    <w:p>
      <w:pPr>
        <w:spacing w:after="0" w:line="179" w:lineRule="exact"/>
        <w:rPr>
          <w:sz w:val="20"/>
          <w:szCs w:val="20"/>
          <w:color w:val="auto"/>
        </w:rPr>
      </w:pPr>
    </w:p>
    <w:p>
      <w:pPr>
        <w:ind w:right="600"/>
        <w:spacing w:after="0" w:line="271" w:lineRule="auto"/>
        <w:rPr>
          <w:sz w:val="20"/>
          <w:szCs w:val="20"/>
          <w:color w:val="auto"/>
        </w:rPr>
      </w:pPr>
      <w:r>
        <w:rPr>
          <w:rFonts w:ascii="Arial" w:cs="Arial" w:eastAsia="Arial" w:hAnsi="Arial"/>
          <w:sz w:val="16"/>
          <w:szCs w:val="16"/>
          <w:color w:val="auto"/>
        </w:rPr>
        <w:t>Our principal manufacturing, maint enance and service operations are conducted in multibuilding complexes owned by us. The following sets forth our material facilities as of August 28,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Owned or</w:t>
            </w:r>
          </w:p>
        </w:tc>
        <w:tc>
          <w:tcPr>
            <w:tcW w:w="1240" w:type="dxa"/>
            <w:vAlign w:val="bottom"/>
          </w:tcPr>
          <w:p>
            <w:pPr>
              <w:jc w:val="right"/>
              <w:ind w:right="258"/>
              <w:spacing w:after="0"/>
              <w:rPr>
                <w:sz w:val="20"/>
                <w:szCs w:val="20"/>
                <w:color w:val="auto"/>
              </w:rPr>
            </w:pPr>
            <w:r>
              <w:rPr>
                <w:rFonts w:ascii="Arial" w:cs="Arial" w:eastAsia="Arial" w:hAnsi="Arial"/>
                <w:sz w:val="16"/>
                <w:szCs w:val="16"/>
                <w:b w:val="1"/>
                <w:bCs w:val="1"/>
                <w:color w:val="auto"/>
              </w:rPr>
              <w:t>Square</w:t>
            </w: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Facility Type/Use</w:t>
            </w: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of Buildings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Footage</w:t>
            </w:r>
          </w:p>
        </w:tc>
      </w:tr>
      <w:tr>
        <w:trPr>
          <w:trHeight w:val="23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Forest City, Iowa</w:t>
            </w:r>
          </w:p>
        </w:tc>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Manufacturing, maintenance, service and office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1,593,000</w:t>
            </w:r>
          </w:p>
        </w:tc>
      </w:tr>
      <w:tr>
        <w:trPr>
          <w:trHeight w:val="226"/>
        </w:trPr>
        <w:tc>
          <w:tcPr>
            <w:tcW w:w="2860" w:type="dxa"/>
            <w:vAlign w:val="bottom"/>
          </w:tcPr>
          <w:p>
            <w:pPr>
              <w:ind w:left="20"/>
              <w:spacing w:after="0"/>
              <w:rPr>
                <w:sz w:val="20"/>
                <w:szCs w:val="20"/>
                <w:color w:val="auto"/>
              </w:rPr>
            </w:pPr>
            <w:r>
              <w:rPr>
                <w:rFonts w:ascii="Arial" w:cs="Arial" w:eastAsia="Arial" w:hAnsi="Arial"/>
                <w:sz w:val="16"/>
                <w:szCs w:val="16"/>
                <w:color w:val="auto"/>
              </w:rPr>
              <w:t>Forest City, Iowa</w:t>
            </w:r>
          </w:p>
        </w:tc>
        <w:tc>
          <w:tcPr>
            <w:tcW w:w="4820" w:type="dxa"/>
            <w:vAlign w:val="bottom"/>
          </w:tcPr>
          <w:p>
            <w:pPr>
              <w:ind w:left="40"/>
              <w:spacing w:after="0"/>
              <w:rPr>
                <w:sz w:val="20"/>
                <w:szCs w:val="20"/>
                <w:color w:val="auto"/>
              </w:rPr>
            </w:pPr>
            <w:r>
              <w:rPr>
                <w:rFonts w:ascii="Arial" w:cs="Arial" w:eastAsia="Arial" w:hAnsi="Arial"/>
                <w:sz w:val="16"/>
                <w:szCs w:val="16"/>
                <w:color w:val="auto"/>
              </w:rPr>
              <w:t>Warehouse</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26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702,000</w:t>
            </w:r>
          </w:p>
        </w:tc>
      </w:tr>
      <w:tr>
        <w:trPr>
          <w:trHeight w:val="24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Charles City, Iowa</w:t>
            </w:r>
          </w:p>
        </w:tc>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Manufacturing</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161,000</w:t>
            </w:r>
          </w:p>
        </w:tc>
      </w:tr>
      <w:tr>
        <w:trPr>
          <w:trHeight w:val="226"/>
        </w:trPr>
        <w:tc>
          <w:tcPr>
            <w:tcW w:w="2860" w:type="dxa"/>
            <w:vAlign w:val="bottom"/>
          </w:tcPr>
          <w:p>
            <w:pPr>
              <w:ind w:left="20"/>
              <w:spacing w:after="0"/>
              <w:rPr>
                <w:sz w:val="20"/>
                <w:szCs w:val="20"/>
                <w:color w:val="auto"/>
              </w:rPr>
            </w:pPr>
            <w:r>
              <w:rPr>
                <w:rFonts w:ascii="Arial" w:cs="Arial" w:eastAsia="Arial" w:hAnsi="Arial"/>
                <w:sz w:val="16"/>
                <w:szCs w:val="16"/>
                <w:color w:val="auto"/>
              </w:rPr>
              <w:t>Charles City, Iowa</w:t>
            </w:r>
          </w:p>
        </w:tc>
        <w:tc>
          <w:tcPr>
            <w:tcW w:w="4820" w:type="dxa"/>
            <w:vAlign w:val="bottom"/>
          </w:tcPr>
          <w:p>
            <w:pPr>
              <w:ind w:left="40"/>
              <w:spacing w:after="0"/>
              <w:rPr>
                <w:sz w:val="20"/>
                <w:szCs w:val="20"/>
                <w:color w:val="auto"/>
              </w:rPr>
            </w:pPr>
            <w:r>
              <w:rPr>
                <w:rFonts w:ascii="Arial" w:cs="Arial" w:eastAsia="Arial" w:hAnsi="Arial"/>
                <w:sz w:val="16"/>
                <w:szCs w:val="16"/>
                <w:color w:val="auto"/>
              </w:rPr>
              <w:t>Assets Held for Sale (Manuf acturing Facility)</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26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191,000</w:t>
            </w:r>
          </w:p>
        </w:tc>
      </w:tr>
      <w:tr>
        <w:trPr>
          <w:trHeight w:val="23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Hampton, Iowa</w:t>
            </w:r>
          </w:p>
        </w:tc>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 (Manufacturing Facility)</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135,000</w:t>
            </w:r>
          </w:p>
        </w:tc>
      </w:tr>
      <w:tr>
        <w:trPr>
          <w:trHeight w:val="225"/>
        </w:trPr>
        <w:tc>
          <w:tcPr>
            <w:tcW w:w="28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42</w:t>
            </w:r>
          </w:p>
        </w:tc>
        <w:tc>
          <w:tcPr>
            <w:tcW w:w="1260" w:type="dxa"/>
            <w:vAlign w:val="bottom"/>
          </w:tcPr>
          <w:p>
            <w:pPr>
              <w:spacing w:after="0"/>
              <w:rPr>
                <w:sz w:val="19"/>
                <w:szCs w:val="19"/>
                <w:color w:val="auto"/>
              </w:rPr>
            </w:pP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2,782,000</w:t>
            </w:r>
          </w:p>
        </w:tc>
      </w:tr>
      <w:tr>
        <w:trPr>
          <w:trHeight w:val="20"/>
        </w:trPr>
        <w:tc>
          <w:tcPr>
            <w:tcW w:w="2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facilities in Forest City are located on approximately 500 acres of land, all owned by us. We lease 244,000 square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153" w:right="239" w:bottom="1440" w:gutter="0" w:footer="0" w:header="0"/>
        </w:sectPr>
      </w:pPr>
    </w:p>
    <w:bookmarkStart w:id="10" w:name="page11"/>
    <w:bookmarkEnd w:id="1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93"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feet of ou r warehouse facilities in Forest City to others. Most of our buildings are of steel or steel and concrete construction and are protected from fire with high-pressure sprinkler systems, dust collector systems, automatic fire doors and alarm systems. We believe that our facilities and equipment are well maintained, in excellent condition and suitable for the purposes for which they are intended.</w:t>
      </w:r>
    </w:p>
    <w:p>
      <w:pPr>
        <w:spacing w:after="0" w:line="131"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We have a sales agreement in place to sell one of the facilities that is held for sale (Charles City Manufacturing Facility) on or before November 1, 2010 for $3.9 million, as further described in Note 5.</w:t>
      </w:r>
    </w:p>
    <w:p>
      <w:pPr>
        <w:spacing w:after="0" w:line="124"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Under terms of our new cre dit facility, as further described in Note 6, we have encumbered substantially all of our real property for the benefit of the lender under such facility.</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Legal Proceedings</w:t>
      </w:r>
    </w:p>
    <w:p>
      <w:pPr>
        <w:spacing w:after="0" w:line="179"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 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(Removed and Reserved)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Market for the Registrant's Common Equity, Related Stockholder Matters and Issuer Purchases of Equity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and Chicago Stock Exchanges with the ticker symbol of WGO.</w:t>
      </w:r>
    </w:p>
    <w:p>
      <w:pPr>
        <w:spacing w:after="0" w:line="15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Below are the New York Stock Exchange high, low and closing prices of Winnebago Industries, Inc. common stock for each quarter of Fiscal 2010 and Fiscal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2010</w:t>
            </w:r>
          </w:p>
        </w:tc>
        <w:tc>
          <w:tcPr>
            <w:tcW w:w="14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High</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Low</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6"/>
                <w:szCs w:val="16"/>
                <w:b w:val="1"/>
                <w:bCs w:val="1"/>
                <w:color w:val="auto"/>
              </w:rPr>
              <w:t>Close</w:t>
            </w:r>
          </w:p>
        </w:tc>
        <w:tc>
          <w:tcPr>
            <w:tcW w:w="22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Fiscal 2009</w:t>
            </w: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Close</w:t>
            </w:r>
          </w:p>
        </w:tc>
      </w:tr>
      <w:tr>
        <w:trPr>
          <w:trHeight w:val="244"/>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16.44</w:t>
            </w:r>
          </w:p>
        </w:tc>
        <w:tc>
          <w:tcPr>
            <w:tcW w:w="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rPr>
              <w:t>11.08</w:t>
            </w:r>
          </w:p>
        </w:tc>
        <w:tc>
          <w:tcPr>
            <w:tcW w:w="2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First Quarter</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r>
      <w:tr>
        <w:trPr>
          <w:trHeight w:val="239"/>
        </w:trPr>
        <w:tc>
          <w:tcPr>
            <w:tcW w:w="176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400" w:type="dxa"/>
            <w:vAlign w:val="bottom"/>
          </w:tcPr>
          <w:p>
            <w:pPr>
              <w:jc w:val="right"/>
              <w:spacing w:after="0"/>
              <w:rPr>
                <w:sz w:val="20"/>
                <w:szCs w:val="20"/>
                <w:color w:val="auto"/>
              </w:rPr>
            </w:pPr>
            <w:r>
              <w:rPr>
                <w:rFonts w:ascii="Arial" w:cs="Arial" w:eastAsia="Arial" w:hAnsi="Arial"/>
                <w:sz w:val="16"/>
                <w:szCs w:val="16"/>
                <w:color w:val="auto"/>
              </w:rPr>
              <w:t>13.97</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10.27</w:t>
            </w:r>
          </w:p>
        </w:tc>
        <w:tc>
          <w:tcPr>
            <w:tcW w:w="200" w:type="dxa"/>
            <w:vAlign w:val="bottom"/>
          </w:tcPr>
          <w:p>
            <w:pPr>
              <w:spacing w:after="0"/>
              <w:rPr>
                <w:sz w:val="20"/>
                <w:szCs w:val="20"/>
                <w:color w:val="auto"/>
              </w:rPr>
            </w:pP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11.68</w:t>
            </w:r>
          </w:p>
        </w:tc>
        <w:tc>
          <w:tcPr>
            <w:tcW w:w="2240" w:type="dxa"/>
            <w:vAlign w:val="bottom"/>
          </w:tcPr>
          <w:p>
            <w:pPr>
              <w:ind w:left="540"/>
              <w:spacing w:after="0"/>
              <w:rPr>
                <w:sz w:val="20"/>
                <w:szCs w:val="20"/>
                <w:color w:val="auto"/>
              </w:rPr>
            </w:pPr>
            <w:r>
              <w:rPr>
                <w:rFonts w:ascii="Arial" w:cs="Arial" w:eastAsia="Arial" w:hAnsi="Arial"/>
                <w:sz w:val="16"/>
                <w:szCs w:val="16"/>
                <w:color w:val="auto"/>
              </w:rPr>
              <w:t>Second Quarter</w:t>
            </w:r>
          </w:p>
        </w:tc>
        <w:tc>
          <w:tcPr>
            <w:tcW w:w="8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7.47</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3.90</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52"/>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rPr>
              <w:t>12.13</w:t>
            </w:r>
          </w:p>
        </w:tc>
        <w:tc>
          <w:tcPr>
            <w:tcW w:w="2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Third Quarter</w:t>
            </w:r>
          </w:p>
        </w:tc>
        <w:tc>
          <w:tcPr>
            <w:tcW w:w="8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r>
      <w:tr>
        <w:trPr>
          <w:trHeight w:val="225"/>
        </w:trPr>
        <w:tc>
          <w:tcPr>
            <w:tcW w:w="176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1400" w:type="dxa"/>
            <w:vAlign w:val="bottom"/>
          </w:tcPr>
          <w:p>
            <w:pPr>
              <w:jc w:val="right"/>
              <w:spacing w:after="0"/>
              <w:rPr>
                <w:sz w:val="20"/>
                <w:szCs w:val="20"/>
                <w:color w:val="auto"/>
              </w:rPr>
            </w:pPr>
            <w:r>
              <w:rPr>
                <w:rFonts w:ascii="Arial" w:cs="Arial" w:eastAsia="Arial" w:hAnsi="Arial"/>
                <w:sz w:val="16"/>
                <w:szCs w:val="16"/>
                <w:color w:val="auto"/>
              </w:rPr>
              <w:t>13.17</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8.10</w:t>
            </w:r>
          </w:p>
        </w:tc>
        <w:tc>
          <w:tcPr>
            <w:tcW w:w="200" w:type="dxa"/>
            <w:vAlign w:val="bottom"/>
          </w:tcPr>
          <w:p>
            <w:pPr>
              <w:spacing w:after="0"/>
              <w:rPr>
                <w:sz w:val="19"/>
                <w:szCs w:val="19"/>
                <w:color w:val="auto"/>
              </w:rPr>
            </w:pPr>
          </w:p>
        </w:tc>
        <w:tc>
          <w:tcPr>
            <w:tcW w:w="1160" w:type="dxa"/>
            <w:vAlign w:val="bottom"/>
          </w:tcPr>
          <w:p>
            <w:pPr>
              <w:jc w:val="right"/>
              <w:ind w:right="458"/>
              <w:spacing w:after="0"/>
              <w:rPr>
                <w:sz w:val="20"/>
                <w:szCs w:val="20"/>
                <w:color w:val="auto"/>
              </w:rPr>
            </w:pPr>
            <w:r>
              <w:rPr>
                <w:rFonts w:ascii="Arial" w:cs="Arial" w:eastAsia="Arial" w:hAnsi="Arial"/>
                <w:sz w:val="16"/>
                <w:szCs w:val="16"/>
                <w:color w:val="auto"/>
              </w:rPr>
              <w:t>9.05</w:t>
            </w:r>
          </w:p>
        </w:tc>
        <w:tc>
          <w:tcPr>
            <w:tcW w:w="2240" w:type="dxa"/>
            <w:vAlign w:val="bottom"/>
          </w:tcPr>
          <w:p>
            <w:pPr>
              <w:ind w:left="540"/>
              <w:spacing w:after="0"/>
              <w:rPr>
                <w:sz w:val="20"/>
                <w:szCs w:val="20"/>
                <w:color w:val="auto"/>
              </w:rPr>
            </w:pPr>
            <w:r>
              <w:rPr>
                <w:rFonts w:ascii="Arial" w:cs="Arial" w:eastAsia="Arial" w:hAnsi="Arial"/>
                <w:sz w:val="16"/>
                <w:szCs w:val="16"/>
                <w:color w:val="auto"/>
              </w:rPr>
              <w:t>Fourth Quarter</w:t>
            </w:r>
          </w:p>
        </w:tc>
        <w:tc>
          <w:tcPr>
            <w:tcW w:w="8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11.62</w:t>
            </w:r>
          </w:p>
        </w:tc>
      </w:tr>
      <w:tr>
        <w:trPr>
          <w:trHeight w:val="216"/>
        </w:trPr>
        <w:tc>
          <w:tcPr>
            <w:tcW w:w="1760" w:type="dxa"/>
            <w:vAlign w:val="bottom"/>
          </w:tcPr>
          <w:p>
            <w:pPr>
              <w:spacing w:after="0"/>
              <w:rPr>
                <w:sz w:val="20"/>
                <w:szCs w:val="20"/>
                <w:color w:val="auto"/>
              </w:rPr>
            </w:pPr>
            <w:r>
              <w:rPr>
                <w:rFonts w:ascii="Arial" w:cs="Arial" w:eastAsia="Arial" w:hAnsi="Arial"/>
                <w:sz w:val="16"/>
                <w:szCs w:val="16"/>
                <w:b w:val="1"/>
                <w:bCs w:val="1"/>
                <w:color w:val="auto"/>
              </w:rPr>
              <w:t>Holders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5, 2010: 3,544</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Dividends of $0.12 per share (approximately $3.5 million) were paid in the first quarter of Fiscal 2009; however, on October 15, 2008, our Board of Directors suspended future cash dividend payments in order to conserve capital and to maintain liquidity. As a result, no dividends have been paid since the first quarter of Fiscal 2009.</w:t>
      </w:r>
    </w:p>
    <w:p>
      <w:pPr>
        <w:spacing w:after="0" w:line="13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credit facility, as further described in Note 6, contains covenants that limit our ability, among other things, to pay certain dividends without the consent of Burdale Capital Finance, Inc., as Agent and the lenders thereunder, in their sole discretion.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Fiscal 2010, approximately 17,000 shares were repurchased under the authorization, at an aggregate cost of approx imately $250,000. These shares were repurchased from employees who vested in Winnebago shares during the year and elected to pay their payroll tax via shares as opposed to cash. As of August 28, 2010, there was approximately $59.3 million remaining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Our credit facility, as further described in Note 6, contains covenants that limit our ability, among other things, except for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53" w:right="239" w:bottom="1440" w:gutter="0" w:footer="0" w:header="0"/>
        </w:sectPr>
      </w:pPr>
    </w:p>
    <w:bookmarkStart w:id="11" w:name="page12"/>
    <w:bookmarkEnd w:id="11"/>
    <w:p>
      <w:pPr>
        <w:ind w:left="26"/>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93" w:lineRule="exact"/>
        <w:rPr>
          <w:sz w:val="20"/>
          <w:szCs w:val="20"/>
          <w:color w:val="auto"/>
        </w:rPr>
      </w:pPr>
    </w:p>
    <w:p>
      <w:pPr>
        <w:ind w:left="26" w:right="180"/>
        <w:spacing w:after="0" w:line="271" w:lineRule="auto"/>
        <w:rPr>
          <w:sz w:val="20"/>
          <w:szCs w:val="20"/>
          <w:color w:val="auto"/>
        </w:rPr>
      </w:pPr>
      <w:r>
        <w:rPr>
          <w:rFonts w:ascii="Arial" w:cs="Arial" w:eastAsia="Arial" w:hAnsi="Arial"/>
          <w:sz w:val="16"/>
          <w:szCs w:val="16"/>
          <w:color w:val="auto"/>
        </w:rPr>
        <w:t>limited redemptions of Winnebago Industries' common stock from employees, to make distributions or payments with respect to or purchases of Winnebago Industries' common stock without the consent of Burdale Capital Finance, Inc., as Agent and the lenders thereunder, in their sole discretion.</w:t>
      </w:r>
    </w:p>
    <w:p>
      <w:pPr>
        <w:spacing w:after="0" w:line="124" w:lineRule="exact"/>
        <w:rPr>
          <w:sz w:val="20"/>
          <w:szCs w:val="20"/>
          <w:color w:val="auto"/>
        </w:rPr>
      </w:pPr>
    </w:p>
    <w:p>
      <w:pPr>
        <w:ind w:left="26"/>
        <w:spacing w:after="0"/>
        <w:rPr>
          <w:sz w:val="20"/>
          <w:szCs w:val="20"/>
          <w:color w:val="auto"/>
        </w:rPr>
      </w:pPr>
      <w:r>
        <w:rPr>
          <w:rFonts w:ascii="Arial" w:cs="Arial" w:eastAsia="Arial" w:hAnsi="Arial"/>
          <w:sz w:val="16"/>
          <w:szCs w:val="16"/>
          <w:color w:val="auto"/>
        </w:rPr>
        <w:t>The following table provides information with respect to purchases by us of share s of our common stock during each fiscal month of the fourth quarter of</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Fiscal 2010:</w:t>
      </w:r>
    </w:p>
    <w:p>
      <w:pPr>
        <w:spacing w:after="0" w:line="143" w:lineRule="exact"/>
        <w:rPr>
          <w:sz w:val="20"/>
          <w:szCs w:val="20"/>
          <w:color w:val="auto"/>
        </w:rPr>
      </w:pPr>
    </w:p>
    <w:tbl>
      <w:tblPr>
        <w:tblLayout w:type="fixed"/>
        <w:tblInd w:w="26"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5"/>
                <w:szCs w:val="15"/>
                <w:b w:val="1"/>
                <w:bCs w:val="1"/>
                <w:color w:val="auto"/>
                <w:w w:val="97"/>
              </w:rPr>
              <w:t>Number of Shares</w:t>
            </w:r>
          </w:p>
        </w:tc>
        <w:tc>
          <w:tcPr>
            <w:tcW w:w="480" w:type="dxa"/>
            <w:vAlign w:val="bottom"/>
          </w:tcPr>
          <w:p>
            <w:pPr>
              <w:spacing w:after="0"/>
              <w:rPr>
                <w:sz w:val="14"/>
                <w:szCs w:val="14"/>
                <w:color w:val="auto"/>
              </w:rPr>
            </w:pPr>
          </w:p>
        </w:tc>
        <w:tc>
          <w:tcPr>
            <w:tcW w:w="2420" w:type="dxa"/>
            <w:vAlign w:val="bottom"/>
          </w:tcPr>
          <w:p>
            <w:pPr>
              <w:jc w:val="center"/>
              <w:ind w:right="402"/>
              <w:spacing w:after="0"/>
              <w:rPr>
                <w:sz w:val="20"/>
                <w:szCs w:val="20"/>
                <w:color w:val="auto"/>
              </w:rPr>
            </w:pPr>
            <w:r>
              <w:rPr>
                <w:rFonts w:ascii="Arial" w:cs="Arial" w:eastAsia="Arial" w:hAnsi="Arial"/>
                <w:sz w:val="15"/>
                <w:szCs w:val="15"/>
                <w:b w:val="1"/>
                <w:bCs w:val="1"/>
                <w:color w:val="auto"/>
                <w:w w:val="97"/>
              </w:rPr>
              <w:t>Approximate Dollar Value</w:t>
            </w:r>
          </w:p>
        </w:tc>
      </w:tr>
      <w:tr>
        <w:trPr>
          <w:trHeight w:val="172"/>
        </w:trPr>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5"/>
                <w:szCs w:val="15"/>
                <w:b w:val="1"/>
                <w:bCs w:val="1"/>
                <w:color w:val="auto"/>
                <w:w w:val="97"/>
              </w:rPr>
              <w:t>Purchased as Part of</w:t>
            </w:r>
          </w:p>
        </w:tc>
        <w:tc>
          <w:tcPr>
            <w:tcW w:w="29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7"/>
              </w:rPr>
              <w:t>of Shares That May Yet Be Purchased</w:t>
            </w:r>
          </w:p>
        </w:tc>
      </w:tr>
      <w:tr>
        <w:trPr>
          <w:trHeight w:val="172"/>
        </w:trPr>
        <w:tc>
          <w:tcPr>
            <w:tcW w:w="2740" w:type="dxa"/>
            <w:vAlign w:val="bottom"/>
          </w:tcPr>
          <w:p>
            <w:pPr>
              <w:spacing w:after="0"/>
              <w:rPr>
                <w:sz w:val="14"/>
                <w:szCs w:val="14"/>
                <w:color w:val="auto"/>
              </w:rPr>
            </w:pPr>
          </w:p>
        </w:tc>
        <w:tc>
          <w:tcPr>
            <w:tcW w:w="1840" w:type="dxa"/>
            <w:vAlign w:val="bottom"/>
          </w:tcPr>
          <w:p>
            <w:pPr>
              <w:jc w:val="right"/>
              <w:ind w:right="1"/>
              <w:spacing w:after="0"/>
              <w:rPr>
                <w:sz w:val="20"/>
                <w:szCs w:val="20"/>
                <w:color w:val="auto"/>
              </w:rPr>
            </w:pPr>
            <w:r>
              <w:rPr>
                <w:rFonts w:ascii="Arial" w:cs="Arial" w:eastAsia="Arial" w:hAnsi="Arial"/>
                <w:sz w:val="15"/>
                <w:szCs w:val="15"/>
                <w:b w:val="1"/>
                <w:bCs w:val="1"/>
                <w:color w:val="auto"/>
              </w:rPr>
              <w:t>Total Number of Shares</w:t>
            </w:r>
          </w:p>
        </w:tc>
        <w:tc>
          <w:tcPr>
            <w:tcW w:w="18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7"/>
              </w:rPr>
              <w:t>Average Price Paid per</w:t>
            </w:r>
          </w:p>
        </w:tc>
        <w:tc>
          <w:tcPr>
            <w:tcW w:w="2100" w:type="dxa"/>
            <w:vAlign w:val="bottom"/>
          </w:tcPr>
          <w:p>
            <w:pPr>
              <w:jc w:val="center"/>
              <w:spacing w:after="0"/>
              <w:rPr>
                <w:sz w:val="20"/>
                <w:szCs w:val="20"/>
                <w:color w:val="auto"/>
              </w:rPr>
            </w:pPr>
            <w:r>
              <w:rPr>
                <w:rFonts w:ascii="Arial" w:cs="Arial" w:eastAsia="Arial" w:hAnsi="Arial"/>
                <w:sz w:val="15"/>
                <w:szCs w:val="15"/>
                <w:b w:val="1"/>
                <w:bCs w:val="1"/>
                <w:color w:val="auto"/>
                <w:w w:val="97"/>
              </w:rPr>
              <w:t>Publicly Announced Plans</w:t>
            </w:r>
          </w:p>
        </w:tc>
        <w:tc>
          <w:tcPr>
            <w:tcW w:w="480" w:type="dxa"/>
            <w:vAlign w:val="bottom"/>
          </w:tcPr>
          <w:p>
            <w:pPr>
              <w:spacing w:after="0"/>
              <w:rPr>
                <w:sz w:val="14"/>
                <w:szCs w:val="14"/>
                <w:color w:val="auto"/>
              </w:rPr>
            </w:pPr>
          </w:p>
        </w:tc>
        <w:tc>
          <w:tcPr>
            <w:tcW w:w="2420" w:type="dxa"/>
            <w:vAlign w:val="bottom"/>
          </w:tcPr>
          <w:p>
            <w:pPr>
              <w:jc w:val="center"/>
              <w:ind w:right="402"/>
              <w:spacing w:after="0"/>
              <w:rPr>
                <w:sz w:val="20"/>
                <w:szCs w:val="20"/>
                <w:color w:val="auto"/>
              </w:rPr>
            </w:pPr>
            <w:r>
              <w:rPr>
                <w:rFonts w:ascii="Arial" w:cs="Arial" w:eastAsia="Arial" w:hAnsi="Arial"/>
                <w:sz w:val="15"/>
                <w:szCs w:val="15"/>
                <w:b w:val="1"/>
                <w:bCs w:val="1"/>
                <w:color w:val="auto"/>
                <w:w w:val="99"/>
              </w:rPr>
              <w:t>Under the</w:t>
            </w:r>
          </w:p>
        </w:tc>
      </w:tr>
      <w:tr>
        <w:trPr>
          <w:trHeight w:val="205"/>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Period</w:t>
            </w:r>
          </w:p>
        </w:tc>
        <w:tc>
          <w:tcPr>
            <w:tcW w:w="184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b w:val="1"/>
                <w:bCs w:val="1"/>
                <w:color w:val="auto"/>
              </w:rPr>
              <w:t>Purchased</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Share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or Programs</w:t>
            </w:r>
          </w:p>
        </w:tc>
        <w:tc>
          <w:tcPr>
            <w:tcW w:w="4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center"/>
              <w:ind w:right="402"/>
              <w:spacing w:after="0"/>
              <w:rPr>
                <w:sz w:val="20"/>
                <w:szCs w:val="20"/>
                <w:color w:val="auto"/>
              </w:rPr>
            </w:pPr>
            <w:r>
              <w:rPr>
                <w:rFonts w:ascii="Arial" w:cs="Arial" w:eastAsia="Arial" w:hAnsi="Arial"/>
                <w:sz w:val="15"/>
                <w:szCs w:val="15"/>
                <w:b w:val="1"/>
                <w:bCs w:val="1"/>
                <w:color w:val="auto"/>
                <w:w w:val="97"/>
              </w:rPr>
              <w:t>Plans or Programs</w:t>
            </w:r>
          </w:p>
        </w:tc>
      </w:tr>
      <w:tr>
        <w:trPr>
          <w:trHeight w:val="24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05/30/10 - 07/03/10</w:t>
            </w: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w:t>
            </w:r>
          </w:p>
        </w:tc>
        <w:tc>
          <w:tcPr>
            <w:tcW w:w="172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rPr>
              <w:t>$ 11.03</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78</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59,334,000</w:t>
            </w:r>
          </w:p>
        </w:tc>
      </w:tr>
      <w:tr>
        <w:trPr>
          <w:trHeight w:val="239"/>
        </w:trPr>
        <w:tc>
          <w:tcPr>
            <w:tcW w:w="2740" w:type="dxa"/>
            <w:vAlign w:val="bottom"/>
          </w:tcPr>
          <w:p>
            <w:pPr>
              <w:ind w:left="20"/>
              <w:spacing w:after="0"/>
              <w:rPr>
                <w:sz w:val="20"/>
                <w:szCs w:val="20"/>
                <w:color w:val="auto"/>
              </w:rPr>
            </w:pPr>
            <w:r>
              <w:rPr>
                <w:rFonts w:ascii="Arial" w:cs="Arial" w:eastAsia="Arial" w:hAnsi="Arial"/>
                <w:sz w:val="16"/>
                <w:szCs w:val="16"/>
                <w:color w:val="auto"/>
              </w:rPr>
              <w:t>07/04/10 - 07/31/10</w:t>
            </w: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420" w:type="dxa"/>
            <w:vAlign w:val="bottom"/>
          </w:tcPr>
          <w:p>
            <w:pPr>
              <w:jc w:val="right"/>
              <w:ind w:right="362"/>
              <w:spacing w:after="0"/>
              <w:rPr>
                <w:sz w:val="20"/>
                <w:szCs w:val="20"/>
                <w:color w:val="auto"/>
              </w:rPr>
            </w:pPr>
            <w:r>
              <w:rPr>
                <w:rFonts w:ascii="Arial" w:cs="Arial" w:eastAsia="Arial" w:hAnsi="Arial"/>
                <w:sz w:val="16"/>
                <w:szCs w:val="16"/>
                <w:color w:val="auto"/>
              </w:rPr>
              <w:t>59,334,000</w:t>
            </w:r>
          </w:p>
        </w:tc>
      </w:tr>
      <w:tr>
        <w:trPr>
          <w:trHeight w:val="24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08/01/10 - 08/28/10</w:t>
            </w: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59,334,000</w:t>
            </w:r>
          </w:p>
        </w:tc>
      </w:tr>
      <w:tr>
        <w:trPr>
          <w:trHeight w:val="244"/>
        </w:trPr>
        <w:tc>
          <w:tcPr>
            <w:tcW w:w="2740" w:type="dxa"/>
            <w:vAlign w:val="bottom"/>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78</w:t>
            </w:r>
          </w:p>
        </w:tc>
        <w:tc>
          <w:tcPr>
            <w:tcW w:w="17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$ 11.03</w:t>
            </w:r>
          </w:p>
        </w:tc>
        <w:tc>
          <w:tcPr>
            <w:tcW w:w="12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78</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color w:val="auto"/>
              </w:rPr>
              <w:t>59,334,000</w:t>
            </w:r>
          </w:p>
        </w:tc>
      </w:tr>
      <w:tr>
        <w:trPr>
          <w:trHeight w:val="20"/>
        </w:trPr>
        <w:tc>
          <w:tcPr>
            <w:tcW w:w="27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79" w:lineRule="exact"/>
        <w:rPr>
          <w:sz w:val="20"/>
          <w:szCs w:val="20"/>
          <w:color w:val="auto"/>
        </w:rPr>
      </w:pPr>
    </w:p>
    <w:p>
      <w:pPr>
        <w:ind w:left="26" w:right="460"/>
        <w:spacing w:after="0" w:line="271" w:lineRule="auto"/>
        <w:rPr>
          <w:sz w:val="20"/>
          <w:szCs w:val="20"/>
          <w:color w:val="auto"/>
        </w:rPr>
      </w:pPr>
      <w:r>
        <w:rPr>
          <w:rFonts w:ascii="Arial" w:cs="Arial" w:eastAsia="Arial" w:hAnsi="Arial"/>
          <w:sz w:val="16"/>
          <w:szCs w:val="16"/>
          <w:color w:val="auto"/>
        </w:rPr>
        <w:t>The following table provides information as of August 28, 2010 with respect to shares of our common stock that may be issued under our existing equity compensation plans:</w:t>
      </w:r>
    </w:p>
    <w:p>
      <w:pPr>
        <w:sectPr>
          <w:pgSz w:w="11900" w:h="16838" w:orient="portrait"/>
          <w:cols w:equalWidth="0" w:num="1">
            <w:col w:w="11446"/>
          </w:cols>
          <w:pgMar w:left="214" w:top="153"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46" w:right="760"/>
        <w:spacing w:after="0" w:line="252" w:lineRule="auto"/>
        <w:rPr>
          <w:sz w:val="20"/>
          <w:szCs w:val="20"/>
          <w:color w:val="auto"/>
        </w:rPr>
      </w:pPr>
      <w:r>
        <w:rPr>
          <w:rFonts w:ascii="Arial" w:cs="Arial" w:eastAsia="Arial" w:hAnsi="Arial"/>
          <w:sz w:val="15"/>
          <w:szCs w:val="15"/>
          <w:b w:val="1"/>
          <w:bCs w:val="1"/>
          <w:color w:val="auto"/>
        </w:rPr>
        <w:t>(Adjusted for the 2-for-1 Stock Split on March 5, 2004)</w:t>
      </w:r>
    </w:p>
    <w:p>
      <w:pPr>
        <w:spacing w:after="0" w:line="1" w:lineRule="exact"/>
        <w:rPr>
          <w:sz w:val="20"/>
          <w:szCs w:val="20"/>
          <w:color w:val="auto"/>
        </w:rPr>
      </w:pPr>
    </w:p>
    <w:p>
      <w:pPr>
        <w:ind w:left="46"/>
        <w:spacing w:after="0"/>
        <w:rPr>
          <w:sz w:val="20"/>
          <w:szCs w:val="20"/>
          <w:color w:val="auto"/>
        </w:rPr>
      </w:pPr>
      <w:r>
        <w:rPr>
          <w:rFonts w:ascii="Arial" w:cs="Arial" w:eastAsia="Arial" w:hAnsi="Arial"/>
          <w:sz w:val="15"/>
          <w:szCs w:val="15"/>
          <w:b w:val="1"/>
          <w:bCs w:val="1"/>
          <w:color w:val="auto"/>
        </w:rPr>
        <w:t>Plan Category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(a)</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(b)</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w:t>
            </w:r>
          </w:p>
        </w:tc>
      </w:tr>
      <w:tr>
        <w:trPr>
          <w:trHeight w:val="180"/>
        </w:trPr>
        <w:tc>
          <w:tcPr>
            <w:tcW w:w="2340" w:type="dxa"/>
            <w:vAlign w:val="bottom"/>
          </w:tcPr>
          <w:p>
            <w:pPr>
              <w:jc w:val="center"/>
              <w:spacing w:after="0"/>
              <w:rPr>
                <w:sz w:val="20"/>
                <w:szCs w:val="20"/>
                <w:color w:val="auto"/>
              </w:rPr>
            </w:pPr>
            <w:r>
              <w:rPr>
                <w:rFonts w:ascii="Arial" w:cs="Arial" w:eastAsia="Arial" w:hAnsi="Arial"/>
                <w:sz w:val="15"/>
                <w:szCs w:val="15"/>
                <w:b w:val="1"/>
                <w:bCs w:val="1"/>
                <w:color w:val="auto"/>
                <w:w w:val="97"/>
              </w:rPr>
              <w:t>Number of Securities to be</w:t>
            </w:r>
          </w:p>
        </w:tc>
        <w:tc>
          <w:tcPr>
            <w:tcW w:w="230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Arial" w:cs="Arial" w:eastAsia="Arial" w:hAnsi="Arial"/>
                <w:sz w:val="15"/>
                <w:szCs w:val="15"/>
                <w:b w:val="1"/>
                <w:bCs w:val="1"/>
                <w:color w:val="auto"/>
                <w:w w:val="98"/>
              </w:rPr>
              <w:t>Number of Securities Remaining Available</w:t>
            </w:r>
          </w:p>
        </w:tc>
      </w:tr>
      <w:tr>
        <w:trPr>
          <w:trHeight w:val="172"/>
        </w:trPr>
        <w:tc>
          <w:tcPr>
            <w:tcW w:w="2340" w:type="dxa"/>
            <w:vAlign w:val="bottom"/>
          </w:tcPr>
          <w:p>
            <w:pPr>
              <w:jc w:val="center"/>
              <w:spacing w:after="0"/>
              <w:rPr>
                <w:sz w:val="20"/>
                <w:szCs w:val="20"/>
                <w:color w:val="auto"/>
              </w:rPr>
            </w:pPr>
            <w:r>
              <w:rPr>
                <w:rFonts w:ascii="Arial" w:cs="Arial" w:eastAsia="Arial" w:hAnsi="Arial"/>
                <w:sz w:val="15"/>
                <w:szCs w:val="15"/>
                <w:b w:val="1"/>
                <w:bCs w:val="1"/>
                <w:color w:val="auto"/>
                <w:w w:val="97"/>
              </w:rPr>
              <w:t>Issued Upon Exercise of</w:t>
            </w:r>
          </w:p>
        </w:tc>
        <w:tc>
          <w:tcPr>
            <w:tcW w:w="2300" w:type="dxa"/>
            <w:vAlign w:val="bottom"/>
          </w:tcPr>
          <w:p>
            <w:pPr>
              <w:jc w:val="center"/>
              <w:spacing w:after="0"/>
              <w:rPr>
                <w:sz w:val="20"/>
                <w:szCs w:val="20"/>
                <w:color w:val="auto"/>
              </w:rPr>
            </w:pPr>
            <w:r>
              <w:rPr>
                <w:rFonts w:ascii="Arial" w:cs="Arial" w:eastAsia="Arial" w:hAnsi="Arial"/>
                <w:sz w:val="15"/>
                <w:szCs w:val="15"/>
                <w:b w:val="1"/>
                <w:bCs w:val="1"/>
                <w:color w:val="auto"/>
                <w:w w:val="97"/>
              </w:rPr>
              <w:t>Weighted Average</w:t>
            </w:r>
          </w:p>
        </w:tc>
        <w:tc>
          <w:tcPr>
            <w:tcW w:w="3160" w:type="dxa"/>
            <w:vAlign w:val="bottom"/>
          </w:tcPr>
          <w:p>
            <w:pPr>
              <w:jc w:val="center"/>
              <w:spacing w:after="0"/>
              <w:rPr>
                <w:sz w:val="20"/>
                <w:szCs w:val="20"/>
                <w:color w:val="auto"/>
              </w:rPr>
            </w:pPr>
            <w:r>
              <w:rPr>
                <w:rFonts w:ascii="Arial" w:cs="Arial" w:eastAsia="Arial" w:hAnsi="Arial"/>
                <w:sz w:val="15"/>
                <w:szCs w:val="15"/>
                <w:b w:val="1"/>
                <w:bCs w:val="1"/>
                <w:color w:val="auto"/>
                <w:w w:val="97"/>
              </w:rPr>
              <w:t>for Future Issuance Under Equity</w:t>
            </w:r>
          </w:p>
        </w:tc>
      </w:tr>
      <w:tr>
        <w:trPr>
          <w:trHeight w:val="172"/>
        </w:trPr>
        <w:tc>
          <w:tcPr>
            <w:tcW w:w="2340" w:type="dxa"/>
            <w:vAlign w:val="bottom"/>
          </w:tcPr>
          <w:p>
            <w:pPr>
              <w:jc w:val="center"/>
              <w:spacing w:after="0"/>
              <w:rPr>
                <w:sz w:val="20"/>
                <w:szCs w:val="20"/>
                <w:color w:val="auto"/>
              </w:rPr>
            </w:pPr>
            <w:r>
              <w:rPr>
                <w:rFonts w:ascii="Arial" w:cs="Arial" w:eastAsia="Arial" w:hAnsi="Arial"/>
                <w:sz w:val="15"/>
                <w:szCs w:val="15"/>
                <w:b w:val="1"/>
                <w:bCs w:val="1"/>
                <w:color w:val="auto"/>
                <w:w w:val="97"/>
              </w:rPr>
              <w:t>Outstanding Options, Warrants</w:t>
            </w:r>
          </w:p>
        </w:tc>
        <w:tc>
          <w:tcPr>
            <w:tcW w:w="2300" w:type="dxa"/>
            <w:vAlign w:val="bottom"/>
          </w:tcPr>
          <w:p>
            <w:pPr>
              <w:jc w:val="center"/>
              <w:spacing w:after="0"/>
              <w:rPr>
                <w:sz w:val="20"/>
                <w:szCs w:val="20"/>
                <w:color w:val="auto"/>
              </w:rPr>
            </w:pPr>
            <w:r>
              <w:rPr>
                <w:rFonts w:ascii="Arial" w:cs="Arial" w:eastAsia="Arial" w:hAnsi="Arial"/>
                <w:sz w:val="15"/>
                <w:szCs w:val="15"/>
                <w:b w:val="1"/>
                <w:bCs w:val="1"/>
                <w:color w:val="auto"/>
                <w:w w:val="98"/>
              </w:rPr>
              <w:t>Exercise Price of Outstanding</w:t>
            </w:r>
          </w:p>
        </w:tc>
        <w:tc>
          <w:tcPr>
            <w:tcW w:w="3160" w:type="dxa"/>
            <w:vAlign w:val="bottom"/>
          </w:tcPr>
          <w:p>
            <w:pPr>
              <w:jc w:val="center"/>
              <w:spacing w:after="0"/>
              <w:rPr>
                <w:sz w:val="20"/>
                <w:szCs w:val="20"/>
                <w:color w:val="auto"/>
              </w:rPr>
            </w:pPr>
            <w:r>
              <w:rPr>
                <w:rFonts w:ascii="Arial" w:cs="Arial" w:eastAsia="Arial" w:hAnsi="Arial"/>
                <w:sz w:val="15"/>
                <w:szCs w:val="15"/>
                <w:b w:val="1"/>
                <w:bCs w:val="1"/>
                <w:color w:val="auto"/>
                <w:w w:val="98"/>
              </w:rPr>
              <w:t>Compensation Plans (Excluding Securities</w:t>
            </w:r>
          </w:p>
        </w:tc>
      </w:tr>
      <w:tr>
        <w:trPr>
          <w:trHeight w:val="195"/>
        </w:trPr>
        <w:tc>
          <w:tcPr>
            <w:tcW w:w="2340" w:type="dxa"/>
            <w:vAlign w:val="bottom"/>
          </w:tcPr>
          <w:p>
            <w:pPr>
              <w:jc w:val="center"/>
              <w:spacing w:after="0"/>
              <w:rPr>
                <w:sz w:val="20"/>
                <w:szCs w:val="20"/>
                <w:color w:val="auto"/>
              </w:rPr>
            </w:pPr>
            <w:r>
              <w:rPr>
                <w:rFonts w:ascii="Arial" w:cs="Arial" w:eastAsia="Arial" w:hAnsi="Arial"/>
                <w:sz w:val="15"/>
                <w:szCs w:val="15"/>
                <w:b w:val="1"/>
                <w:bCs w:val="1"/>
                <w:color w:val="auto"/>
                <w:w w:val="97"/>
              </w:rPr>
              <w:t>and Rights</w:t>
            </w:r>
          </w:p>
        </w:tc>
        <w:tc>
          <w:tcPr>
            <w:tcW w:w="2300" w:type="dxa"/>
            <w:vAlign w:val="bottom"/>
          </w:tcPr>
          <w:p>
            <w:pPr>
              <w:jc w:val="center"/>
              <w:spacing w:after="0"/>
              <w:rPr>
                <w:sz w:val="20"/>
                <w:szCs w:val="20"/>
                <w:color w:val="auto"/>
              </w:rPr>
            </w:pPr>
            <w:r>
              <w:rPr>
                <w:rFonts w:ascii="Arial" w:cs="Arial" w:eastAsia="Arial" w:hAnsi="Arial"/>
                <w:sz w:val="15"/>
                <w:szCs w:val="15"/>
                <w:b w:val="1"/>
                <w:bCs w:val="1"/>
                <w:color w:val="auto"/>
                <w:w w:val="97"/>
              </w:rPr>
              <w:t>Options, Warrants and Rights</w:t>
            </w:r>
          </w:p>
        </w:tc>
        <w:tc>
          <w:tcPr>
            <w:tcW w:w="3160" w:type="dxa"/>
            <w:vAlign w:val="bottom"/>
          </w:tcPr>
          <w:p>
            <w:pPr>
              <w:jc w:val="center"/>
              <w:spacing w:after="0"/>
              <w:rPr>
                <w:sz w:val="20"/>
                <w:szCs w:val="20"/>
                <w:color w:val="auto"/>
              </w:rPr>
            </w:pPr>
            <w:r>
              <w:rPr>
                <w:rFonts w:ascii="Arial" w:cs="Arial" w:eastAsia="Arial" w:hAnsi="Arial"/>
                <w:sz w:val="15"/>
                <w:szCs w:val="15"/>
                <w:b w:val="1"/>
                <w:bCs w:val="1"/>
                <w:color w:val="auto"/>
                <w:w w:val="97"/>
              </w:rPr>
              <w:t>Reflected in (a))</w:t>
            </w:r>
          </w:p>
        </w:tc>
      </w:tr>
    </w:tbl>
    <w:p>
      <w:pPr>
        <w:spacing w:after="0" w:line="1" w:lineRule="exact"/>
        <w:rPr>
          <w:sz w:val="20"/>
          <w:szCs w:val="20"/>
          <w:color w:val="auto"/>
        </w:rPr>
      </w:pPr>
    </w:p>
    <w:p>
      <w:pPr>
        <w:sectPr>
          <w:pgSz w:w="11900" w:h="16838" w:orient="portrait"/>
          <w:cols w:equalWidth="0" w:num="2">
            <w:col w:w="2926" w:space="720"/>
            <w:col w:w="7800"/>
          </w:cols>
          <w:pgMar w:left="214" w:top="153" w:right="239" w:bottom="1440" w:gutter="0" w:footer="0" w:header="0"/>
          <w:type w:val="continuous"/>
        </w:sectPr>
      </w:pPr>
    </w:p>
    <w:tbl>
      <w:tblPr>
        <w:tblLayout w:type="fixed"/>
        <w:tblInd w:w="26" w:type="dxa"/>
        <w:tblCellMar>
          <w:top w:w="0" w:type="dxa"/>
          <w:left w:w="0" w:type="dxa"/>
          <w:bottom w:w="0" w:type="dxa"/>
          <w:right w:w="0" w:type="dxa"/>
        </w:tblCellMar>
      </w:tblPr>
      <w:tr>
        <w:trPr>
          <w:trHeight w:val="217"/>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w:t>
            </w:r>
          </w:p>
        </w:tc>
        <w:tc>
          <w:tcPr>
            <w:tcW w:w="17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vMerge w:val="restart"/>
            <w:shd w:val="clear" w:color="auto" w:fill="CCEEFF"/>
          </w:tcPr>
          <w:p>
            <w:pPr>
              <w:jc w:val="right"/>
              <w:ind w:right="343"/>
              <w:spacing w:after="0"/>
              <w:rPr>
                <w:sz w:val="20"/>
                <w:szCs w:val="20"/>
                <w:color w:val="auto"/>
              </w:rPr>
            </w:pPr>
            <w:r>
              <w:rPr>
                <w:rFonts w:ascii="Arial" w:cs="Arial" w:eastAsia="Arial" w:hAnsi="Arial"/>
                <w:sz w:val="11"/>
                <w:szCs w:val="11"/>
                <w:color w:val="auto"/>
              </w:rPr>
              <w:t>(1)</w:t>
            </w: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vMerge w:val="restart"/>
            <w:shd w:val="clear" w:color="auto" w:fill="CCEEFF"/>
          </w:tcPr>
          <w:p>
            <w:pPr>
              <w:ind w:left="6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approved by shareholders</w:t>
            </w:r>
          </w:p>
        </w:tc>
        <w:tc>
          <w:tcPr>
            <w:tcW w:w="17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940,815</w:t>
            </w:r>
          </w:p>
        </w:tc>
        <w:tc>
          <w:tcPr>
            <w:tcW w:w="5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618"/>
              <w:spacing w:after="0"/>
              <w:rPr>
                <w:sz w:val="20"/>
                <w:szCs w:val="20"/>
                <w:color w:val="auto"/>
              </w:rPr>
            </w:pPr>
            <w:r>
              <w:rPr>
                <w:rFonts w:ascii="Arial" w:cs="Arial" w:eastAsia="Arial" w:hAnsi="Arial"/>
                <w:sz w:val="16"/>
                <w:szCs w:val="16"/>
                <w:color w:val="auto"/>
              </w:rPr>
              <w:t>27.82</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3,101,594</w:t>
            </w: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rPr>
              <w:t>&lt; sup</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w w:val="98"/>
              </w:rPr>
              <w:t>style="vertical-</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6"/>
                <w:szCs w:val="16"/>
                <w:color w:val="auto"/>
              </w:rPr>
              <w:t>Equity compensation plans not</w:t>
            </w:r>
          </w:p>
        </w:tc>
        <w:tc>
          <w:tcPr>
            <w:tcW w:w="1760" w:type="dxa"/>
            <w:vAlign w:val="bottom"/>
          </w:tcPr>
          <w:p>
            <w:pPr>
              <w:spacing w:after="0"/>
              <w:rPr>
                <w:sz w:val="17"/>
                <w:szCs w:val="17"/>
                <w:color w:val="auto"/>
              </w:rPr>
            </w:pPr>
          </w:p>
        </w:tc>
        <w:tc>
          <w:tcPr>
            <w:tcW w:w="560" w:type="dxa"/>
            <w:vAlign w:val="bottom"/>
            <w:vMerge w:val="restart"/>
          </w:tcPr>
          <w:p>
            <w:pPr>
              <w:jc w:val="right"/>
              <w:ind w:right="343"/>
              <w:spacing w:after="0"/>
              <w:rPr>
                <w:sz w:val="20"/>
                <w:szCs w:val="20"/>
                <w:color w:val="auto"/>
              </w:rPr>
            </w:pPr>
            <w:r>
              <w:rPr>
                <w:rFonts w:ascii="Arial" w:cs="Arial" w:eastAsia="Arial" w:hAnsi="Arial"/>
                <w:sz w:val="11"/>
                <w:szCs w:val="11"/>
                <w:color w:val="auto"/>
              </w:rPr>
              <w:t>(4)</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rPr>
              <w:t>align:top;font-</w:t>
            </w:r>
          </w:p>
        </w:tc>
        <w:tc>
          <w:tcPr>
            <w:tcW w:w="0" w:type="dxa"/>
            <w:vAlign w:val="bottom"/>
          </w:tcPr>
          <w:p>
            <w:pPr>
              <w:spacing w:after="0"/>
              <w:rPr>
                <w:sz w:val="1"/>
                <w:szCs w:val="1"/>
                <w:color w:val="auto"/>
              </w:rPr>
            </w:pPr>
          </w:p>
        </w:tc>
      </w:tr>
      <w:tr>
        <w:trPr>
          <w:trHeight w:val="233"/>
        </w:trPr>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 xml:space="preserve">appr oved by shareholders </w:t>
            </w:r>
            <w:r>
              <w:rPr>
                <w:rFonts w:ascii="Arial" w:cs="Arial" w:eastAsia="Arial" w:hAnsi="Arial"/>
                <w:sz w:val="19"/>
                <w:szCs w:val="19"/>
                <w:color w:val="auto"/>
                <w:vertAlign w:val="superscript"/>
              </w:rPr>
              <w:t>(3)</w:t>
            </w:r>
          </w:p>
        </w:tc>
        <w:tc>
          <w:tcPr>
            <w:tcW w:w="17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102,856</w:t>
            </w:r>
          </w:p>
        </w:tc>
        <w:tc>
          <w:tcPr>
            <w:tcW w:w="56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&amp;n bsp;</w:t>
            </w:r>
          </w:p>
        </w:tc>
        <w:tc>
          <w:tcPr>
            <w:tcW w:w="6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color w:val="auto"/>
              </w:rPr>
              <w:t>14.44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size:7pt"&gt;(5)</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1,043,671</w:t>
            </w:r>
          </w:p>
        </w:tc>
        <w:tc>
          <w:tcPr>
            <w:tcW w:w="5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6"/>
                <w:szCs w:val="16"/>
                <w:color w:val="auto"/>
              </w:rPr>
              <w:t>26.50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3,101,594</w:t>
            </w:r>
          </w:p>
        </w:tc>
        <w:tc>
          <w:tcPr>
            <w:tcW w:w="11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286" w:hanging="286"/>
        <w:spacing w:after="0"/>
        <w:tabs>
          <w:tab w:leader="none" w:pos="286" w:val="left"/>
        </w:tabs>
        <w:numPr>
          <w:ilvl w:val="0"/>
          <w:numId w:val="5"/>
        </w:numPr>
        <w:rPr>
          <w:rFonts w:ascii="Arial" w:cs="Arial" w:eastAsia="Arial" w:hAnsi="Arial"/>
          <w:sz w:val="8"/>
          <w:szCs w:val="8"/>
          <w:color w:val="auto"/>
        </w:rPr>
      </w:pPr>
      <w:r>
        <w:rPr>
          <w:rFonts w:ascii="Arial" w:cs="Arial" w:eastAsia="Arial" w:hAnsi="Arial"/>
          <w:sz w:val="13"/>
          <w:szCs w:val="13"/>
          <w:color w:val="auto"/>
        </w:rPr>
        <w:t>This number includes 622,279 stock options granted under the 2004 Incentive Compensation Plan (the "Plan"). Also included are 318,536 options granted under the 1997 Stock Option Plan.</w:t>
      </w:r>
    </w:p>
    <w:p>
      <w:pPr>
        <w:ind w:left="226" w:right="80" w:hanging="226"/>
        <w:spacing w:after="0" w:line="236" w:lineRule="auto"/>
        <w:tabs>
          <w:tab w:leader="none" w:pos="275" w:val="left"/>
        </w:tabs>
        <w:numPr>
          <w:ilvl w:val="0"/>
          <w:numId w:val="5"/>
        </w:numPr>
        <w:rPr>
          <w:rFonts w:ascii="Arial" w:cs="Arial" w:eastAsia="Arial" w:hAnsi="Arial"/>
          <w:sz w:val="8"/>
          <w:szCs w:val="8"/>
          <w:color w:val="auto"/>
        </w:rPr>
      </w:pPr>
      <w:r>
        <w:rPr>
          <w:rFonts w:ascii="Arial" w:cs="Arial" w:eastAsia="Arial" w:hAnsi="Arial"/>
          <w:sz w:val="13"/>
          <w:szCs w:val="13"/>
          <w:color w:val="auto"/>
        </w:rPr>
        <w:t>This number represents stock options available for grant under the Plan as of August 28, 2010. The Plan replaced the 1997 Stock Option Plan effective January 1, 2004. No new grants may be made under the 1997 Stock Option Plan. Any stoc k options previously granted under the 1997 Stock Option Plan will continue to be exercisable in accordance with their original terms and conditions.</w:t>
      </w:r>
    </w:p>
    <w:p>
      <w:pPr>
        <w:ind w:left="226" w:right="80" w:hanging="226"/>
        <w:spacing w:after="0" w:line="236" w:lineRule="auto"/>
        <w:tabs>
          <w:tab w:leader="none" w:pos="275" w:val="left"/>
        </w:tabs>
        <w:numPr>
          <w:ilvl w:val="0"/>
          <w:numId w:val="5"/>
        </w:numPr>
        <w:rPr>
          <w:rFonts w:ascii="Arial" w:cs="Arial" w:eastAsia="Arial" w:hAnsi="Arial"/>
          <w:sz w:val="8"/>
          <w:szCs w:val="8"/>
          <w:color w:val="auto"/>
        </w:rPr>
      </w:pPr>
      <w:r>
        <w:rPr>
          <w:rFonts w:ascii="Arial" w:cs="Arial" w:eastAsia="Arial" w:hAnsi="Arial"/>
          <w:sz w:val="13"/>
          <w:szCs w:val="13"/>
          <w:color w:val="auto"/>
        </w:rPr>
        <w:t>Our sole equity compensation plan not previously submitted to our shareholders for approval is the Directors' Deferred Compensation Plan. The Board of Directors may terminate the Directors' Deferred Compensation Plan at any time. If not terminated earlier, the Directors' Deferred Compensation Plan will automatically terminate on June 30, 2013. For a description of the key provisions of the Directors' Deferred Compensation Plan, see the information in our Proxy Statement for the Annual Meeting of Shareholders scheduled to be held December 14, 2010 under the caption "Director Compensation," which information is incorporated by reference herein.</w:t>
      </w:r>
    </w:p>
    <w:p>
      <w:pPr>
        <w:ind w:left="226" w:right="380" w:hanging="226"/>
        <w:spacing w:after="0" w:line="236" w:lineRule="auto"/>
        <w:tabs>
          <w:tab w:leader="none" w:pos="275" w:val="left"/>
        </w:tabs>
        <w:numPr>
          <w:ilvl w:val="0"/>
          <w:numId w:val="5"/>
        </w:numPr>
        <w:rPr>
          <w:rFonts w:ascii="Arial" w:cs="Arial" w:eastAsia="Arial" w:hAnsi="Arial"/>
          <w:sz w:val="8"/>
          <w:szCs w:val="8"/>
          <w:color w:val="auto"/>
        </w:rPr>
      </w:pPr>
      <w:r>
        <w:rPr>
          <w:rFonts w:ascii="Arial" w:cs="Arial" w:eastAsia="Arial" w:hAnsi="Arial"/>
          <w:sz w:val="13"/>
          <w:szCs w:val="13"/>
          <w:color w:val="auto"/>
        </w:rPr>
        <w:t>Represents shares of common stock issued to a trust which underlie stock units, payable on a one-for-one basis, credited to stock unit accounts as of August 28, 2010 under the Directors' Deferred Compensation Plan.</w:t>
      </w:r>
    </w:p>
    <w:p>
      <w:pPr>
        <w:ind w:left="226" w:right="180" w:hanging="226"/>
        <w:spacing w:after="0" w:line="241" w:lineRule="auto"/>
        <w:tabs>
          <w:tab w:leader="none" w:pos="308" w:val="left"/>
        </w:tabs>
        <w:numPr>
          <w:ilvl w:val="0"/>
          <w:numId w:val="5"/>
        </w:numPr>
        <w:rPr>
          <w:rFonts w:ascii="Arial" w:cs="Arial" w:eastAsia="Arial" w:hAnsi="Arial"/>
          <w:sz w:val="11"/>
          <w:szCs w:val="11"/>
          <w:color w:val="auto"/>
        </w:rPr>
      </w:pPr>
      <w:r>
        <w:rPr>
          <w:rFonts w:ascii="Arial" w:cs="Arial" w:eastAsia="Arial" w:hAnsi="Arial"/>
          <w:sz w:val="13"/>
          <w:szCs w:val="13"/>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381"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46"/>
          </w:cols>
          <w:pgMar w:left="214" w:top="153" w:right="239" w:bottom="1440" w:gutter="0" w:footer="0" w:header="0"/>
          <w:type w:val="continuous"/>
        </w:sectPr>
      </w:pPr>
    </w:p>
    <w:bookmarkStart w:id="12" w:name="page13"/>
    <w:bookmarkEnd w:id="1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recreational products. It is assumed in the grap h that $100 was invested in our common stock, in the Standard &amp; Poor's 500 Index and in the stocks of the peer group companies on August 27, 2005 and that all dividends received within a quarter were reinvested in that quarter. In accordance with the guidelines of the Securities and Exchange Commission,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92710</wp:posOffset>
            </wp:positionV>
            <wp:extent cx="5638800" cy="3154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3880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40" w:type="dxa"/>
            <w:vAlign w:val="bottom"/>
          </w:tcPr>
          <w:p>
            <w:pPr>
              <w:spacing w:after="0"/>
              <w:rPr>
                <w:sz w:val="19"/>
                <w:szCs w:val="19"/>
                <w:color w:val="auto"/>
              </w:rPr>
            </w:pP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Base Period</w:t>
            </w: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87"/>
        </w:trPr>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jc w:val="right"/>
              <w:ind w:right="238"/>
              <w:spacing w:after="0"/>
              <w:rPr>
                <w:sz w:val="20"/>
                <w:szCs w:val="20"/>
                <w:color w:val="auto"/>
              </w:rPr>
            </w:pPr>
            <w:r>
              <w:rPr>
                <w:rFonts w:ascii="Arial" w:cs="Arial" w:eastAsia="Arial" w:hAnsi="Arial"/>
                <w:sz w:val="16"/>
                <w:szCs w:val="16"/>
                <w:b w:val="1"/>
                <w:bCs w:val="1"/>
                <w:color w:val="auto"/>
              </w:rPr>
              <w:t>8/25/07&lt;</w:t>
            </w: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3"/>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Company/Index</w:t>
            </w:r>
          </w:p>
        </w:tc>
        <w:tc>
          <w:tcPr>
            <w:tcW w:w="13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8/27/05</w:t>
            </w:r>
          </w:p>
        </w:tc>
        <w:tc>
          <w:tcPr>
            <w:tcW w:w="136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8/26/06</w:t>
            </w: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/font&gt;</w:t>
            </w:r>
          </w:p>
        </w:tc>
        <w:tc>
          <w:tcPr>
            <w:tcW w:w="152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8/30/08</w:t>
            </w:r>
          </w:p>
        </w:tc>
        <w:tc>
          <w:tcPr>
            <w:tcW w:w="13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8/29/09</w:t>
            </w: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8/28/10</w:t>
            </w:r>
          </w:p>
        </w:tc>
      </w:tr>
      <w:tr>
        <w:trPr>
          <w:trHeight w:val="244"/>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 Industries, Inc.</w:t>
            </w:r>
          </w:p>
        </w:tc>
        <w:tc>
          <w:tcPr>
            <w:tcW w:w="1360" w:type="dxa"/>
            <w:vAlign w:val="bottom"/>
            <w:shd w:val="clear" w:color="auto" w:fill="CCEEFF"/>
          </w:tcPr>
          <w:p>
            <w:pPr>
              <w:jc w:val="right"/>
              <w:ind w:right="758"/>
              <w:spacing w:after="0"/>
              <w:rPr>
                <w:sz w:val="20"/>
                <w:szCs w:val="20"/>
                <w:color w:val="auto"/>
              </w:rPr>
            </w:pPr>
            <w:r>
              <w:rPr>
                <w:rFonts w:ascii="Arial" w:cs="Arial" w:eastAsia="Arial" w:hAnsi="Arial"/>
                <w:sz w:val="16"/>
                <w:szCs w:val="16"/>
                <w:color w:val="auto"/>
              </w:rPr>
              <w:t>100.00</w:t>
            </w:r>
          </w:p>
        </w:tc>
        <w:tc>
          <w:tcPr>
            <w:tcW w:w="13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88.44</w:t>
            </w:r>
          </w:p>
        </w:tc>
        <w:tc>
          <w:tcPr>
            <w:tcW w:w="12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87.76</w:t>
            </w:r>
          </w:p>
        </w:tc>
        <w:tc>
          <w:tcPr>
            <w:tcW w:w="15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37.36</w:t>
            </w:r>
          </w:p>
        </w:tc>
        <w:tc>
          <w:tcPr>
            <w:tcW w:w="13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38.64</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30.09</w:t>
            </w:r>
          </w:p>
        </w:tc>
      </w:tr>
      <w:tr>
        <w:trPr>
          <w:trHeight w:val="239"/>
        </w:trPr>
        <w:tc>
          <w:tcPr>
            <w:tcW w:w="344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1360" w:type="dxa"/>
            <w:vAlign w:val="bottom"/>
          </w:tcPr>
          <w:p>
            <w:pPr>
              <w:jc w:val="right"/>
              <w:ind w:right="258"/>
              <w:spacing w:after="0"/>
              <w:rPr>
                <w:sz w:val="20"/>
                <w:szCs w:val="20"/>
                <w:color w:val="auto"/>
              </w:rPr>
            </w:pPr>
            <w:r>
              <w:rPr>
                <w:rFonts w:ascii="Arial" w:cs="Arial" w:eastAsia="Arial" w:hAnsi="Arial"/>
                <w:sz w:val="16"/>
                <w:szCs w:val="16"/>
                <w:color w:val="auto"/>
              </w:rPr>
              <w:t>100.00</w:t>
            </w:r>
          </w:p>
        </w:tc>
        <w:tc>
          <w:tcPr>
            <w:tcW w:w="1360" w:type="dxa"/>
            <w:vAlign w:val="bottom"/>
          </w:tcPr>
          <w:p>
            <w:pPr>
              <w:jc w:val="right"/>
              <w:ind w:right="238"/>
              <w:spacing w:after="0"/>
              <w:rPr>
                <w:sz w:val="20"/>
                <w:szCs w:val="20"/>
                <w:color w:val="auto"/>
              </w:rPr>
            </w:pPr>
            <w:r>
              <w:rPr>
                <w:rFonts w:ascii="Arial" w:cs="Arial" w:eastAsia="Arial" w:hAnsi="Arial"/>
                <w:sz w:val="16"/>
                <w:szCs w:val="16"/>
                <w:color w:val="auto"/>
              </w:rPr>
              <w:t>109.52</w:t>
            </w:r>
          </w:p>
        </w:tc>
        <w:tc>
          <w:tcPr>
            <w:tcW w:w="1260" w:type="dxa"/>
            <w:vAlign w:val="bottom"/>
          </w:tcPr>
          <w:p>
            <w:pPr>
              <w:jc w:val="right"/>
              <w:ind w:right="98"/>
              <w:spacing w:after="0"/>
              <w:rPr>
                <w:sz w:val="20"/>
                <w:szCs w:val="20"/>
                <w:color w:val="auto"/>
              </w:rPr>
            </w:pPr>
            <w:r>
              <w:rPr>
                <w:rFonts w:ascii="Arial" w:cs="Arial" w:eastAsia="Arial" w:hAnsi="Arial"/>
                <w:sz w:val="16"/>
                <w:szCs w:val="16"/>
                <w:color w:val="auto"/>
              </w:rPr>
              <w:t>127.43</w:t>
            </w:r>
          </w:p>
        </w:tc>
        <w:tc>
          <w:tcPr>
            <w:tcW w:w="1520" w:type="dxa"/>
            <w:vAlign w:val="bottom"/>
          </w:tcPr>
          <w:p>
            <w:pPr>
              <w:jc w:val="right"/>
              <w:ind w:right="238"/>
              <w:spacing w:after="0"/>
              <w:rPr>
                <w:sz w:val="20"/>
                <w:szCs w:val="20"/>
                <w:color w:val="auto"/>
              </w:rPr>
            </w:pPr>
            <w:r>
              <w:rPr>
                <w:rFonts w:ascii="Arial" w:cs="Arial" w:eastAsia="Arial" w:hAnsi="Arial"/>
                <w:sz w:val="16"/>
                <w:szCs w:val="16"/>
                <w:color w:val="auto"/>
              </w:rPr>
              <w:t>112.87</w:t>
            </w:r>
          </w:p>
        </w:tc>
        <w:tc>
          <w:tcPr>
            <w:tcW w:w="1340" w:type="dxa"/>
            <w:vAlign w:val="bottom"/>
          </w:tcPr>
          <w:p>
            <w:pPr>
              <w:jc w:val="right"/>
              <w:ind w:right="218"/>
              <w:spacing w:after="0"/>
              <w:rPr>
                <w:sz w:val="20"/>
                <w:szCs w:val="20"/>
                <w:color w:val="auto"/>
              </w:rPr>
            </w:pPr>
            <w:r>
              <w:rPr>
                <w:rFonts w:ascii="Arial" w:cs="Arial" w:eastAsia="Arial" w:hAnsi="Arial"/>
                <w:sz w:val="16"/>
                <w:szCs w:val="16"/>
                <w:color w:val="auto"/>
              </w:rPr>
              <w:t>93.01</w:t>
            </w: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98.18</w:t>
            </w:r>
          </w:p>
        </w:tc>
      </w:tr>
      <w:tr>
        <w:trPr>
          <w:trHeight w:val="25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Peer Group</w:t>
            </w:r>
          </w:p>
        </w:tc>
        <w:tc>
          <w:tcPr>
            <w:tcW w:w="13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100.00</w:t>
            </w:r>
          </w:p>
        </w:tc>
        <w:tc>
          <w:tcPr>
            <w:tcW w:w="13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81.48</w:t>
            </w:r>
          </w:p>
        </w:tc>
        <w:tc>
          <w:tcPr>
            <w:tcW w:w="12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89.14</w:t>
            </w:r>
          </w:p>
        </w:tc>
        <w:tc>
          <w:tcPr>
            <w:tcW w:w="152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rPr>
              <w:t>58.77</w:t>
            </w:r>
          </w:p>
        </w:tc>
        <w:tc>
          <w:tcPr>
            <w:tcW w:w="13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54.40</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66.93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color w:val="auto"/>
        </w:rPr>
        <w:t>Selected Financial Data (See pages 58 and 59)</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153" w:right="239" w:bottom="1440" w:gutter="0" w:footer="0" w:header="0"/>
        </w:sectPr>
      </w:pPr>
    </w:p>
    <w:bookmarkStart w:id="13" w:name="page14"/>
    <w:bookmarkEnd w:id="1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color w:val="auto"/>
        </w:rPr>
        <w:t>Management's Discussion and Analysis of Financial Condition and Results of Operations</w:t>
      </w:r>
    </w:p>
    <w:p>
      <w:pPr>
        <w:spacing w:after="0" w:line="179"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eight sections:</w:t>
      </w:r>
    </w:p>
    <w:p>
      <w:pPr>
        <w:spacing w:after="0" w:line="131" w:lineRule="exact"/>
        <w:rPr>
          <w:sz w:val="20"/>
          <w:szCs w:val="20"/>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Executive Overview</w:t>
      </w:r>
    </w:p>
    <w:p>
      <w:pPr>
        <w:spacing w:after="0" w:line="159"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Industry Outlook</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Company Outlook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Results of Operations</w:t>
      </w:r>
    </w:p>
    <w:p>
      <w:pPr>
        <w:spacing w:after="0" w:line="12" w:lineRule="exact"/>
        <w:rPr>
          <w:sz w:val="20"/>
          <w:szCs w:val="20"/>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Anal ysis of Financial Condition, Liquidity and Capital Resources</w:t>
      </w:r>
    </w:p>
    <w:p>
      <w:pPr>
        <w:spacing w:after="0" w:line="15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Contractual Obligations and Commercial Commitments</w:t>
      </w:r>
    </w:p>
    <w:p>
      <w:pPr>
        <w:spacing w:after="0" w:line="15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Critical Accounting Policies</w:t>
      </w:r>
    </w:p>
    <w:p>
      <w:pPr>
        <w:spacing w:after="0" w:line="15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New Accounting Pronouncements</w:t>
      </w:r>
    </w:p>
    <w:p>
      <w:pPr>
        <w:spacing w:after="0" w:line="15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MD&amp;A should be read in conjunction with the Financial Statements and related Notes included in Item 8, Financial Statements and Supplementary Data, of this Annual Report on Form 10-K.</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79"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Winnebago Industries, Inc. is a leading U.S. manufacturer of motor homes with a proud history of manufacturing recreation vehicles for more than 50 years. Our strategy is to manufacture quality motor homes in a profitable manner. We produce all of our motor homes in highly vertically integrated manufacturing facilities in the state of Iowa. We distribute our products through independent dealers throughout the United States and Canada, who then retail the products to the end consumer. Our retail unit market share, as reported b y Statistical Surveys, Inc. (Statistical Surveys),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21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Through August 31,</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Calendar Year</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US Retail:</w:t>
            </w:r>
          </w:p>
        </w:tc>
        <w:tc>
          <w:tcPr>
            <w:tcW w:w="10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2010</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2009</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6"/>
                <w:szCs w:val="16"/>
                <w:b w:val="1"/>
                <w:bCs w:val="1"/>
                <w:color w:val="auto"/>
              </w:rPr>
              <w:t>2009</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2008</w:t>
            </w: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&lt; /td&gt;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22.9</w:t>
            </w:r>
          </w:p>
        </w:tc>
        <w:tc>
          <w:tcPr>
            <w:tcW w:w="1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2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23.2%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A diesel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10.9%</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11.4%</w:t>
            </w: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8.1%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44"/>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Class A</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3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C</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22.6%</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22.7%</w:t>
            </w: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22.8%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Class A and C</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2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19.1%</w:t>
            </w: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18.3%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880" w:type="dxa"/>
            <w:vAlign w:val="bottom"/>
          </w:tcPr>
          <w:p>
            <w:pPr>
              <w:ind w:left="20"/>
              <w:spacing w:after="0"/>
              <w:rPr>
                <w:sz w:val="20"/>
                <w:szCs w:val="20"/>
                <w:color w:val="auto"/>
              </w:rPr>
            </w:pPr>
            <w:r>
              <w:rPr>
                <w:rFonts w:ascii="Arial" w:cs="Arial" w:eastAsia="Arial" w:hAnsi="Arial"/>
                <w:sz w:val="16"/>
                <w:szCs w:val="16"/>
                <w:color w:val="auto"/>
              </w:rPr>
              <w:t>Class B</w:t>
            </w:r>
          </w:p>
        </w:tc>
        <w:tc>
          <w:tcPr>
            <w:tcW w:w="1060" w:type="dxa"/>
            <w:vAlign w:val="bottom"/>
          </w:tcPr>
          <w:p>
            <w:pPr>
              <w:jc w:val="right"/>
              <w:spacing w:after="0"/>
              <w:rPr>
                <w:sz w:val="20"/>
                <w:szCs w:val="20"/>
                <w:color w:val="auto"/>
              </w:rPr>
            </w:pPr>
            <w:r>
              <w:rPr>
                <w:rFonts w:ascii="Arial" w:cs="Arial" w:eastAsia="Arial" w:hAnsi="Arial"/>
                <w:sz w:val="16"/>
                <w:szCs w:val="16"/>
                <w:color w:val="auto"/>
              </w:rPr>
              <w:t>18.2%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16.8%</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18.1%</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588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Through July 31,</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Calendar Year</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Canadian Retail:</w:t>
            </w:r>
          </w:p>
        </w:tc>
        <w:tc>
          <w:tcPr>
            <w:tcW w:w="10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2010</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2009</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6"/>
                <w:szCs w:val="16"/>
                <w:b w:val="1"/>
                <w:bCs w:val="1"/>
                <w:color w:val="auto"/>
              </w:rPr>
              <w:t>2009</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2008</w:t>
            </w: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244"/>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18.4%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Arial" w:cs="Arial" w:eastAsia="Arial" w:hAnsi="Arial"/>
                <w:sz w:val="16"/>
                <w:szCs w:val="16"/>
                <w:color w:val="auto"/>
              </w:rPr>
              <w:t>Class A diesel</w:t>
            </w:r>
          </w:p>
        </w:tc>
        <w:tc>
          <w:tcPr>
            <w:tcW w:w="1060" w:type="dxa"/>
            <w:vAlign w:val="bottom"/>
          </w:tcPr>
          <w:p>
            <w:pPr>
              <w:jc w:val="right"/>
              <w:spacing w:after="0"/>
              <w:rPr>
                <w:sz w:val="20"/>
                <w:szCs w:val="20"/>
                <w:color w:val="auto"/>
              </w:rPr>
            </w:pPr>
            <w:r>
              <w:rPr>
                <w:rFonts w:ascii="Arial" w:cs="Arial" w:eastAsia="Arial" w:hAnsi="Arial"/>
                <w:sz w:val="16"/>
                <w:szCs w:val="16"/>
                <w:color w:val="auto"/>
              </w:rPr>
              <w:t>11.5%</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7.0%</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5.3%</w:t>
            </w: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Class A</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Arial" w:cs="Arial" w:eastAsia="Arial" w:hAnsi="Arial"/>
                <w:sz w:val="16"/>
                <w:szCs w:val="16"/>
                <w:color w:val="auto"/>
              </w:rPr>
              <w:t>Class C</w:t>
            </w: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9.5%</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19.5%</w:t>
            </w:r>
          </w:p>
        </w:tc>
        <w:tc>
          <w:tcPr>
            <w:tcW w:w="86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8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Total Class A and C</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60" w:type="dxa"/>
            <w:vAlign w:val="bottom"/>
            <w:shd w:val="clear" w:color="auto" w:fill="CCEEFF"/>
          </w:tcPr>
          <w:p>
            <w:pPr>
              <w:jc w:val="right"/>
              <w:ind w:right="281"/>
              <w:spacing w:after="0" w:line="171" w:lineRule="exact"/>
              <w:rPr>
                <w:sz w:val="20"/>
                <w:szCs w:val="20"/>
                <w:color w:val="auto"/>
              </w:rPr>
            </w:pPr>
            <w:r>
              <w:rPr>
                <w:rFonts w:ascii="Arial" w:cs="Arial" w:eastAsia="Arial" w:hAnsi="Arial"/>
                <w:sz w:val="16"/>
                <w:szCs w:val="16"/>
                <w:color w:val="auto"/>
              </w:rPr>
              <w:t>15.7</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74"/>
        </w:trPr>
        <w:tc>
          <w:tcPr>
            <w:tcW w:w="5880" w:type="dxa"/>
            <w:vAlign w:val="bottom"/>
            <w:tcBorders>
              <w:bottom w:val="single" w:sz="8" w:color="CCEEFF"/>
            </w:tcBorders>
            <w:vMerge w:val="continue"/>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60" w:type="dxa"/>
            <w:vAlign w:val="bottom"/>
            <w:tcBorders>
              <w:bottom w:val="single" w:sz="8" w:color="auto"/>
            </w:tcBorders>
            <w:gridSpan w:val="2"/>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gridSpan w:val="2"/>
            <w:vMerge w:val="continue"/>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jc w:val="right"/>
              <w:ind w:right="141"/>
              <w:spacing w:after="0" w:line="74" w:lineRule="exact"/>
              <w:rPr>
                <w:sz w:val="20"/>
                <w:szCs w:val="20"/>
                <w:color w:val="auto"/>
              </w:rPr>
            </w:pPr>
            <w:r>
              <w:rPr>
                <w:rFonts w:ascii="Arial" w:cs="Arial" w:eastAsia="Arial" w:hAnsi="Arial"/>
                <w:sz w:val="8"/>
                <w:szCs w:val="8"/>
                <w:color w:val="auto"/>
              </w:rPr>
              <w:t>%</w:t>
            </w: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-1494790</wp:posOffset>
            </wp:positionV>
            <wp:extent cx="5795010" cy="163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63830"/>
                    </a:xfrm>
                    <a:prstGeom prst="rect">
                      <a:avLst/>
                    </a:prstGeom>
                    <a:noFill/>
                  </pic:spPr>
                </pic:pic>
              </a:graphicData>
            </a:graphic>
          </wp:anchor>
        </w:drawing>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led the industry with the highest mark et share in the U.S. of Class A and Class C motor homes combined for the past nine calendar years. Currently, we are tied for the number one position per the most recent Statistical Surveys reporting through August 2010. We have seen notable improvement in our Class A market share in 2010, primarily due to Class A diesel retail acceptance, and we lead the industry in that sector. However, we have experienced a drop in Class C market share in 2010. In addition to increased competitive pricing pressures in the Class C product, particularly at the entry level, we believe this decline resulted primarily from large volume RV rental operators increasing their fleet purchases in early 2010. While our company participated in some of this volume, we chose not to pursue a large percentage of fleet rental business due to considerably lower margins.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20"/>
          </w:cols>
          <w:pgMar w:left="240" w:top="153" w:right="239" w:bottom="1440" w:gutter="0" w:footer="0" w:header="0"/>
        </w:sectPr>
      </w:pPr>
    </w:p>
    <w:bookmarkStart w:id="14" w:name="page15"/>
    <w:bookmarkEnd w:id="14"/>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5" w:lineRule="exact"/>
        <w:rPr>
          <w:sz w:val="20"/>
          <w:szCs w:val="20"/>
          <w:color w:val="auto"/>
        </w:rPr>
      </w:pPr>
    </w:p>
    <w:p>
      <w:pPr>
        <w:ind w:left="2" w:right="120"/>
        <w:spacing w:after="0" w:line="271" w:lineRule="auto"/>
        <w:rPr>
          <w:sz w:val="20"/>
          <w:szCs w:val="20"/>
          <w:color w:val="auto"/>
        </w:rPr>
      </w:pPr>
      <w:r>
        <w:rPr>
          <w:rFonts w:ascii="Arial" w:cs="Arial" w:eastAsia="Arial" w:hAnsi="Arial"/>
          <w:sz w:val="16"/>
          <w:szCs w:val="16"/>
          <w:color w:val="auto"/>
        </w:rPr>
        <w:t>We began producing Class B motor homes in February 2008 and we held the number three U.S. position in retail unit market share for Class B motor homes in Calendar 2009 and through August in Calendar 2010.</w:t>
      </w:r>
    </w:p>
    <w:p>
      <w:pPr>
        <w:spacing w:after="0" w:line="124" w:lineRule="exact"/>
        <w:rPr>
          <w:sz w:val="20"/>
          <w:szCs w:val="20"/>
          <w:color w:val="auto"/>
        </w:rPr>
      </w:pPr>
    </w:p>
    <w:p>
      <w:pPr>
        <w:ind w:left="2" w:right="60"/>
        <w:spacing w:after="0" w:line="261" w:lineRule="auto"/>
        <w:rPr>
          <w:sz w:val="20"/>
          <w:szCs w:val="20"/>
          <w:color w:val="auto"/>
        </w:rPr>
      </w:pPr>
      <w:r>
        <w:rPr>
          <w:rFonts w:ascii="Arial" w:cs="Arial" w:eastAsia="Arial" w:hAnsi="Arial"/>
          <w:sz w:val="16"/>
          <w:szCs w:val="16"/>
          <w:color w:val="auto"/>
        </w:rPr>
        <w:t>We hold the number two retail market share position in Canada through July 2010, which is approximately 13 percent of the U.S. market. Our market share in Canada was significantly impacted in Calendar 2009 du e to the distressed merchandise sold into the dealer channel, primarily by competitors going through Chapter 11 bankruptcy. We have seen significant improvement in Calendar 2010 in all categories due to the fact that the majority of that distressed product was retailed in 2009. Our increased level of Canadian rental orders has also positively impacted our Class C share thus far in Calendar 2010.</w:t>
      </w:r>
    </w:p>
    <w:p>
      <w:pPr>
        <w:spacing w:after="0" w:line="3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Industry Outlook</w:t>
      </w:r>
    </w:p>
    <w:p>
      <w:pPr>
        <w:spacing w:after="0" w:line="179" w:lineRule="exact"/>
        <w:rPr>
          <w:sz w:val="20"/>
          <w:szCs w:val="20"/>
          <w:color w:val="auto"/>
        </w:rPr>
      </w:pPr>
    </w:p>
    <w:p>
      <w:pPr>
        <w:ind w:left="2" w:right="80"/>
        <w:spacing w:after="0" w:line="259" w:lineRule="auto"/>
        <w:rPr>
          <w:sz w:val="20"/>
          <w:szCs w:val="20"/>
          <w:color w:val="auto"/>
        </w:rPr>
      </w:pPr>
      <w:r>
        <w:rPr>
          <w:rFonts w:ascii="Arial" w:cs="Arial" w:eastAsia="Arial" w:hAnsi="Arial"/>
          <w:sz w:val="16"/>
          <w:szCs w:val="16"/>
          <w:color w:val="auto"/>
        </w:rPr>
        <w:t>The motorized RV market was significantly impacted b y highly unstable market conditions in recent years. The tightening of the wholesale and retail credit markets, low consumer confidence, the effect of the global recession and uncertainty related to fuel prices placed enormous pressure on retail sales and as a result, dealers significantly reduced their inventory levels. Industry motorhome wholesale shipments in the 20 years prior to Calendar 2008 averaged 58,000 units per year, similar to retail demand. In Calendar 2008, shipments dropped 49 percent to 28,300, the lowest deliveries on record since 1971 and then shipments dropped an additional 53 percent in Calendar 2009 to an unprecedented level of 13,200. Retail registrations fell during this same time frame, but not to the same magnitude, resulting in significant dealer inventory liquidation.</w:t>
      </w:r>
    </w:p>
    <w:p>
      <w:pPr>
        <w:spacing w:after="0" w:line="133" w:lineRule="exact"/>
        <w:rPr>
          <w:sz w:val="20"/>
          <w:szCs w:val="20"/>
          <w:color w:val="auto"/>
        </w:rPr>
      </w:pPr>
    </w:p>
    <w:p>
      <w:pPr>
        <w:jc w:val="both"/>
        <w:ind w:left="2" w:right="240"/>
        <w:spacing w:after="0" w:line="261" w:lineRule="auto"/>
        <w:rPr>
          <w:sz w:val="20"/>
          <w:szCs w:val="20"/>
          <w:color w:val="auto"/>
        </w:rPr>
      </w:pPr>
      <w:r>
        <w:rPr>
          <w:rFonts w:ascii="Arial" w:cs="Arial" w:eastAsia="Arial" w:hAnsi="Arial"/>
          <w:sz w:val="16"/>
          <w:szCs w:val="16"/>
          <w:color w:val="auto"/>
        </w:rPr>
        <w:t>Thus far in Calendar 2010, industry shipments have improved dramatically as compared to the prior year and have been in line with retail demand through July. We attribute the recovery to the improvement in wholesale and retail credit availability and also a result of dealer inventory levels reaching equilibrium with retail demand. The current industry outlook for Calendar 2010 per the RVIA is for wholesale shipments to be higher than retail activity was in Calendar 2009, as evidenced in the table below. RVIA has also forecasted that shipments in Calendar 2011 will increase by an additional 13 percent to 26,500 units.</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color w:val="auto"/>
        </w:rPr>
        <w:t>Key statistics for the motor home industry are as follows:</w:t>
      </w:r>
    </w:p>
    <w:p>
      <w:pPr>
        <w:spacing w:after="0" w:line="168" w:lineRule="exact"/>
        <w:rPr>
          <w:sz w:val="20"/>
          <w:szCs w:val="20"/>
          <w:color w:val="auto"/>
        </w:rPr>
      </w:pPr>
    </w:p>
    <w:tbl>
      <w:tblPr>
        <w:tblLayout w:type="fixed"/>
        <w:tblInd w:w="2"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6"/>
          </w:tcPr>
          <w:p>
            <w:pPr>
              <w:jc w:val="right"/>
              <w:ind w:right="446"/>
              <w:spacing w:after="0"/>
              <w:rPr>
                <w:sz w:val="20"/>
                <w:szCs w:val="20"/>
                <w:color w:val="auto"/>
              </w:rPr>
            </w:pPr>
            <w:r>
              <w:rPr>
                <w:rFonts w:ascii="Arial" w:cs="Arial" w:eastAsia="Arial" w:hAnsi="Arial"/>
                <w:sz w:val="15"/>
                <w:szCs w:val="15"/>
                <w:b w:val="1"/>
                <w:bCs w:val="1"/>
                <w:color w:val="auto"/>
              </w:rPr>
              <w:t>US and Canada Industry Class A, B &amp; C Motor Homes</w:t>
            </w:r>
          </w:p>
        </w:tc>
        <w:tc>
          <w:tcPr>
            <w:tcW w:w="1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3"/>
          </w:tcPr>
          <w:p>
            <w:pPr>
              <w:jc w:val="right"/>
              <w:ind w:right="226"/>
              <w:spacing w:after="0"/>
              <w:rPr>
                <w:sz w:val="20"/>
                <w:szCs w:val="20"/>
                <w:color w:val="auto"/>
              </w:rPr>
            </w:pPr>
            <w:r>
              <w:rPr>
                <w:rFonts w:ascii="Arial" w:cs="Arial" w:eastAsia="Arial" w:hAnsi="Arial"/>
                <w:sz w:val="15"/>
                <w:szCs w:val="15"/>
                <w:b w:val="1"/>
                <w:bCs w:val="1"/>
                <w:color w:val="auto"/>
              </w:rPr>
              <w:t>Wholesale Shipments</w:t>
            </w:r>
            <w:r>
              <w:rPr>
                <w:rFonts w:ascii="Arial" w:cs="Arial" w:eastAsia="Arial" w:hAnsi="Arial"/>
                <w:sz w:val="19"/>
                <w:szCs w:val="19"/>
                <w:b w:val="1"/>
                <w:bCs w:val="1"/>
                <w:color w:val="auto"/>
                <w:vertAlign w:val="superscript"/>
              </w:rPr>
              <w:t>(1)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2"/>
          </w:tcPr>
          <w:p>
            <w:pPr>
              <w:jc w:val="right"/>
              <w:ind w:right="606"/>
              <w:spacing w:after="0"/>
              <w:rPr>
                <w:sz w:val="20"/>
                <w:szCs w:val="20"/>
                <w:color w:val="auto"/>
              </w:rPr>
            </w:pPr>
            <w:r>
              <w:rPr>
                <w:rFonts w:ascii="Arial" w:cs="Arial" w:eastAsia="Arial" w:hAnsi="Arial"/>
                <w:sz w:val="15"/>
                <w:szCs w:val="15"/>
                <w:b w:val="1"/>
                <w:bCs w:val="1"/>
                <w:color w:val="auto"/>
              </w:rPr>
              <w:t>Retail Registrations</w:t>
            </w:r>
            <w:r>
              <w:rPr>
                <w:rFonts w:ascii="Arial" w:cs="Arial" w:eastAsia="Arial" w:hAnsi="Arial"/>
                <w:sz w:val="19"/>
                <w:szCs w:val="19"/>
                <w:b w:val="1"/>
                <w:bCs w:val="1"/>
                <w:color w:val="auto"/>
                <w:vertAlign w:val="superscript"/>
              </w:rPr>
              <w:t>(2)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566"/>
              <w:spacing w:after="0"/>
              <w:rPr>
                <w:sz w:val="20"/>
                <w:szCs w:val="20"/>
                <w:color w:val="auto"/>
              </w:rPr>
            </w:pPr>
            <w:r>
              <w:rPr>
                <w:rFonts w:ascii="Arial" w:cs="Arial" w:eastAsia="Arial" w:hAnsi="Arial"/>
                <w:sz w:val="15"/>
                <w:szCs w:val="15"/>
                <w:b w:val="1"/>
                <w:bCs w:val="1"/>
                <w:color w:val="auto"/>
              </w:rPr>
              <w:t>Calendar Year</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right"/>
              <w:ind w:right="866"/>
              <w:spacing w:after="0"/>
              <w:rPr>
                <w:sz w:val="20"/>
                <w:szCs w:val="20"/>
                <w:color w:val="auto"/>
              </w:rPr>
            </w:pPr>
            <w:r>
              <w:rPr>
                <w:rFonts w:ascii="Arial" w:cs="Arial" w:eastAsia="Arial" w:hAnsi="Arial"/>
                <w:sz w:val="15"/>
                <w:szCs w:val="15"/>
                <w:b w:val="1"/>
                <w:bCs w:val="1"/>
                <w:color w:val="auto"/>
              </w:rPr>
              <w:t>Calendar Year</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66"/>
              <w:spacing w:after="0"/>
              <w:rPr>
                <w:sz w:val="20"/>
                <w:szCs w:val="20"/>
                <w:color w:val="auto"/>
              </w:rPr>
            </w:pPr>
            <w:r>
              <w:rPr>
                <w:rFonts w:ascii="Arial" w:cs="Arial" w:eastAsia="Arial" w:hAnsi="Arial"/>
                <w:sz w:val="15"/>
                <w:szCs w:val="15"/>
                <w:b w:val="1"/>
                <w:bCs w:val="1"/>
                <w:color w:val="auto"/>
              </w:rPr>
              <w:t>(Decrease)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units)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left="386"/>
              <w:spacing w:after="0"/>
              <w:rPr>
                <w:sz w:val="20"/>
                <w:szCs w:val="20"/>
                <w:color w:val="auto"/>
              </w:rPr>
            </w:pPr>
            <w:r>
              <w:rPr>
                <w:rFonts w:ascii="Arial" w:cs="Arial" w:eastAsia="Arial" w:hAnsi="Arial"/>
                <w:sz w:val="15"/>
                <w:szCs w:val="15"/>
                <w:b w:val="1"/>
                <w:bCs w:val="1"/>
                <w:color w:val="auto"/>
              </w:rPr>
              <w:t>2008</w:t>
            </w: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Increase</w:t>
            </w: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5"/>
                <w:szCs w:val="15"/>
                <w:b w:val="1"/>
                <w:bCs w:val="1"/>
                <w:color w:val="auto"/>
              </w:rPr>
              <w:t>Change</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2009</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2008</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Decrease</w:t>
            </w:r>
          </w:p>
        </w:tc>
        <w:tc>
          <w:tcPr>
            <w:tcW w:w="8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45"/>
        </w:trPr>
        <w:tc>
          <w:tcPr>
            <w:tcW w:w="2440" w:type="dxa"/>
            <w:vAlign w:val="bottom"/>
          </w:tcPr>
          <w:p>
            <w:pPr>
              <w:ind w:left="20"/>
              <w:spacing w:after="0"/>
              <w:rPr>
                <w:sz w:val="20"/>
                <w:szCs w:val="20"/>
                <w:color w:val="auto"/>
              </w:rPr>
            </w:pPr>
            <w:r>
              <w:rPr>
                <w:rFonts w:ascii="Arial" w:cs="Arial" w:eastAsia="Arial" w:hAnsi="Arial"/>
                <w:sz w:val="15"/>
                <w:szCs w:val="15"/>
                <w:color w:val="auto"/>
              </w:rPr>
              <w:t>First quarter</w:t>
            </w: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2,400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11,000</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(8,600)</w:t>
            </w:r>
          </w:p>
        </w:tc>
        <w:tc>
          <w:tcPr>
            <w:tcW w:w="960" w:type="dxa"/>
            <w:vAlign w:val="bottom"/>
          </w:tcPr>
          <w:p>
            <w:pPr>
              <w:jc w:val="right"/>
              <w:spacing w:after="0"/>
              <w:rPr>
                <w:sz w:val="20"/>
                <w:szCs w:val="20"/>
                <w:color w:val="auto"/>
              </w:rPr>
            </w:pPr>
            <w:r>
              <w:rPr>
                <w:rFonts w:ascii="Arial" w:cs="Arial" w:eastAsia="Arial" w:hAnsi="Arial"/>
                <w:sz w:val="15"/>
                <w:szCs w:val="15"/>
                <w:color w:val="auto"/>
              </w:rPr>
              <w:t>(78.2)%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4,800</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9,700</w:t>
            </w: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(4,900)</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208"/>
        </w:trPr>
        <w:tc>
          <w:tcPr>
            <w:tcW w:w="2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auto"/>
              </w:rPr>
              <w:t>&lt; div</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auto"/>
              </w:rPr>
              <w:t>style="text-</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auto"/>
              </w:rPr>
              <w:t>align:right;font-</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440" w:type="dxa"/>
            <w:vAlign w:val="bottom"/>
          </w:tcPr>
          <w:p>
            <w:pPr>
              <w:ind w:left="20"/>
              <w:spacing w:after="0"/>
              <w:rPr>
                <w:sz w:val="20"/>
                <w:szCs w:val="20"/>
                <w:color w:val="auto"/>
              </w:rPr>
            </w:pPr>
            <w:r>
              <w:rPr>
                <w:rFonts w:ascii="Arial" w:cs="Arial" w:eastAsia="Arial" w:hAnsi="Arial"/>
                <w:sz w:val="15"/>
                <w:szCs w:val="15"/>
                <w:color w:val="auto"/>
              </w:rPr>
              <w:t>Second quarter</w:t>
            </w: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3,200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5"/>
                <w:szCs w:val="15"/>
                <w:color w:val="auto"/>
              </w:rPr>
              <w:t>9,300</w:t>
            </w:r>
          </w:p>
        </w:tc>
        <w:tc>
          <w:tcPr>
            <w:tcW w:w="1040" w:type="dxa"/>
            <w:vAlign w:val="bottom"/>
          </w:tcPr>
          <w:p>
            <w:pPr>
              <w:jc w:val="right"/>
              <w:spacing w:after="0"/>
              <w:rPr>
                <w:sz w:val="20"/>
                <w:szCs w:val="20"/>
                <w:color w:val="auto"/>
              </w:rPr>
            </w:pPr>
            <w:r>
              <w:rPr>
                <w:rFonts w:ascii="Arial" w:cs="Arial" w:eastAsia="Arial" w:hAnsi="Arial"/>
                <w:sz w:val="15"/>
                <w:szCs w:val="15"/>
                <w:color w:val="auto"/>
              </w:rPr>
              <w:t>(6,100)</w:t>
            </w:r>
          </w:p>
        </w:tc>
        <w:tc>
          <w:tcPr>
            <w:tcW w:w="960" w:type="dxa"/>
            <w:vAlign w:val="bottom"/>
          </w:tcPr>
          <w:p>
            <w:pPr>
              <w:jc w:val="right"/>
              <w:spacing w:after="0"/>
              <w:rPr>
                <w:sz w:val="20"/>
                <w:szCs w:val="20"/>
                <w:color w:val="auto"/>
              </w:rPr>
            </w:pPr>
            <w:r>
              <w:rPr>
                <w:rFonts w:ascii="Arial" w:cs="Arial" w:eastAsia="Arial" w:hAnsi="Arial"/>
                <w:sz w:val="15"/>
                <w:szCs w:val="15"/>
                <w:color w:val="auto"/>
              </w:rPr>
              <w:t>(65.6)%</w:t>
            </w:r>
          </w:p>
        </w:tc>
        <w:tc>
          <w:tcPr>
            <w:tcW w:w="12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auto"/>
              </w:rPr>
              <w:t>size:9pt;"&gt;</w:t>
            </w:r>
            <w:r>
              <w:rPr>
                <w:rFonts w:ascii="Arial" w:cs="Arial" w:eastAsia="Arial" w:hAnsi="Arial"/>
                <w:sz w:val="14"/>
                <w:szCs w:val="14"/>
                <w:color w:val="auto"/>
              </w:rPr>
              <w:t>7,100</w:t>
            </w:r>
          </w:p>
        </w:tc>
        <w:tc>
          <w:tcPr>
            <w:tcW w:w="260" w:type="dxa"/>
            <w:vAlign w:val="bottom"/>
          </w:tcPr>
          <w:p>
            <w:pPr>
              <w:spacing w:after="0"/>
              <w:rPr>
                <w:sz w:val="20"/>
                <w:szCs w:val="20"/>
                <w:color w:val="auto"/>
              </w:rPr>
            </w:pPr>
          </w:p>
        </w:tc>
        <w:tc>
          <w:tcPr>
            <w:tcW w:w="1100" w:type="dxa"/>
            <w:vAlign w:val="bottom"/>
          </w:tcPr>
          <w:p>
            <w:pPr>
              <w:jc w:val="right"/>
              <w:ind w:right="206"/>
              <w:spacing w:after="0"/>
              <w:rPr>
                <w:sz w:val="20"/>
                <w:szCs w:val="20"/>
                <w:color w:val="auto"/>
              </w:rPr>
            </w:pPr>
            <w:r>
              <w:rPr>
                <w:rFonts w:ascii="Arial" w:cs="Arial" w:eastAsia="Arial" w:hAnsi="Arial"/>
                <w:sz w:val="15"/>
                <w:szCs w:val="15"/>
                <w:color w:val="auto"/>
              </w:rPr>
              <w:t>11,900</w:t>
            </w: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(4,800)</w:t>
            </w:r>
          </w:p>
        </w:tc>
        <w:tc>
          <w:tcPr>
            <w:tcW w:w="880" w:type="dxa"/>
            <w:vAlign w:val="bottom"/>
          </w:tcPr>
          <w:p>
            <w:pPr>
              <w:jc w:val="right"/>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245"/>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Third quarter</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3,300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5,000</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5,800</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7,600</w:t>
            </w: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(1,800)</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238"/>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Fourth quarter</w:t>
            </w: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4,300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color w:val="auto"/>
              </w:rPr>
              <w:t>3,000</w:t>
            </w:r>
          </w:p>
        </w:tc>
        <w:tc>
          <w:tcPr>
            <w:tcW w:w="10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95"/>
              </w:rPr>
              <w:t>1,300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43.3 %</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rPr>
              <w:t>4,200</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4,600</w:t>
            </w:r>
          </w:p>
        </w:tc>
        <w:tc>
          <w:tcPr>
            <w:tcW w:w="12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72"/>
        </w:trPr>
        <w:tc>
          <w:tcPr>
            <w:tcW w:w="24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84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13,200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28,300</w:t>
            </w:r>
          </w:p>
        </w:tc>
        <w:tc>
          <w:tcPr>
            <w:tcW w:w="2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(15,100)</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21,900</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rPr>
              <w:t>33,800</w:t>
            </w:r>
          </w:p>
        </w:tc>
        <w:tc>
          <w:tcPr>
            <w:tcW w:w="1200" w:type="dxa"/>
            <w:vAlign w:val="bottom"/>
            <w:vMerge w:val="restart"/>
            <w:shd w:val="clear" w:color="auto" w:fill="CCEEFF"/>
          </w:tcPr>
          <w:p>
            <w:pPr>
              <w:jc w:val="right"/>
              <w:ind w:right="66"/>
              <w:spacing w:after="0"/>
              <w:rPr>
                <w:sz w:val="20"/>
                <w:szCs w:val="20"/>
                <w:color w:val="auto"/>
              </w:rPr>
            </w:pPr>
            <w:r>
              <w:rPr>
                <w:rFonts w:ascii="Arial" w:cs="Arial" w:eastAsia="Arial" w:hAnsi="Arial"/>
                <w:sz w:val="15"/>
                <w:szCs w:val="15"/>
                <w:color w:val="auto"/>
              </w:rPr>
              <w:t>(11,900)</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0" w:type="dxa"/>
            <w:vAlign w:val="bottom"/>
          </w:tcPr>
          <w:p>
            <w:pPr>
              <w:spacing w:after="0"/>
              <w:rPr>
                <w:sz w:val="1"/>
                <w:szCs w:val="1"/>
                <w:color w:val="auto"/>
              </w:rPr>
            </w:pPr>
          </w:p>
        </w:tc>
      </w:tr>
      <w:tr>
        <w:trPr>
          <w:trHeight w:val="74"/>
        </w:trPr>
        <w:tc>
          <w:tcPr>
            <w:tcW w:w="2440" w:type="dxa"/>
            <w:vAlign w:val="bottom"/>
            <w:tcBorders>
              <w:bottom w:val="single" w:sz="8" w:color="CCEEFF"/>
            </w:tcBorders>
            <w:vMerge w:val="continue"/>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jc w:val="right"/>
              <w:ind w:right="129"/>
              <w:spacing w:after="0" w:line="74" w:lineRule="exact"/>
              <w:rPr>
                <w:sz w:val="20"/>
                <w:szCs w:val="20"/>
                <w:color w:val="auto"/>
              </w:rPr>
            </w:pPr>
            <w:r>
              <w:rPr>
                <w:rFonts w:ascii="Arial" w:cs="Arial" w:eastAsia="Arial" w:hAnsi="Arial"/>
                <w:sz w:val="8"/>
                <w:szCs w:val="8"/>
                <w:color w:val="auto"/>
              </w:rPr>
              <w:t>(53.4</w:t>
            </w:r>
          </w:p>
        </w:tc>
        <w:tc>
          <w:tcPr>
            <w:tcW w:w="1340" w:type="dxa"/>
            <w:vAlign w:val="bottom"/>
            <w:tcBorders>
              <w:bottom w:val="single" w:sz="8" w:color="auto"/>
            </w:tcBorders>
            <w:gridSpan w:val="2"/>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Increase</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jc w:val="center"/>
              <w:ind w:right="6"/>
              <w:spacing w:after="0"/>
              <w:rPr>
                <w:sz w:val="20"/>
                <w:szCs w:val="20"/>
                <w:color w:val="auto"/>
              </w:rPr>
            </w:pPr>
            <w:r>
              <w:rPr>
                <w:rFonts w:ascii="Arial" w:cs="Arial" w:eastAsia="Arial" w:hAnsi="Arial"/>
                <w:sz w:val="15"/>
                <w:szCs w:val="15"/>
                <w:b w:val="1"/>
                <w:bCs w:val="1"/>
                <w:color w:val="auto"/>
              </w:rPr>
              <w:t>Incre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4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 units)</w:t>
            </w:r>
          </w:p>
        </w:tc>
        <w:tc>
          <w:tcPr>
            <w:tcW w:w="8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left="386"/>
              <w:spacing w:after="0"/>
              <w:rPr>
                <w:sz w:val="20"/>
                <w:szCs w:val="20"/>
                <w:color w:val="auto"/>
              </w:rPr>
            </w:pPr>
            <w:r>
              <w:rPr>
                <w:rFonts w:ascii="Arial" w:cs="Arial" w:eastAsia="Arial" w:hAnsi="Arial"/>
                <w:sz w:val="15"/>
                <w:szCs w:val="15"/>
                <w:b w:val="1"/>
                <w:bCs w:val="1"/>
                <w:color w:val="auto"/>
              </w:rPr>
              <w:t>2009</w:t>
            </w:r>
          </w:p>
        </w:tc>
        <w:tc>
          <w:tcPr>
            <w:tcW w:w="1040" w:type="dxa"/>
            <w:vAlign w:val="bottom"/>
            <w:vMerge w:val="continue"/>
          </w:tcPr>
          <w:p>
            <w:pPr>
              <w:spacing w:after="0"/>
              <w:rPr>
                <w:sz w:val="9"/>
                <w:szCs w:val="9"/>
                <w:color w:val="auto"/>
              </w:rPr>
            </w:pPr>
          </w:p>
        </w:tc>
        <w:tc>
          <w:tcPr>
            <w:tcW w:w="960" w:type="dxa"/>
            <w:vAlign w:val="bottom"/>
            <w:vMerge w:val="restart"/>
          </w:tcPr>
          <w:p>
            <w:pPr>
              <w:jc w:val="right"/>
              <w:ind w:right="129"/>
              <w:spacing w:after="0"/>
              <w:rPr>
                <w:sz w:val="20"/>
                <w:szCs w:val="20"/>
                <w:color w:val="auto"/>
              </w:rPr>
            </w:pPr>
            <w:r>
              <w:rPr>
                <w:rFonts w:ascii="Arial" w:cs="Arial" w:eastAsia="Arial" w:hAnsi="Arial"/>
                <w:sz w:val="15"/>
                <w:szCs w:val="15"/>
                <w:b w:val="1"/>
                <w:bCs w:val="1"/>
                <w:color w:val="auto"/>
              </w:rPr>
              <w:t>Change</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2010</w:t>
            </w:r>
          </w:p>
        </w:tc>
        <w:tc>
          <w:tcPr>
            <w:tcW w:w="260" w:type="dxa"/>
            <w:vAlign w:val="bottom"/>
          </w:tcPr>
          <w:p>
            <w:pPr>
              <w:spacing w:after="0"/>
              <w:rPr>
                <w:sz w:val="9"/>
                <w:szCs w:val="9"/>
                <w:color w:val="auto"/>
              </w:rPr>
            </w:pPr>
          </w:p>
        </w:tc>
        <w:tc>
          <w:tcPr>
            <w:tcW w:w="110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2009</w:t>
            </w:r>
          </w:p>
        </w:tc>
        <w:tc>
          <w:tcPr>
            <w:tcW w:w="1200" w:type="dxa"/>
            <w:vAlign w:val="bottom"/>
            <w:vMerge w:val="restart"/>
          </w:tcPr>
          <w:p>
            <w:pPr>
              <w:jc w:val="center"/>
              <w:ind w:right="6"/>
              <w:spacing w:after="0"/>
              <w:rPr>
                <w:sz w:val="20"/>
                <w:szCs w:val="20"/>
                <w:color w:val="auto"/>
              </w:rPr>
            </w:pPr>
            <w:r>
              <w:rPr>
                <w:rFonts w:ascii="Arial" w:cs="Arial" w:eastAsia="Arial" w:hAnsi="Arial"/>
                <w:sz w:val="15"/>
                <w:szCs w:val="15"/>
                <w:b w:val="1"/>
                <w:bCs w:val="1"/>
                <w:color w:val="auto"/>
                <w:w w:val="98"/>
              </w:rPr>
              <w:t>ase(Decrease)</w:t>
            </w:r>
          </w:p>
        </w:tc>
        <w:tc>
          <w:tcPr>
            <w:tcW w:w="88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95"/>
        </w:trPr>
        <w:tc>
          <w:tcPr>
            <w:tcW w:w="244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gridSpan w:val="2"/>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First quarter</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5,700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2,400</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3,300</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137.5 %</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4,900</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4,800</w:t>
            </w:r>
          </w:p>
        </w:tc>
        <w:tc>
          <w:tcPr>
            <w:tcW w:w="12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100</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0" w:type="dxa"/>
            <w:vAlign w:val="bottom"/>
          </w:tcPr>
          <w:p>
            <w:pPr>
              <w:spacing w:after="0"/>
              <w:rPr>
                <w:sz w:val="1"/>
                <w:szCs w:val="1"/>
                <w:color w:val="auto"/>
              </w:rPr>
            </w:pPr>
          </w:p>
        </w:tc>
      </w:tr>
      <w:tr>
        <w:trPr>
          <w:trHeight w:val="380"/>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&lt;</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&amp;nb</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5"/>
                <w:szCs w:val="15"/>
                <w:color w:val="auto"/>
              </w:rPr>
              <w:t>Second quarter</w:t>
            </w: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7,800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left="366"/>
              <w:spacing w:after="0"/>
              <w:rPr>
                <w:sz w:val="20"/>
                <w:szCs w:val="20"/>
                <w:color w:val="auto"/>
              </w:rPr>
            </w:pPr>
            <w:r>
              <w:rPr>
                <w:rFonts w:ascii="Arial" w:cs="Arial" w:eastAsia="Arial" w:hAnsi="Arial"/>
                <w:sz w:val="15"/>
                <w:szCs w:val="15"/>
                <w:color w:val="auto"/>
                <w:w w:val="98"/>
              </w:rPr>
              <w:t>3,200</w:t>
            </w:r>
            <w:r>
              <w:rPr>
                <w:rFonts w:ascii="Arial" w:cs="Arial" w:eastAsia="Arial" w:hAnsi="Arial"/>
                <w:sz w:val="16"/>
                <w:szCs w:val="16"/>
                <w:color w:val="auto"/>
                <w:w w:val="98"/>
              </w:rPr>
              <w:t>/td&gt;</w:t>
            </w: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4,600</w:t>
            </w:r>
          </w:p>
        </w:tc>
        <w:tc>
          <w:tcPr>
            <w:tcW w:w="960" w:type="dxa"/>
            <w:vAlign w:val="bottom"/>
          </w:tcPr>
          <w:p>
            <w:pPr>
              <w:jc w:val="right"/>
              <w:spacing w:after="0"/>
              <w:rPr>
                <w:sz w:val="20"/>
                <w:szCs w:val="20"/>
                <w:color w:val="auto"/>
              </w:rPr>
            </w:pPr>
            <w:r>
              <w:rPr>
                <w:rFonts w:ascii="Arial" w:cs="Arial" w:eastAsia="Arial" w:hAnsi="Arial"/>
                <w:sz w:val="15"/>
                <w:szCs w:val="15"/>
                <w:color w:val="auto"/>
              </w:rPr>
              <w:t>143.8 %</w:t>
            </w:r>
          </w:p>
        </w:tc>
        <w:tc>
          <w:tcPr>
            <w:tcW w:w="1340" w:type="dxa"/>
            <w:vAlign w:val="bottom"/>
            <w:gridSpan w:val="2"/>
          </w:tcPr>
          <w:p>
            <w:pPr>
              <w:jc w:val="right"/>
              <w:ind w:right="20"/>
              <w:spacing w:after="0"/>
              <w:rPr>
                <w:sz w:val="20"/>
                <w:szCs w:val="20"/>
                <w:color w:val="auto"/>
              </w:rPr>
            </w:pPr>
            <w:r>
              <w:rPr>
                <w:rFonts w:ascii="Arial" w:cs="Arial" w:eastAsia="Arial" w:hAnsi="Arial"/>
                <w:sz w:val="15"/>
                <w:szCs w:val="15"/>
                <w:color w:val="auto"/>
              </w:rPr>
              <w:t>7,700</w:t>
            </w:r>
          </w:p>
        </w:tc>
        <w:tc>
          <w:tcPr>
            <w:tcW w:w="260" w:type="dxa"/>
            <w:vAlign w:val="bottom"/>
          </w:tcPr>
          <w:p>
            <w:pPr>
              <w:spacing w:after="0"/>
              <w:rPr>
                <w:sz w:val="18"/>
                <w:szCs w:val="18"/>
                <w:color w:val="auto"/>
              </w:rPr>
            </w:pP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7,100</w:t>
            </w:r>
            <w:r>
              <w:rPr>
                <w:rFonts w:ascii="Arial" w:cs="Arial" w:eastAsia="Arial" w:hAnsi="Arial"/>
                <w:sz w:val="16"/>
                <w:szCs w:val="16"/>
                <w:color w:val="auto"/>
              </w:rPr>
              <w:t>sp;</w:t>
            </w: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600</w:t>
            </w:r>
          </w:p>
        </w:tc>
        <w:tc>
          <w:tcPr>
            <w:tcW w:w="880" w:type="dxa"/>
            <w:vAlign w:val="bottom"/>
          </w:tcPr>
          <w:p>
            <w:pPr>
              <w:jc w:val="right"/>
              <w:spacing w:after="0"/>
              <w:rPr>
                <w:sz w:val="20"/>
                <w:szCs w:val="20"/>
                <w:color w:val="auto"/>
              </w:rPr>
            </w:pPr>
            <w:r>
              <w:rPr>
                <w:rFonts w:ascii="Arial" w:cs="Arial" w:eastAsia="Arial" w:hAnsi="Arial"/>
                <w:sz w:val="15"/>
                <w:szCs w:val="15"/>
                <w:color w:val="auto"/>
              </w:rPr>
              <w:t>8.5 %</w:t>
            </w:r>
          </w:p>
        </w:tc>
        <w:tc>
          <w:tcPr>
            <w:tcW w:w="0" w:type="dxa"/>
            <w:vAlign w:val="bottom"/>
          </w:tcPr>
          <w:p>
            <w:pPr>
              <w:spacing w:after="0"/>
              <w:rPr>
                <w:sz w:val="1"/>
                <w:szCs w:val="1"/>
                <w:color w:val="auto"/>
              </w:rPr>
            </w:pPr>
          </w:p>
        </w:tc>
      </w:tr>
      <w:tr>
        <w:trPr>
          <w:trHeight w:val="246"/>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1,900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1,000</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111.1 %</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2,000</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2,100</w:t>
            </w: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(100)</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37"/>
        </w:trPr>
        <w:tc>
          <w:tcPr>
            <w:tcW w:w="2440" w:type="dxa"/>
            <w:vAlign w:val="bottom"/>
          </w:tcPr>
          <w:p>
            <w:pPr>
              <w:ind w:left="20"/>
              <w:spacing w:after="0"/>
              <w:rPr>
                <w:sz w:val="20"/>
                <w:szCs w:val="20"/>
                <w:color w:val="auto"/>
              </w:rPr>
            </w:pPr>
            <w:r>
              <w:rPr>
                <w:rFonts w:ascii="Arial" w:cs="Arial" w:eastAsia="Arial" w:hAnsi="Arial"/>
                <w:sz w:val="15"/>
                <w:szCs w:val="15"/>
                <w:color w:val="auto"/>
              </w:rPr>
              <w:t>August</w:t>
            </w: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2,300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5"/>
                <w:szCs w:val="15"/>
                <w:color w:val="auto"/>
              </w:rPr>
              <w:t>1,100</w:t>
            </w: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1,200</w:t>
            </w:r>
          </w:p>
        </w:tc>
        <w:tc>
          <w:tcPr>
            <w:tcW w:w="960" w:type="dxa"/>
            <w:vAlign w:val="bottom"/>
          </w:tcPr>
          <w:p>
            <w:pPr>
              <w:jc w:val="right"/>
              <w:spacing w:after="0"/>
              <w:rPr>
                <w:sz w:val="20"/>
                <w:szCs w:val="20"/>
                <w:color w:val="auto"/>
              </w:rPr>
            </w:pPr>
            <w:r>
              <w:rPr>
                <w:rFonts w:ascii="Arial" w:cs="Arial" w:eastAsia="Arial" w:hAnsi="Arial"/>
                <w:sz w:val="15"/>
                <w:szCs w:val="15"/>
                <w:color w:val="auto"/>
              </w:rPr>
              <w:t>109.1 %</w:t>
            </w:r>
          </w:p>
        </w:tc>
        <w:tc>
          <w:tcPr>
            <w:tcW w:w="1340" w:type="dxa"/>
            <w:vAlign w:val="bottom"/>
            <w:gridSpan w:val="2"/>
          </w:tcPr>
          <w:p>
            <w:pPr>
              <w:jc w:val="right"/>
              <w:ind w:right="20"/>
              <w:spacing w:after="0"/>
              <w:rPr>
                <w:sz w:val="20"/>
                <w:szCs w:val="20"/>
                <w:color w:val="auto"/>
              </w:rPr>
            </w:pPr>
            <w:r>
              <w:rPr>
                <w:rFonts w:ascii="Arial" w:cs="Arial" w:eastAsia="Arial" w:hAnsi="Arial"/>
                <w:sz w:val="15"/>
                <w:szCs w:val="15"/>
                <w:color w:val="auto"/>
              </w:rPr>
              <w:t>1,600</w:t>
            </w:r>
          </w:p>
        </w:tc>
        <w:tc>
          <w:tcPr>
            <w:tcW w:w="260" w:type="dxa"/>
            <w:vAlign w:val="bottom"/>
          </w:tcPr>
          <w:p>
            <w:pPr>
              <w:jc w:val="right"/>
              <w:ind w:right="51"/>
              <w:spacing w:after="0"/>
              <w:rPr>
                <w:sz w:val="20"/>
                <w:szCs w:val="20"/>
                <w:color w:val="auto"/>
              </w:rPr>
            </w:pPr>
            <w:r>
              <w:rPr>
                <w:rFonts w:ascii="Arial" w:cs="Arial" w:eastAsia="Arial" w:hAnsi="Arial"/>
                <w:sz w:val="10"/>
                <w:szCs w:val="10"/>
                <w:color w:val="auto"/>
              </w:rPr>
              <w:t>(4)</w:t>
            </w:r>
          </w:p>
        </w:tc>
        <w:tc>
          <w:tcPr>
            <w:tcW w:w="1100" w:type="dxa"/>
            <w:vAlign w:val="bottom"/>
          </w:tcPr>
          <w:p>
            <w:pPr>
              <w:jc w:val="right"/>
              <w:ind w:right="206"/>
              <w:spacing w:after="0"/>
              <w:rPr>
                <w:sz w:val="20"/>
                <w:szCs w:val="20"/>
                <w:color w:val="auto"/>
              </w:rPr>
            </w:pPr>
            <w:r>
              <w:rPr>
                <w:rFonts w:ascii="Arial" w:cs="Arial" w:eastAsia="Arial" w:hAnsi="Arial"/>
                <w:sz w:val="15"/>
                <w:szCs w:val="15"/>
                <w:color w:val="auto"/>
              </w:rPr>
              <w:t>1,900</w:t>
            </w: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(300)</w:t>
            </w:r>
          </w:p>
        </w:tc>
        <w:tc>
          <w:tcPr>
            <w:tcW w:w="880" w:type="dxa"/>
            <w:vAlign w:val="bottom"/>
          </w:tcPr>
          <w:p>
            <w:pPr>
              <w:jc w:val="right"/>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45"/>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 - December</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5,700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5,600</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100</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6,00 0</w:t>
            </w:r>
          </w:p>
        </w:tc>
        <w:tc>
          <w:tcPr>
            <w:tcW w:w="1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23,400</w:t>
            </w:r>
          </w:p>
        </w:tc>
        <w:tc>
          <w:tcPr>
            <w:tcW w:w="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color w:val="auto"/>
              </w:rPr>
              <w:t>(3)</w:t>
            </w:r>
          </w:p>
        </w:tc>
        <w:tc>
          <w:tcPr>
            <w:tcW w:w="840" w:type="dxa"/>
            <w:vAlign w:val="bottom"/>
          </w:tcPr>
          <w:p>
            <w:pPr>
              <w:jc w:val="right"/>
              <w:spacing w:after="0"/>
              <w:rPr>
                <w:sz w:val="20"/>
                <w:szCs w:val="20"/>
                <w:color w:val="auto"/>
              </w:rPr>
            </w:pPr>
            <w:r>
              <w:rPr>
                <w:rFonts w:ascii="Arial" w:cs="Arial" w:eastAsia="Arial" w:hAnsi="Arial"/>
                <w:sz w:val="15"/>
                <w:szCs w:val="15"/>
                <w:color w:val="auto"/>
              </w:rPr>
              <w:t>13,200</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10,200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77.3 %</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16,200</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(5)</w:t>
            </w:r>
          </w:p>
        </w:tc>
        <w:tc>
          <w:tcPr>
            <w:tcW w:w="11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21,900</w:t>
            </w: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-2787650</wp:posOffset>
            </wp:positionV>
            <wp:extent cx="4089400" cy="163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89400" cy="163830"/>
                    </a:xfrm>
                    <a:prstGeom prst="rect">
                      <a:avLst/>
                    </a:prstGeom>
                    <a:noFill/>
                  </pic:spPr>
                </pic:pic>
              </a:graphicData>
            </a:graphic>
          </wp:anchor>
        </w:drawing>
      </w:r>
    </w:p>
    <w:p>
      <w:pPr>
        <w:spacing w:after="0" w:line="129" w:lineRule="exact"/>
        <w:rPr>
          <w:sz w:val="20"/>
          <w:szCs w:val="20"/>
          <w:color w:val="auto"/>
        </w:rPr>
      </w:pPr>
    </w:p>
    <w:p>
      <w:pPr>
        <w:ind w:left="302" w:hanging="302"/>
        <w:spacing w:after="0"/>
        <w:tabs>
          <w:tab w:leader="none" w:pos="302" w:val="left"/>
        </w:tabs>
        <w:numPr>
          <w:ilvl w:val="0"/>
          <w:numId w:val="8"/>
        </w:numPr>
        <w:rPr>
          <w:rFonts w:ascii="Arial" w:cs="Arial" w:eastAsia="Arial" w:hAnsi="Arial"/>
          <w:sz w:val="13"/>
          <w:szCs w:val="13"/>
          <w:color w:val="auto"/>
        </w:rPr>
      </w:pPr>
      <w:r>
        <w:rPr>
          <w:rFonts w:ascii="Arial" w:cs="Arial" w:eastAsia="Arial" w:hAnsi="Arial"/>
          <w:sz w:val="13"/>
          <w:szCs w:val="13"/>
          <w:color w:val="auto"/>
        </w:rPr>
        <w:t>Class A, B and C wholesale shipments as reported by RVIA, rounded to the nearest hundred.</w:t>
      </w:r>
    </w:p>
    <w:p>
      <w:pPr>
        <w:ind w:left="302" w:hanging="302"/>
        <w:spacing w:after="0" w:line="236" w:lineRule="auto"/>
        <w:tabs>
          <w:tab w:leader="none" w:pos="302" w:val="left"/>
        </w:tabs>
        <w:numPr>
          <w:ilvl w:val="0"/>
          <w:numId w:val="8"/>
        </w:numPr>
        <w:rPr>
          <w:rFonts w:ascii="Arial" w:cs="Arial" w:eastAsia="Arial" w:hAnsi="Arial"/>
          <w:sz w:val="13"/>
          <w:szCs w:val="13"/>
          <w:color w:val="auto"/>
        </w:rPr>
      </w:pPr>
      <w:r>
        <w:rPr>
          <w:rFonts w:ascii="Arial" w:cs="Arial" w:eastAsia="Arial" w:hAnsi="Arial"/>
          <w:sz w:val="13"/>
          <w:szCs w:val="13"/>
          <w:color w:val="auto"/>
        </w:rPr>
        <w:t>Class A, B and C retail registrations as reported by Statistical Surveys for the US and Canada combined, rounded to the nearest hundred.</w:t>
      </w:r>
    </w:p>
    <w:p>
      <w:pPr>
        <w:ind w:left="302" w:hanging="302"/>
        <w:spacing w:after="0" w:line="236" w:lineRule="auto"/>
        <w:tabs>
          <w:tab w:leader="none" w:pos="302" w:val="left"/>
        </w:tabs>
        <w:numPr>
          <w:ilvl w:val="0"/>
          <w:numId w:val="8"/>
        </w:numPr>
        <w:rPr>
          <w:rFonts w:ascii="Arial" w:cs="Arial" w:eastAsia="Arial" w:hAnsi="Arial"/>
          <w:sz w:val="13"/>
          <w:szCs w:val="13"/>
          <w:color w:val="auto"/>
        </w:rPr>
      </w:pPr>
      <w:r>
        <w:rPr>
          <w:rFonts w:ascii="Arial" w:cs="Arial" w:eastAsia="Arial" w:hAnsi="Arial"/>
          <w:sz w:val="13"/>
          <w:szCs w:val="13"/>
          <w:color w:val="auto"/>
        </w:rPr>
        <w:t>Based upon forecasted 2010 Class A, B and C whol esale shipments as reported by RVIA in the Roadsigns Fall 2010 issue.</w:t>
      </w:r>
    </w:p>
    <w:p>
      <w:pPr>
        <w:ind w:left="302" w:hanging="302"/>
        <w:spacing w:after="0" w:line="236" w:lineRule="auto"/>
        <w:tabs>
          <w:tab w:leader="none" w:pos="302" w:val="left"/>
        </w:tabs>
        <w:numPr>
          <w:ilvl w:val="0"/>
          <w:numId w:val="8"/>
        </w:numPr>
        <w:rPr>
          <w:rFonts w:ascii="Arial" w:cs="Arial" w:eastAsia="Arial" w:hAnsi="Arial"/>
          <w:sz w:val="13"/>
          <w:szCs w:val="13"/>
          <w:color w:val="auto"/>
        </w:rPr>
      </w:pPr>
      <w:r>
        <w:rPr>
          <w:rFonts w:ascii="Arial" w:cs="Arial" w:eastAsia="Arial" w:hAnsi="Arial"/>
          <w:sz w:val="13"/>
          <w:szCs w:val="13"/>
          <w:color w:val="auto"/>
        </w:rPr>
        <w:t>US retail registration for Class A, B, and C for August 2010. Canada retail registrations not yet available.</w:t>
      </w:r>
    </w:p>
    <w:p>
      <w:pPr>
        <w:ind w:left="302" w:hanging="302"/>
        <w:spacing w:after="0"/>
        <w:tabs>
          <w:tab w:leader="none" w:pos="302" w:val="left"/>
        </w:tabs>
        <w:numPr>
          <w:ilvl w:val="0"/>
          <w:numId w:val="8"/>
        </w:numPr>
        <w:rPr>
          <w:rFonts w:ascii="Arial" w:cs="Arial" w:eastAsia="Arial" w:hAnsi="Arial"/>
          <w:sz w:val="13"/>
          <w:szCs w:val="13"/>
          <w:color w:val="auto"/>
        </w:rPr>
      </w:pPr>
      <w:r>
        <w:rPr>
          <w:rFonts w:ascii="Arial" w:cs="Arial" w:eastAsia="Arial" w:hAnsi="Arial"/>
          <w:sz w:val="13"/>
          <w:szCs w:val="13"/>
          <w:color w:val="auto"/>
        </w:rPr>
        <w:t>Statistical Surveys has not issued a projection for 2010 retail demand.</w:t>
      </w:r>
    </w:p>
    <w:p>
      <w:pPr>
        <w:spacing w:after="0" w:line="31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Company Outlook</w:t>
      </w:r>
    </w:p>
    <w:p>
      <w:pPr>
        <w:spacing w:after="0" w:line="179" w:lineRule="exact"/>
        <w:rPr>
          <w:sz w:val="20"/>
          <w:szCs w:val="20"/>
          <w:color w:val="auto"/>
        </w:rPr>
      </w:pPr>
    </w:p>
    <w:p>
      <w:pPr>
        <w:ind w:left="2" w:right="80"/>
        <w:spacing w:after="0" w:line="261" w:lineRule="auto"/>
        <w:rPr>
          <w:sz w:val="20"/>
          <w:szCs w:val="20"/>
          <w:color w:val="auto"/>
        </w:rPr>
      </w:pPr>
      <w:r>
        <w:rPr>
          <w:rFonts w:ascii="Arial" w:cs="Arial" w:eastAsia="Arial" w:hAnsi="Arial"/>
          <w:sz w:val="16"/>
          <w:szCs w:val="16"/>
          <w:color w:val="auto"/>
        </w:rPr>
        <w:t>We have seen significant improvements throughout Fiscal 2010 in our business, both in net revenues and in our operating performance. As a result of increased order activity, which we attributed to the very low level of dealer inventories and the strong acceptance of our model year 2010 product li neup, we hired approximately 350 hourly employees and began to increase our weekly production rates during the first quarter of Fiscal 2010. This production ramp-up was the driver for increased wholesale shipments for the balance of the fiscal year. The added volume allowed</w:t>
      </w:r>
    </w:p>
    <w:p>
      <w:pPr>
        <w:sectPr>
          <w:pgSz w:w="11900" w:h="16838" w:orient="portrait"/>
          <w:cols w:equalWidth="0" w:num="1">
            <w:col w:w="11422"/>
          </w:cols>
          <w:pgMar w:left="238" w:top="153" w:right="239" w:bottom="1440" w:gutter="0" w:footer="0" w:header="0"/>
        </w:sectPr>
      </w:pPr>
    </w:p>
    <w:p>
      <w:pPr>
        <w:spacing w:after="0" w:line="34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2"/>
          </w:cols>
          <w:pgMar w:left="238" w:top="153" w:right="239" w:bottom="1440" w:gutter="0" w:footer="0" w:header="0"/>
          <w:type w:val="continuous"/>
        </w:sectPr>
      </w:pPr>
    </w:p>
    <w:bookmarkStart w:id="15" w:name="page16"/>
    <w:bookmarkEnd w:id="15"/>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5" w:lineRule="exact"/>
        <w:rPr>
          <w:sz w:val="20"/>
          <w:szCs w:val="20"/>
          <w:color w:val="auto"/>
        </w:rPr>
      </w:pPr>
    </w:p>
    <w:p>
      <w:pPr>
        <w:ind w:left="2" w:right="80"/>
        <w:spacing w:after="0" w:line="261" w:lineRule="auto"/>
        <w:rPr>
          <w:sz w:val="20"/>
          <w:szCs w:val="20"/>
          <w:color w:val="auto"/>
        </w:rPr>
      </w:pPr>
      <w:r>
        <w:rPr>
          <w:rFonts w:ascii="Arial" w:cs="Arial" w:eastAsia="Arial" w:hAnsi="Arial"/>
          <w:sz w:val="16"/>
          <w:szCs w:val="16"/>
          <w:color w:val="auto"/>
        </w:rPr>
        <w:t>for greater absorption of our fixed costs and improved l abor efficiencies, which favorably impacted our profit margins. Note that our dealers' inventories increased for the first time in two years during our second quarter of Fiscal 2010 and they have maintained these levels throughout the remainder of the year. With dealer inventories at reasonable levels throughout the year, we were able to reduce the level of discounting and retail programs offered, which also positively impacted our margins. We believe retail sales will be the key driver to sustain our recovery and for continued growth going forward.</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color w:val="auto"/>
        </w:rPr>
        <w:t>Certain key metrics for our Class A, B and C motor homes are provided in the table below:</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91"/>
        </w:trPr>
        <w:tc>
          <w:tcPr>
            <w:tcW w:w="3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560"/>
              <w:spacing w:after="0"/>
              <w:rPr>
                <w:sz w:val="20"/>
                <w:szCs w:val="20"/>
                <w:color w:val="auto"/>
              </w:rPr>
            </w:pPr>
            <w:r>
              <w:rPr>
                <w:rFonts w:ascii="Arial" w:cs="Arial" w:eastAsia="Arial" w:hAnsi="Arial"/>
                <w:sz w:val="15"/>
                <w:szCs w:val="15"/>
                <w:b w:val="1"/>
                <w:bCs w:val="1"/>
                <w:color w:val="auto"/>
              </w:rPr>
              <w:t>As of Quarter End</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7"/>
              </w:rPr>
              <w:t>Retail</w:t>
            </w: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160"/>
              <w:spacing w:after="0" w:line="160" w:lineRule="exact"/>
              <w:rPr>
                <w:sz w:val="20"/>
                <w:szCs w:val="20"/>
                <w:color w:val="auto"/>
              </w:rPr>
            </w:pPr>
            <w:r>
              <w:rPr>
                <w:rFonts w:ascii="Arial" w:cs="Arial" w:eastAsia="Arial" w:hAnsi="Arial"/>
                <w:sz w:val="15"/>
                <w:szCs w:val="15"/>
                <w:b w:val="1"/>
                <w:bCs w:val="1"/>
                <w:color w:val="auto"/>
              </w:rPr>
              <w:t>Wholesale</w:t>
            </w: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138"/>
              <w:spacing w:after="0" w:line="160" w:lineRule="exact"/>
              <w:rPr>
                <w:sz w:val="20"/>
                <w:szCs w:val="20"/>
                <w:color w:val="auto"/>
              </w:rPr>
            </w:pPr>
            <w:r>
              <w:rPr>
                <w:rFonts w:ascii="Arial" w:cs="Arial" w:eastAsia="Arial" w:hAnsi="Arial"/>
                <w:sz w:val="15"/>
                <w:szCs w:val="15"/>
                <w:b w:val="1"/>
                <w:bCs w:val="1"/>
                <w:color w:val="auto"/>
                <w:w w:val="95"/>
              </w:rPr>
              <w:t>Dealer</w:t>
            </w:r>
          </w:p>
        </w:tc>
        <w:tc>
          <w:tcPr>
            <w:tcW w:w="1360" w:type="dxa"/>
            <w:vAlign w:val="bottom"/>
          </w:tcPr>
          <w:p>
            <w:pPr>
              <w:jc w:val="right"/>
              <w:ind w:right="520"/>
              <w:spacing w:after="0" w:line="160" w:lineRule="exact"/>
              <w:rPr>
                <w:sz w:val="20"/>
                <w:szCs w:val="20"/>
                <w:color w:val="auto"/>
              </w:rPr>
            </w:pPr>
            <w:r>
              <w:rPr>
                <w:rFonts w:ascii="Arial" w:cs="Arial" w:eastAsia="Arial" w:hAnsi="Arial"/>
                <w:sz w:val="15"/>
                <w:szCs w:val="15"/>
                <w:b w:val="1"/>
                <w:bCs w:val="1"/>
                <w:color w:val="auto"/>
              </w:rPr>
              <w:t>Order</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units and presented in fiscal quarters)</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Deliveries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Registrations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right="138"/>
              <w:spacing w:after="0"/>
              <w:rPr>
                <w:sz w:val="20"/>
                <w:szCs w:val="20"/>
                <w:color w:val="auto"/>
              </w:rPr>
            </w:pPr>
            <w:r>
              <w:rPr>
                <w:rFonts w:ascii="Arial" w:cs="Arial" w:eastAsia="Arial" w:hAnsi="Arial"/>
                <w:sz w:val="15"/>
                <w:szCs w:val="15"/>
                <w:b w:val="1"/>
                <w:bCs w:val="1"/>
                <w:color w:val="auto"/>
              </w:rPr>
              <w:t>Inventory</w:t>
            </w:r>
          </w:p>
        </w:tc>
        <w:tc>
          <w:tcPr>
            <w:tcW w:w="136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Backlog</w:t>
            </w: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1st quarter 2009</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656</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Arial" w:cs="Arial" w:eastAsia="Arial" w:hAnsi="Arial"/>
                <w:sz w:val="16"/>
                <w:szCs w:val="16"/>
                <w:color w:val="auto"/>
              </w:rPr>
              <w:t>2nd quarter 2009</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315&lt; /div&gt;</w:t>
            </w:r>
          </w:p>
        </w:tc>
        <w:tc>
          <w:tcPr>
            <w:tcW w:w="160" w:type="dxa"/>
            <w:vAlign w:val="bottom"/>
          </w:tcPr>
          <w:p>
            <w:pPr>
              <w:spacing w:after="0"/>
              <w:rPr>
                <w:sz w:val="20"/>
                <w:szCs w:val="20"/>
                <w:color w:val="auto"/>
              </w:rPr>
            </w:pP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666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2,918</w:t>
            </w:r>
          </w:p>
        </w:tc>
        <w:tc>
          <w:tcPr>
            <w:tcW w:w="1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4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3rd quarter 2009</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620</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1,214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2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4th quarter 2009</w:t>
            </w:r>
          </w:p>
        </w:tc>
        <w:tc>
          <w:tcPr>
            <w:tcW w:w="4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605</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1,235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140"/>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31"/>
        </w:trPr>
        <w:tc>
          <w:tcPr>
            <w:tcW w:w="3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Rolling 12 months (Se pt 2008 through Aug 2009)</w:t>
            </w:r>
          </w:p>
        </w:tc>
        <w:tc>
          <w:tcPr>
            <w:tcW w:w="8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2,196</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4,165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1st qu arter 2010</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794</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921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Arial" w:cs="Arial" w:eastAsia="Arial" w:hAnsi="Arial"/>
                <w:sz w:val="16"/>
                <w:szCs w:val="16"/>
                <w:color w:val="auto"/>
              </w:rPr>
              <w:t>2nd quarter 2010</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1,109</w:t>
            </w:r>
          </w:p>
        </w:tc>
        <w:tc>
          <w:tcPr>
            <w:tcW w:w="160" w:type="dxa"/>
            <w:vAlign w:val="bottom"/>
          </w:tcPr>
          <w:p>
            <w:pPr>
              <w:spacing w:after="0"/>
              <w:rPr>
                <w:sz w:val="20"/>
                <w:szCs w:val="20"/>
                <w:color w:val="auto"/>
              </w:rPr>
            </w:pP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654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4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3rd quarter 2010</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1,366</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1,388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2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4th quarter 2010</w:t>
            </w:r>
          </w:p>
        </w:tc>
        <w:tc>
          <w:tcPr>
            <w:tcW w:w="4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1,164</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1,120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2,044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14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1"/>
        </w:trPr>
        <w:tc>
          <w:tcPr>
            <w:tcW w:w="3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Rolling 12 months (Sept 2009 t hrough Aug 2010)</w:t>
            </w:r>
          </w:p>
        </w:tc>
        <w:tc>
          <w:tcPr>
            <w:tcW w:w="8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4,433</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4,083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7"/>
              </w:rPr>
              <w:t>Order</w:t>
            </w:r>
          </w:p>
        </w:tc>
        <w:tc>
          <w:tcPr>
            <w:tcW w:w="0" w:type="dxa"/>
            <w:vAlign w:val="bottom"/>
          </w:tcPr>
          <w:p>
            <w:pPr>
              <w:spacing w:after="0" w:line="20" w:lineRule="exact"/>
              <w:rPr>
                <w:sz w:val="1"/>
                <w:szCs w:val="1"/>
                <w:color w:val="auto"/>
              </w:rPr>
            </w:pPr>
          </w:p>
        </w:tc>
      </w:tr>
      <w:tr>
        <w:trPr>
          <w:trHeight w:val="329"/>
        </w:trPr>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Arial" w:cs="Arial" w:eastAsia="Arial" w:hAnsi="Arial"/>
                <w:sz w:val="15"/>
                <w:szCs w:val="15"/>
                <w:b w:val="1"/>
                <w:bCs w:val="1"/>
                <w:color w:val="auto"/>
              </w:rPr>
              <w:t>Wholesale</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7"/>
              </w:rPr>
              <w:t>Retail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138"/>
              <w:spacing w:after="0"/>
              <w:rPr>
                <w:sz w:val="20"/>
                <w:szCs w:val="20"/>
                <w:color w:val="auto"/>
              </w:rPr>
            </w:pPr>
            <w:r>
              <w:rPr>
                <w:rFonts w:ascii="Arial" w:cs="Arial" w:eastAsia="Arial" w:hAnsi="Arial"/>
                <w:sz w:val="15"/>
                <w:szCs w:val="15"/>
                <w:b w:val="1"/>
                <w:bCs w:val="1"/>
                <w:color w:val="auto"/>
                <w:w w:val="95"/>
              </w:rPr>
              <w:t>Dealer</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5"/>
              </w:rPr>
              <w:t>Backlog</w:t>
            </w:r>
          </w:p>
        </w:tc>
        <w:tc>
          <w:tcPr>
            <w:tcW w:w="0" w:type="dxa"/>
            <w:vAlign w:val="bottom"/>
          </w:tcPr>
          <w:p>
            <w:pPr>
              <w:spacing w:after="0"/>
              <w:rPr>
                <w:sz w:val="1"/>
                <w:szCs w:val="1"/>
                <w:color w:val="auto"/>
              </w:rPr>
            </w:pPr>
          </w:p>
        </w:tc>
      </w:tr>
      <w:tr>
        <w:trPr>
          <w:trHeight w:val="22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Key Comparison Increases (Decreases):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Deliveries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Registrations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ind w:right="138"/>
              <w:spacing w:after="0"/>
              <w:rPr>
                <w:sz w:val="20"/>
                <w:szCs w:val="20"/>
                <w:color w:val="auto"/>
              </w:rPr>
            </w:pPr>
            <w:r>
              <w:rPr>
                <w:rFonts w:ascii="Arial" w:cs="Arial" w:eastAsia="Arial" w:hAnsi="Arial"/>
                <w:sz w:val="15"/>
                <w:szCs w:val="15"/>
                <w:b w:val="1"/>
                <w:bCs w:val="1"/>
                <w:color w:val="auto"/>
              </w:rPr>
              <w:t>Inventory</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&lt; /td&gt;</w:t>
            </w:r>
          </w:p>
        </w:tc>
        <w:tc>
          <w:tcPr>
            <w:tcW w:w="0" w:type="dxa"/>
            <w:vAlign w:val="bottom"/>
          </w:tcPr>
          <w:p>
            <w:pPr>
              <w:spacing w:after="0"/>
              <w:rPr>
                <w:sz w:val="1"/>
                <w:szCs w:val="1"/>
                <w:color w:val="auto"/>
              </w:rPr>
            </w:pPr>
          </w:p>
        </w:tc>
      </w:tr>
      <w:tr>
        <w:trPr>
          <w:trHeight w:val="232"/>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Rolling 12 month period comparison (Aug 2010 to Aug 2009)</w:t>
            </w: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2,237</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rPr>
              <w:t>NA</w:t>
            </w:r>
          </w:p>
        </w:tc>
        <w:tc>
          <w:tcPr>
            <w:tcW w:w="136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59"/>
        </w:trPr>
        <w:tc>
          <w:tcPr>
            <w:tcW w:w="35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101.9 %</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rPr>
              <w:t>NA</w:t>
            </w:r>
          </w:p>
        </w:tc>
        <w:tc>
          <w:tcPr>
            <w:tcW w:w="136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20"/>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4th quarter Fiscal 2010 as compared to 4th quarter Fiscal 2009</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559</w:t>
            </w:r>
          </w:p>
        </w:tc>
        <w:tc>
          <w:tcPr>
            <w:tcW w:w="160" w:type="dxa"/>
            <w:vAlign w:val="bottom"/>
          </w:tcPr>
          <w:p>
            <w:pPr>
              <w:spacing w:after="0"/>
              <w:rPr>
                <w:sz w:val="19"/>
                <w:szCs w:val="19"/>
                <w:color w:val="auto"/>
              </w:rPr>
            </w:pP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52"/>
        </w:trPr>
        <w:tc>
          <w:tcPr>
            <w:tcW w:w="3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92.4 %</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20.7%</w:t>
            </w:r>
          </w:p>
        </w:tc>
        <w:tc>
          <w:tcPr>
            <w:tcW w:w="136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40"/>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4th quarter Fiscal 2010 as compared to 3rd quarter Fiscal 2010</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(202)</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5"/>
        </w:trPr>
        <w:tc>
          <w:tcPr>
            <w:tcW w:w="35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(14.8)%</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2.2%</w:t>
            </w:r>
          </w:p>
        </w:tc>
        <w:tc>
          <w:tcPr>
            <w:tcW w:w="13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0"/>
        </w:trPr>
        <w:tc>
          <w:tcPr>
            <w:tcW w:w="3540" w:type="dxa"/>
            <w:vAlign w:val="bottom"/>
          </w:tcPr>
          <w:p>
            <w:pPr>
              <w:spacing w:after="0"/>
              <w:rPr>
                <w:sz w:val="20"/>
                <w:szCs w:val="20"/>
                <w:color w:val="auto"/>
              </w:rPr>
            </w:pPr>
            <w:r>
              <w:rPr>
                <w:rFonts w:ascii="Arial" w:cs="Arial" w:eastAsia="Arial" w:hAnsi="Arial"/>
                <w:sz w:val="16"/>
                <w:szCs w:val="16"/>
                <w:color w:val="auto"/>
              </w:rPr>
              <w:t>Our motor home order backlog was as follows: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Arial" w:cs="Arial" w:eastAsia="Arial" w:hAnsi="Arial"/>
                <w:sz w:val="16"/>
                <w:szCs w:val="16"/>
                <w:color w:val="auto"/>
              </w:rPr>
              <w:t>&lt; /table&gt;</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4"/>
            <w:vMerge w:val="restart"/>
          </w:tcPr>
          <w:p>
            <w:pPr>
              <w:jc w:val="right"/>
              <w:ind w:right="940"/>
              <w:spacing w:after="0"/>
              <w:rPr>
                <w:sz w:val="20"/>
                <w:szCs w:val="20"/>
                <w:color w:val="auto"/>
              </w:rPr>
            </w:pPr>
            <w:r>
              <w:rPr>
                <w:rFonts w:ascii="Arial" w:cs="Arial" w:eastAsia="Arial" w:hAnsi="Arial"/>
                <w:sz w:val="16"/>
                <w:szCs w:val="16"/>
                <w:b w:val="1"/>
                <w:bCs w:val="1"/>
                <w:color w:val="auto"/>
              </w:rPr>
              <w:t>As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6"/>
                <w:szCs w:val="16"/>
                <w:b w:val="1"/>
                <w:bCs w:val="1"/>
                <w:color w:val="auto"/>
              </w:rPr>
              <w:t>August 28, 2010</w:t>
            </w:r>
          </w:p>
        </w:tc>
        <w:tc>
          <w:tcPr>
            <w:tcW w:w="23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6"/>
                <w:szCs w:val="16"/>
                <w:b w:val="1"/>
                <w:bCs w:val="1"/>
                <w:color w:val="auto"/>
              </w:rPr>
              <w:t>August 29, 2009</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rPr>
              <w:t>(Decrease) Increase</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18"/>
              <w:spacing w:after="0"/>
              <w:rPr>
                <w:sz w:val="20"/>
                <w:szCs w:val="20"/>
                <w:color w:val="auto"/>
              </w:rPr>
            </w:pPr>
            <w:r>
              <w:rPr>
                <w:rFonts w:ascii="Arial" w:cs="Arial" w:eastAsia="Arial" w:hAnsi="Arial"/>
                <w:sz w:val="16"/>
                <w:szCs w:val="16"/>
                <w:b w:val="1"/>
                <w:bCs w:val="1"/>
                <w:color w:val="auto"/>
                <w:w w:val="99"/>
              </w:rPr>
              <w:t>Units</w:t>
            </w:r>
          </w:p>
        </w:tc>
        <w:tc>
          <w:tcPr>
            <w:tcW w:w="168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Product Mix %</w:t>
            </w: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Units</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Product Mix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318"/>
              <w:spacing w:after="0"/>
              <w:rPr>
                <w:sz w:val="20"/>
                <w:szCs w:val="20"/>
                <w:color w:val="auto"/>
              </w:rPr>
            </w:pPr>
            <w:r>
              <w:rPr>
                <w:rFonts w:ascii="Arial" w:cs="Arial" w:eastAsia="Arial" w:hAnsi="Arial"/>
                <w:sz w:val="16"/>
                <w:szCs w:val="16"/>
                <w:b w:val="1"/>
                <w:bCs w:val="1"/>
                <w:color w:val="auto"/>
              </w:rPr>
              <w:t>Units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44"/>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4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272</w:t>
            </w: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345</w:t>
            </w: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A diesel</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198</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color w:val="auto"/>
              </w:rPr>
              <w:t>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38"/>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Class A</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490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89"/>
              </w:rPr>
              <w:t>543</w:t>
            </w:r>
          </w:p>
        </w:tc>
        <w:tc>
          <w:tcPr>
            <w:tcW w:w="180" w:type="dxa"/>
            <w:vAlign w:val="bottom"/>
            <w:tcBorders>
              <w:right w:val="single" w:sz="8" w:color="CCEEFF"/>
            </w:tcBorders>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45"/>
        </w:trPr>
        <w:tc>
          <w:tcPr>
            <w:tcW w:w="3540" w:type="dxa"/>
            <w:vAlign w:val="bottom"/>
          </w:tcPr>
          <w:p>
            <w:pPr>
              <w:ind w:left="20"/>
              <w:spacing w:after="0"/>
              <w:rPr>
                <w:sz w:val="20"/>
                <w:szCs w:val="20"/>
                <w:color w:val="auto"/>
              </w:rPr>
            </w:pPr>
            <w:r>
              <w:rPr>
                <w:rFonts w:ascii="Arial" w:cs="Arial" w:eastAsia="Arial" w:hAnsi="Arial"/>
                <w:sz w:val="16"/>
                <w:szCs w:val="16"/>
                <w:color w:val="auto"/>
              </w:rPr>
              <w:t xml:space="preserve">Class B </w:t>
            </w:r>
            <w:r>
              <w:rPr>
                <w:rFonts w:ascii="Arial" w:cs="Arial" w:eastAsia="Arial" w:hAnsi="Arial"/>
                <w:sz w:val="19"/>
                <w:szCs w:val="19"/>
                <w:color w:val="auto"/>
                <w:vertAlign w:val="superscript"/>
              </w:rPr>
              <w:t>(1)</w:t>
            </w:r>
          </w:p>
        </w:tc>
        <w:tc>
          <w:tcPr>
            <w:tcW w:w="400" w:type="dxa"/>
            <w:vAlign w:val="bottom"/>
          </w:tcPr>
          <w:p>
            <w:pPr>
              <w:spacing w:after="0"/>
              <w:rPr>
                <w:sz w:val="21"/>
                <w:szCs w:val="21"/>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80" w:type="dxa"/>
            <w:vAlign w:val="bottom"/>
            <w:gridSpan w:val="4"/>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328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387</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41.2&lt; /font&gt;%</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backlog</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940</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58"/>
        </w:trPr>
        <w:tc>
          <w:tcPr>
            <w:tcW w:w="35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Total approximate revenue dollars (in</w:t>
            </w:r>
          </w:p>
        </w:tc>
        <w:tc>
          <w:tcPr>
            <w:tcW w:w="400" w:type="dxa"/>
            <w:vAlign w:val="bottom"/>
            <w:vMerge w:val="restart"/>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82,773</w:t>
            </w:r>
          </w:p>
        </w:tc>
        <w:tc>
          <w:tcPr>
            <w:tcW w:w="16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86,626</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(3,853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9"/>
        </w:trPr>
        <w:tc>
          <w:tcPr>
            <w:tcW w:w="354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color w:val="auto"/>
              </w:rPr>
              <w:t xml:space="preserve">thousands) </w:t>
            </w:r>
            <w:r>
              <w:rPr>
                <w:rFonts w:ascii="Arial" w:cs="Arial" w:eastAsia="Arial" w:hAnsi="Arial"/>
                <w:sz w:val="19"/>
                <w:szCs w:val="19"/>
                <w:color w:val="auto"/>
                <w:vertAlign w:val="superscript"/>
              </w:rPr>
              <w:t>(2)</w:t>
            </w:r>
          </w:p>
        </w:tc>
        <w:tc>
          <w:tcPr>
            <w:tcW w:w="4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680" w:type="dxa"/>
            <w:vAlign w:val="bottom"/>
            <w:gridSpan w:val="4"/>
            <w:vMerge w:val="continue"/>
            <w:shd w:val="clear" w:color="auto" w:fill="CCEEFF"/>
          </w:tcPr>
          <w:p>
            <w:pPr>
              <w:spacing w:after="0"/>
              <w:rPr>
                <w:sz w:val="17"/>
                <w:szCs w:val="17"/>
                <w:color w:val="auto"/>
              </w:rPr>
            </w:pPr>
          </w:p>
        </w:tc>
        <w:tc>
          <w:tcPr>
            <w:tcW w:w="1040" w:type="dxa"/>
            <w:vAlign w:val="bottom"/>
            <w:tcBorders>
              <w:right w:val="single" w:sz="8" w:color="CCEEFF"/>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-2406015</wp:posOffset>
            </wp:positionV>
            <wp:extent cx="3271520" cy="303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1520" cy="303530"/>
                    </a:xfrm>
                    <a:prstGeom prst="rect">
                      <a:avLst/>
                    </a:prstGeom>
                    <a:noFill/>
                  </pic:spPr>
                </pic:pic>
              </a:graphicData>
            </a:graphic>
          </wp:anchor>
        </w:drawing>
      </w:r>
    </w:p>
    <w:p>
      <w:pPr>
        <w:ind w:left="302" w:hanging="302"/>
        <w:spacing w:after="0" w:line="236" w:lineRule="auto"/>
        <w:tabs>
          <w:tab w:leader="none" w:pos="302" w:val="left"/>
        </w:tabs>
        <w:numPr>
          <w:ilvl w:val="0"/>
          <w:numId w:val="9"/>
        </w:numPr>
        <w:rPr>
          <w:rFonts w:ascii="Arial" w:cs="Arial" w:eastAsia="Arial" w:hAnsi="Arial"/>
          <w:sz w:val="13"/>
          <w:szCs w:val="13"/>
          <w:color w:val="auto"/>
        </w:rPr>
      </w:pPr>
      <w:r>
        <w:rPr>
          <w:rFonts w:ascii="Arial" w:cs="Arial" w:eastAsia="Arial" w:hAnsi="Arial"/>
          <w:sz w:val="13"/>
          <w:szCs w:val="13"/>
          <w:color w:val="auto"/>
        </w:rPr>
        <w:t>Class B backlog is currently not applicable given the fact that the ERA was temporarily discontinued in the 2011 model year. Current plans call for the ERA to be reintroduced in the 2012 model year.</w:t>
      </w:r>
    </w:p>
    <w:p>
      <w:pPr>
        <w:ind w:left="302" w:hanging="302"/>
        <w:spacing w:after="0" w:line="247" w:lineRule="auto"/>
        <w:tabs>
          <w:tab w:leader="none" w:pos="302"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22"/>
          </w:cols>
          <w:pgMar w:left="238" w:top="153" w:right="239" w:bottom="1440" w:gutter="0" w:footer="0" w:header="0"/>
        </w:sectPr>
      </w:pPr>
    </w:p>
    <w:bookmarkStart w:id="16" w:name="page17"/>
    <w:bookmarkEnd w:id="16"/>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Results of Operations</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Fiscal 2010 Compared to Fiscal 2009</w:t>
      </w:r>
    </w:p>
    <w:p>
      <w:pPr>
        <w:spacing w:after="0" w:line="179" w:lineRule="exact"/>
        <w:rPr>
          <w:sz w:val="20"/>
          <w:szCs w:val="20"/>
          <w:color w:val="auto"/>
        </w:rPr>
      </w:pPr>
    </w:p>
    <w:p>
      <w:pPr>
        <w:ind w:left="2" w:right="80"/>
        <w:spacing w:after="0" w:line="271"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28, 2010 compared to the fiscal year ended August 29, 2009:</w:t>
      </w:r>
    </w:p>
    <w:p>
      <w:pPr>
        <w:spacing w:after="0" w:line="104"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right"/>
              <w:ind w:right="898"/>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88"/>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percent and per</w:t>
            </w:r>
          </w:p>
        </w:tc>
        <w:tc>
          <w:tcPr>
            <w:tcW w:w="1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August 28,</w:t>
            </w:r>
          </w:p>
        </w:tc>
        <w:tc>
          <w:tcPr>
            <w:tcW w:w="1520" w:type="dxa"/>
            <w:vAlign w:val="bottom"/>
          </w:tcPr>
          <w:p>
            <w:pPr>
              <w:jc w:val="right"/>
              <w:ind w:right="498"/>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Arial" w:cs="Arial" w:eastAsia="Arial" w:hAnsi="Arial"/>
                <w:sz w:val="16"/>
                <w:szCs w:val="16"/>
                <w:b w:val="1"/>
                <w:bCs w:val="1"/>
                <w:color w:val="auto"/>
              </w:rPr>
              <w:t>August 29,</w:t>
            </w:r>
          </w:p>
        </w:tc>
        <w:tc>
          <w:tcPr>
            <w:tcW w:w="1340" w:type="dxa"/>
            <w:vAlign w:val="bottom"/>
          </w:tcPr>
          <w:p>
            <w:pPr>
              <w:jc w:val="right"/>
              <w:ind w:right="418"/>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6"/>
                <w:szCs w:val="16"/>
                <w:color w:val="auto"/>
              </w:rPr>
            </w:pPr>
          </w:p>
        </w:tc>
        <w:tc>
          <w:tcPr>
            <w:tcW w:w="1300" w:type="dxa"/>
            <w:vAlign w:val="bottom"/>
            <w:gridSpan w:val="2"/>
          </w:tcPr>
          <w:p>
            <w:pPr>
              <w:jc w:val="right"/>
              <w:ind w:right="378"/>
              <w:spacing w:after="0"/>
              <w:rPr>
                <w:sz w:val="20"/>
                <w:szCs w:val="20"/>
                <w:color w:val="auto"/>
              </w:rPr>
            </w:pPr>
            <w:r>
              <w:rPr>
                <w:rFonts w:ascii="Arial" w:cs="Arial" w:eastAsia="Arial" w:hAnsi="Arial"/>
                <w:sz w:val="16"/>
                <w:szCs w:val="16"/>
                <w:b w:val="1"/>
                <w:bCs w:val="1"/>
                <w:color w:val="auto"/>
              </w:rPr>
              <w:t>Increase</w:t>
            </w:r>
          </w:p>
        </w:tc>
        <w:tc>
          <w:tcPr>
            <w:tcW w:w="1160" w:type="dxa"/>
            <w:vAlign w:val="bottom"/>
          </w:tcPr>
          <w:p>
            <w:pPr>
              <w:jc w:val="right"/>
              <w:ind w:right="498"/>
              <w:spacing w:after="0"/>
              <w:rPr>
                <w:sz w:val="20"/>
                <w:szCs w:val="20"/>
                <w:color w:val="auto"/>
              </w:rPr>
            </w:pPr>
            <w:r>
              <w:rPr>
                <w:rFonts w:ascii="Arial" w:cs="Arial" w:eastAsia="Arial" w:hAnsi="Arial"/>
                <w:sz w:val="16"/>
                <w:szCs w:val="16"/>
                <w:b w:val="1"/>
                <w:bCs w:val="1"/>
                <w:color w:val="auto"/>
              </w:rPr>
              <w:t>%</w:t>
            </w:r>
          </w:p>
        </w:tc>
      </w:tr>
      <w:tr>
        <w:trPr>
          <w:trHeight w:val="22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share data)</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Revenues</w:t>
            </w:r>
            <w:r>
              <w:rPr>
                <w:rFonts w:ascii="Arial" w:cs="Arial" w:eastAsia="Arial" w:hAnsi="Arial"/>
                <w:sz w:val="19"/>
                <w:szCs w:val="19"/>
                <w:b w:val="1"/>
                <w:bCs w:val="1"/>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2009</w:t>
            </w: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Revenues</w:t>
            </w:r>
            <w:r>
              <w:rPr>
                <w:rFonts w:ascii="Arial" w:cs="Arial" w:eastAsia="Arial" w:hAnsi="Arial"/>
                <w:sz w:val="19"/>
                <w:szCs w:val="19"/>
                <w:b w:val="1"/>
                <w:bCs w:val="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6"/>
                <w:szCs w:val="16"/>
                <w:b w:val="1"/>
                <w:bCs w:val="1"/>
                <w:color w:val="auto"/>
              </w:rPr>
              <w:t>(Decrease)</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Change</w:t>
            </w:r>
          </w:p>
        </w:tc>
      </w:tr>
      <w:tr>
        <w:trPr>
          <w:trHeight w:val="23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449,484</w:t>
            </w:r>
          </w:p>
        </w:tc>
        <w:tc>
          <w:tcPr>
            <w:tcW w:w="15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38"/>
              <w:spacing w:after="0"/>
              <w:rPr>
                <w:sz w:val="20"/>
                <w:szCs w:val="20"/>
                <w:color w:val="auto"/>
              </w:rPr>
            </w:pPr>
            <w:r>
              <w:rPr>
                <w:rFonts w:ascii="Arial" w:cs="Arial" w:eastAsia="Arial" w:hAnsi="Arial"/>
                <w:sz w:val="16"/>
                <w:szCs w:val="16"/>
                <w:color w:val="auto"/>
              </w:rPr>
              <w:t>211,519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237,965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112.5 %</w:t>
            </w:r>
          </w:p>
        </w:tc>
      </w:tr>
      <w:tr>
        <w:trPr>
          <w:trHeight w:val="23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423,217</w:t>
            </w:r>
          </w:p>
        </w:tc>
        <w:tc>
          <w:tcPr>
            <w:tcW w:w="15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94.2 %</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242,265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114.5 %</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180,952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74.7 %</w:t>
            </w:r>
          </w:p>
        </w:tc>
      </w:tr>
      <w:tr>
        <w:trPr>
          <w:trHeight w:val="200"/>
        </w:trPr>
        <w:tc>
          <w:tcPr>
            <w:tcW w:w="32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&amp;nbs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(deficit)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26,267</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5.8p;%</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(30,746)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57,013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57"/>
        </w:trPr>
        <w:tc>
          <w:tcPr>
            <w:tcW w:w="3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12,724</w:t>
            </w:r>
          </w:p>
        </w:tc>
        <w:tc>
          <w:tcPr>
            <w:tcW w:w="15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2.8 %</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12,616</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108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26"/>
        </w:trPr>
        <w:tc>
          <w:tcPr>
            <w:tcW w:w="32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13,023</w:t>
            </w:r>
          </w:p>
        </w:tc>
        <w:tc>
          <w:tcPr>
            <w:tcW w:w="1520" w:type="dxa"/>
            <w:vAlign w:val="bottom"/>
          </w:tcPr>
          <w:p>
            <w:pPr>
              <w:jc w:val="right"/>
              <w:ind w:right="118"/>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6"/>
                <w:szCs w:val="16"/>
                <w:color w:val="auto"/>
              </w:rPr>
              <w:t>15,298</w:t>
            </w:r>
          </w:p>
        </w:tc>
        <w:tc>
          <w:tcPr>
            <w:tcW w:w="1340" w:type="dxa"/>
            <w:vAlign w:val="bottom"/>
          </w:tcPr>
          <w:p>
            <w:pPr>
              <w:jc w:val="right"/>
              <w:spacing w:after="0"/>
              <w:rPr>
                <w:sz w:val="20"/>
                <w:szCs w:val="20"/>
                <w:color w:val="auto"/>
              </w:rPr>
            </w:pPr>
            <w:r>
              <w:rPr>
                <w:rFonts w:ascii="Arial" w:cs="Arial" w:eastAsia="Arial" w:hAnsi="Arial"/>
                <w:sz w:val="16"/>
                <w:szCs w:val="16"/>
                <w:color w:val="auto"/>
              </w:rPr>
              <w:t>7.2 %</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6"/>
                <w:szCs w:val="16"/>
                <w:color w:val="auto"/>
              </w:rPr>
              <w:t>(2,275)</w:t>
            </w:r>
          </w:p>
        </w:tc>
        <w:tc>
          <w:tcPr>
            <w:tcW w:w="116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3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855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(855)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2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25,747</w:t>
            </w:r>
          </w:p>
        </w:tc>
        <w:tc>
          <w:tcPr>
            <w:tcW w:w="15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5.7 %</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28,769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13.6 %</w:t>
            </w: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(3,022</w:t>
            </w: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57"/>
        </w:trPr>
        <w:tc>
          <w:tcPr>
            <w:tcW w:w="3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9"/>
        </w:trPr>
        <w:tc>
          <w:tcPr>
            <w:tcW w:w="32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520</w:t>
            </w:r>
          </w:p>
        </w:tc>
        <w:tc>
          <w:tcPr>
            <w:tcW w:w="1520" w:type="dxa"/>
            <w:vAlign w:val="bottom"/>
          </w:tcPr>
          <w:p>
            <w:pPr>
              <w:jc w:val="right"/>
              <w:ind w:right="118"/>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(59,515)</w:t>
            </w:r>
          </w:p>
        </w:tc>
        <w:tc>
          <w:tcPr>
            <w:tcW w:w="1340" w:type="dxa"/>
            <w:vAlign w:val="bottom"/>
          </w:tcPr>
          <w:p>
            <w:pPr>
              <w:jc w:val="right"/>
              <w:spacing w:after="0"/>
              <w:rPr>
                <w:sz w:val="20"/>
                <w:szCs w:val="20"/>
                <w:color w:val="auto"/>
              </w:rPr>
            </w:pPr>
            <w:r>
              <w:rPr>
                <w:rFonts w:ascii="Arial" w:cs="Arial" w:eastAsia="Arial" w:hAnsi="Arial"/>
                <w:sz w:val="16"/>
                <w:szCs w:val="16"/>
                <w:color w:val="auto"/>
              </w:rPr>
              <w:t>(28.1)%</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78"/>
              <w:spacing w:after="0"/>
              <w:rPr>
                <w:sz w:val="20"/>
                <w:szCs w:val="20"/>
                <w:color w:val="auto"/>
              </w:rPr>
            </w:pPr>
            <w:r>
              <w:rPr>
                <w:rFonts w:ascii="Arial" w:cs="Arial" w:eastAsia="Arial" w:hAnsi="Arial"/>
                <w:sz w:val="16"/>
                <w:szCs w:val="16"/>
                <w:color w:val="auto"/>
              </w:rPr>
              <w:t>60,035</w:t>
            </w:r>
          </w:p>
        </w:tc>
        <w:tc>
          <w:tcPr>
            <w:tcW w:w="1160" w:type="dxa"/>
            <w:vAlign w:val="bottom"/>
          </w:tcPr>
          <w:p>
            <w:pPr>
              <w:jc w:val="right"/>
              <w:spacing w:after="0"/>
              <w:rPr>
                <w:sz w:val="20"/>
                <w:szCs w:val="20"/>
                <w:color w:val="auto"/>
              </w:rPr>
            </w:pPr>
            <w:r>
              <w:rPr>
                <w:rFonts w:ascii="Arial" w:cs="Arial" w:eastAsia="Arial" w:hAnsi="Arial"/>
                <w:sz w:val="16"/>
                <w:szCs w:val="16"/>
                <w:color w:val="auto"/>
              </w:rPr>
              <w:t>(100.9)%</w:t>
            </w:r>
          </w:p>
        </w:tc>
      </w:tr>
      <w:tr>
        <w:trPr>
          <w:trHeight w:val="23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income</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w:t>
            </w:r>
          </w:p>
        </w:tc>
        <w:tc>
          <w:tcPr>
            <w:tcW w:w="15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1,452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(1,230)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w:t>
            </w:r>
          </w:p>
        </w:tc>
      </w:tr>
      <w:tr>
        <w:trPr>
          <w:trHeight w:val="225"/>
        </w:trPr>
        <w:tc>
          <w:tcPr>
            <w:tcW w:w="3240" w:type="dxa"/>
            <w:vAlign w:val="bottom"/>
          </w:tcPr>
          <w:p>
            <w:pPr>
              <w:ind w:left="20"/>
              <w:spacing w:after="0"/>
              <w:rPr>
                <w:sz w:val="20"/>
                <w:szCs w:val="20"/>
                <w:color w:val="auto"/>
              </w:rPr>
            </w:pPr>
            <w:r>
              <w:rPr>
                <w:rFonts w:ascii="Arial" w:cs="Arial" w:eastAsia="Arial" w:hAnsi="Arial"/>
                <w:sz w:val="16"/>
                <w:szCs w:val="16"/>
                <w:color w:val="auto"/>
              </w:rPr>
              <w:t>Pre-tax income (loss)</w:t>
            </w:r>
          </w:p>
        </w:tc>
        <w:tc>
          <w:tcPr>
            <w:tcW w:w="1240" w:type="dxa"/>
            <w:vAlign w:val="bottom"/>
            <w:gridSpan w:val="2"/>
          </w:tcPr>
          <w:p>
            <w:pPr>
              <w:ind w:left="40"/>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9"/>
                <w:szCs w:val="19"/>
                <w:color w:val="auto"/>
              </w:rPr>
            </w:pPr>
          </w:p>
        </w:tc>
        <w:tc>
          <w:tcPr>
            <w:tcW w:w="1520" w:type="dxa"/>
            <w:vAlign w:val="bottom"/>
          </w:tcPr>
          <w:p>
            <w:pPr>
              <w:jc w:val="right"/>
              <w:ind w:right="118"/>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(58,063)</w:t>
            </w:r>
          </w:p>
        </w:tc>
        <w:tc>
          <w:tcPr>
            <w:tcW w:w="1340" w:type="dxa"/>
            <w:vAlign w:val="bottom"/>
          </w:tcPr>
          <w:p>
            <w:pPr>
              <w:jc w:val="right"/>
              <w:spacing w:after="0"/>
              <w:rPr>
                <w:sz w:val="20"/>
                <w:szCs w:val="20"/>
                <w:color w:val="auto"/>
              </w:rPr>
            </w:pPr>
            <w:r>
              <w:rPr>
                <w:rFonts w:ascii="Arial" w:cs="Arial" w:eastAsia="Arial" w:hAnsi="Arial"/>
                <w:sz w:val="16"/>
                <w:szCs w:val="16"/>
                <w:color w:val="auto"/>
              </w:rPr>
              <w:t>(27.5)%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178"/>
              <w:spacing w:after="0"/>
              <w:rPr>
                <w:sz w:val="20"/>
                <w:szCs w:val="20"/>
                <w:color w:val="auto"/>
              </w:rPr>
            </w:pPr>
            <w:r>
              <w:rPr>
                <w:rFonts w:ascii="Arial" w:cs="Arial" w:eastAsia="Arial" w:hAnsi="Arial"/>
                <w:sz w:val="16"/>
                <w:szCs w:val="16"/>
                <w:color w:val="auto"/>
              </w:rPr>
              <w:t>58,805</w:t>
            </w:r>
          </w:p>
        </w:tc>
        <w:tc>
          <w:tcPr>
            <w:tcW w:w="1160" w:type="dxa"/>
            <w:vAlign w:val="bottom"/>
          </w:tcPr>
          <w:p>
            <w:pPr>
              <w:jc w:val="right"/>
              <w:spacing w:after="0"/>
              <w:rPr>
                <w:sz w:val="20"/>
                <w:szCs w:val="20"/>
                <w:color w:val="auto"/>
              </w:rPr>
            </w:pPr>
            <w:r>
              <w:rPr>
                <w:rFonts w:ascii="Arial" w:cs="Arial" w:eastAsia="Arial" w:hAnsi="Arial"/>
                <w:sz w:val="16"/>
                <w:szCs w:val="16"/>
                <w:color w:val="auto"/>
              </w:rPr>
              <w:t>(101.3)%</w:t>
            </w:r>
          </w:p>
        </w:tc>
      </w:tr>
      <w:tr>
        <w:trPr>
          <w:trHeight w:val="24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taxes</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(9,505)</w:t>
            </w:r>
          </w:p>
        </w:tc>
        <w:tc>
          <w:tcPr>
            <w:tcW w:w="15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20,703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(30,208)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r>
      <w:tr>
        <w:trPr>
          <w:trHeight w:val="26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10,247</w:t>
            </w:r>
          </w:p>
        </w:tc>
        <w:tc>
          <w:tcPr>
            <w:tcW w:w="15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2.3 %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(78,766)</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(37.2)% $</w:t>
            </w: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89,013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113.0 %</w:t>
            </w:r>
          </w:p>
        </w:tc>
      </w:tr>
      <w:tr>
        <w:trPr>
          <w:trHeight w:val="21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income (loss) per share</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3.06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Diluted average shares outstanding</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29,101</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Arial" w:cs="Arial" w:eastAsia="Arial" w:hAnsi="Arial"/>
                <w:sz w:val="16"/>
                <w:szCs w:val="16"/>
                <w:color w:val="auto"/>
              </w:rPr>
              <w:t>29,051</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635</wp:posOffset>
            </wp:positionV>
            <wp:extent cx="8413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1375" cy="7620"/>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16510</wp:posOffset>
            </wp:positionV>
            <wp:extent cx="8413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1375" cy="762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635</wp:posOffset>
            </wp:positionV>
            <wp:extent cx="8489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8995" cy="762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16510</wp:posOffset>
            </wp:positionV>
            <wp:extent cx="84899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8995" cy="7620"/>
                    </a:xfrm>
                    <a:prstGeom prst="rect">
                      <a:avLst/>
                    </a:prstGeom>
                    <a:noFill/>
                  </pic:spPr>
                </pic:pic>
              </a:graphicData>
            </a:graphic>
          </wp:anchor>
        </w:drawing>
      </w:r>
    </w:p>
    <w:p>
      <w:pPr>
        <w:spacing w:after="0" w:line="22" w:lineRule="exact"/>
        <w:rPr>
          <w:sz w:val="20"/>
          <w:szCs w:val="20"/>
          <w:color w:val="auto"/>
        </w:rPr>
      </w:pPr>
    </w:p>
    <w:p>
      <w:pPr>
        <w:ind w:left="142" w:hanging="142"/>
        <w:spacing w:after="0"/>
        <w:tabs>
          <w:tab w:leader="none" w:pos="142" w:val="left"/>
        </w:tabs>
        <w:numPr>
          <w:ilvl w:val="0"/>
          <w:numId w:val="10"/>
        </w:numPr>
        <w:rPr>
          <w:rFonts w:ascii="Arial" w:cs="Arial" w:eastAsia="Arial" w:hAnsi="Arial"/>
          <w:sz w:val="8"/>
          <w:szCs w:val="8"/>
          <w:color w:val="auto"/>
        </w:rPr>
      </w:pPr>
      <w:r>
        <w:rPr>
          <w:rFonts w:ascii="Arial" w:cs="Arial" w:eastAsia="Arial" w:hAnsi="Arial"/>
          <w:sz w:val="13"/>
          <w:szCs w:val="13"/>
          <w:color w:val="auto"/>
        </w:rPr>
        <w:t>Percentages may not add due to rounding differences.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6"/>
          <w:szCs w:val="16"/>
          <w:color w:val="auto"/>
        </w:rPr>
        <w:t>Unit deliveries and average sales price (ASP), net of discounts, consisted of the following:</w:t>
      </w:r>
    </w:p>
    <w:p>
      <w:pPr>
        <w:spacing w:after="0" w:line="331"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436"/>
        </w:trPr>
        <w:tc>
          <w:tcPr>
            <w:tcW w:w="2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87"/>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98"/>
              <w:spacing w:after="0"/>
              <w:rPr>
                <w:sz w:val="20"/>
                <w:szCs w:val="20"/>
                <w:color w:val="auto"/>
              </w:rPr>
            </w:pPr>
            <w:r>
              <w:rPr>
                <w:rFonts w:ascii="Arial" w:cs="Arial" w:eastAsia="Arial" w:hAnsi="Arial"/>
                <w:sz w:val="16"/>
                <w:szCs w:val="16"/>
                <w:b w:val="1"/>
                <w:bCs w:val="1"/>
                <w:color w:val="auto"/>
              </w:rPr>
              <w:t>August 28,</w:t>
            </w: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Product</w:t>
            </w:r>
          </w:p>
        </w:tc>
        <w:tc>
          <w:tcPr>
            <w:tcW w:w="1940" w:type="dxa"/>
            <w:vAlign w:val="bottom"/>
          </w:tcPr>
          <w:p>
            <w:pPr>
              <w:jc w:val="right"/>
              <w:ind w:right="678"/>
              <w:spacing w:after="0"/>
              <w:rPr>
                <w:sz w:val="20"/>
                <w:szCs w:val="20"/>
                <w:color w:val="auto"/>
              </w:rPr>
            </w:pPr>
            <w:r>
              <w:rPr>
                <w:rFonts w:ascii="Arial" w:cs="Arial" w:eastAsia="Arial" w:hAnsi="Arial"/>
                <w:sz w:val="16"/>
                <w:szCs w:val="16"/>
                <w:b w:val="1"/>
                <w:bCs w:val="1"/>
                <w:color w:val="auto"/>
              </w:rPr>
              <w:t>August 29,</w:t>
            </w:r>
          </w:p>
        </w:tc>
        <w:tc>
          <w:tcPr>
            <w:tcW w:w="1460" w:type="dxa"/>
            <w:vAlign w:val="bottom"/>
            <w:gridSpan w:val="3"/>
          </w:tcPr>
          <w:p>
            <w:pPr>
              <w:jc w:val="center"/>
              <w:ind w:right="198"/>
              <w:spacing w:after="0"/>
              <w:rPr>
                <w:sz w:val="20"/>
                <w:szCs w:val="20"/>
                <w:color w:val="auto"/>
              </w:rPr>
            </w:pPr>
            <w:r>
              <w:rPr>
                <w:rFonts w:ascii="Arial" w:cs="Arial" w:eastAsia="Arial" w:hAnsi="Arial"/>
                <w:sz w:val="16"/>
                <w:szCs w:val="16"/>
                <w:b w:val="1"/>
                <w:bCs w:val="1"/>
                <w:color w:val="auto"/>
              </w:rPr>
              <w:t>Product</w:t>
            </w: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jc w:val="right"/>
              <w:ind w:right="418"/>
              <w:spacing w:after="0"/>
              <w:rPr>
                <w:sz w:val="20"/>
                <w:szCs w:val="20"/>
                <w:color w:val="auto"/>
              </w:rPr>
            </w:pPr>
            <w:r>
              <w:rPr>
                <w:rFonts w:ascii="Arial" w:cs="Arial" w:eastAsia="Arial" w:hAnsi="Arial"/>
                <w:sz w:val="16"/>
                <w:szCs w:val="16"/>
                <w:b w:val="1"/>
                <w:bCs w:val="1"/>
                <w:color w:val="auto"/>
              </w:rPr>
              <w:t>%</w:t>
            </w:r>
          </w:p>
        </w:tc>
      </w:tr>
      <w:tr>
        <w:trPr>
          <w:trHeight w:val="229"/>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units)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8"/>
              <w:spacing w:after="0"/>
              <w:rPr>
                <w:sz w:val="20"/>
                <w:szCs w:val="20"/>
                <w:color w:val="auto"/>
              </w:rPr>
            </w:pPr>
            <w:r>
              <w:rPr>
                <w:rFonts w:ascii="Arial" w:cs="Arial" w:eastAsia="Arial" w:hAnsi="Arial"/>
                <w:sz w:val="16"/>
                <w:szCs w:val="16"/>
                <w:b w:val="1"/>
                <w:bCs w:val="1"/>
                <w:color w:val="auto"/>
              </w:rPr>
              <w:t>Mix %</w:t>
            </w:r>
          </w:p>
        </w:tc>
        <w:tc>
          <w:tcPr>
            <w:tcW w:w="1940" w:type="dxa"/>
            <w:vAlign w:val="bottom"/>
            <w:tcBorders>
              <w:bottom w:val="single" w:sz="8" w:color="auto"/>
            </w:tcBorders>
          </w:tcPr>
          <w:p>
            <w:pPr>
              <w:jc w:val="right"/>
              <w:ind w:right="898"/>
              <w:spacing w:after="0"/>
              <w:rPr>
                <w:sz w:val="20"/>
                <w:szCs w:val="20"/>
                <w:color w:val="auto"/>
              </w:rPr>
            </w:pPr>
            <w:r>
              <w:rPr>
                <w:rFonts w:ascii="Arial" w:cs="Arial" w:eastAsia="Arial" w:hAnsi="Arial"/>
                <w:sz w:val="16"/>
                <w:szCs w:val="16"/>
                <w:b w:val="1"/>
                <w:bCs w:val="1"/>
                <w:color w:val="auto"/>
              </w:rPr>
              <w:t>2009</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538"/>
              <w:spacing w:after="0"/>
              <w:rPr>
                <w:sz w:val="20"/>
                <w:szCs w:val="20"/>
                <w:color w:val="auto"/>
              </w:rPr>
            </w:pPr>
            <w:r>
              <w:rPr>
                <w:rFonts w:ascii="Arial" w:cs="Arial" w:eastAsia="Arial" w:hAnsi="Arial"/>
                <w:sz w:val="16"/>
                <w:szCs w:val="16"/>
                <w:b w:val="1"/>
                <w:bCs w:val="1"/>
                <w:color w:val="auto"/>
              </w:rPr>
              <w:t>Mix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Increase</w:t>
            </w:r>
          </w:p>
        </w:tc>
        <w:tc>
          <w:tcPr>
            <w:tcW w:w="158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6"/>
                <w:szCs w:val="16"/>
                <w:b w:val="1"/>
                <w:bCs w:val="1"/>
                <w:color w:val="auto"/>
              </w:rPr>
              <w:t>Change</w:t>
            </w:r>
          </w:p>
        </w:tc>
      </w:tr>
      <w:tr>
        <w:trPr>
          <w:trHeight w:val="176"/>
        </w:trPr>
        <w:tc>
          <w:tcPr>
            <w:tcW w:w="2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940" w:type="dxa"/>
            <w:vAlign w:val="bottom"/>
            <w:shd w:val="clear" w:color="auto" w:fill="CCEEFF"/>
          </w:tcPr>
          <w:p>
            <w:pPr>
              <w:ind w:left="680"/>
              <w:spacing w:after="0" w:line="176" w:lineRule="exact"/>
              <w:rPr>
                <w:sz w:val="20"/>
                <w:szCs w:val="20"/>
                <w:color w:val="auto"/>
              </w:rPr>
            </w:pPr>
            <w:r>
              <w:rPr>
                <w:rFonts w:ascii="Arial" w:cs="Arial" w:eastAsia="Arial" w:hAnsi="Arial"/>
                <w:sz w:val="16"/>
                <w:szCs w:val="16"/>
                <w:color w:val="auto"/>
                <w:w w:val="99"/>
              </w:rPr>
              <w:t>&lt; font style="font-</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6"/>
        </w:trPr>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8"/>
              </w:rPr>
              <w:t>family:inherit;font-</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33.4%</w:t>
            </w:r>
          </w:p>
        </w:tc>
        <w:tc>
          <w:tcPr>
            <w:tcW w:w="194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rPr>
              <w:t>480size:10pt;"&gt;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r>
      <w:tr>
        <w:trPr>
          <w:trHeight w:val="226"/>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A diesel</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342</w:t>
            </w:r>
          </w:p>
        </w:tc>
        <w:tc>
          <w:tcPr>
            <w:tcW w:w="228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6"/>
                <w:szCs w:val="16"/>
                <w:color w:val="auto"/>
              </w:rPr>
              <w:t>15.6%</w:t>
            </w:r>
          </w:p>
        </w:tc>
        <w:tc>
          <w:tcPr>
            <w:tcW w:w="112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6"/>
                <w:szCs w:val="16"/>
                <w:color w:val="auto"/>
              </w:rPr>
              <w:t>627</w:t>
            </w: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183.3%</w:t>
            </w:r>
          </w:p>
        </w:tc>
        <w:tc>
          <w:tcPr>
            <w:tcW w:w="720" w:type="dxa"/>
            <w:vAlign w:val="bottom"/>
            <w:tcBorders>
              <w:bottom w:val="single" w:sz="8" w:color="auto"/>
            </w:tcBorders>
          </w:tcPr>
          <w:p>
            <w:pPr>
              <w:spacing w:after="0"/>
              <w:rPr>
                <w:sz w:val="19"/>
                <w:szCs w:val="19"/>
                <w:color w:val="auto"/>
              </w:rPr>
            </w:pPr>
          </w:p>
        </w:tc>
      </w:tr>
      <w:tr>
        <w:trPr>
          <w:trHeight w:val="244"/>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Class A</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55.3%</w:t>
            </w:r>
          </w:p>
        </w:tc>
        <w:tc>
          <w:tcPr>
            <w:tcW w:w="1940" w:type="dxa"/>
            <w:vAlign w:val="bottom"/>
            <w:shd w:val="clear" w:color="auto" w:fill="CCEEFF"/>
          </w:tcPr>
          <w:p>
            <w:pPr>
              <w:jc w:val="right"/>
              <w:ind w:right="1178"/>
              <w:spacing w:after="0"/>
              <w:rPr>
                <w:sz w:val="20"/>
                <w:szCs w:val="20"/>
                <w:color w:val="auto"/>
              </w:rPr>
            </w:pPr>
            <w:r>
              <w:rPr>
                <w:rFonts w:ascii="Arial" w:cs="Arial" w:eastAsia="Arial" w:hAnsi="Arial"/>
                <w:sz w:val="16"/>
                <w:szCs w:val="16"/>
                <w:color w:val="auto"/>
              </w:rPr>
              <w:t>822</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8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r>
      <w:tr>
        <w:trPr>
          <w:trHeight w:val="226"/>
        </w:trPr>
        <w:tc>
          <w:tcPr>
            <w:tcW w:w="2780" w:type="dxa"/>
            <w:vAlign w:val="bottom"/>
          </w:tcPr>
          <w:p>
            <w:pPr>
              <w:ind w:left="2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w:t>
            </w:r>
          </w:p>
        </w:tc>
        <w:tc>
          <w:tcPr>
            <w:tcW w:w="300" w:type="dxa"/>
            <w:vAlign w:val="bottom"/>
          </w:tcPr>
          <w:p>
            <w:pPr>
              <w:spacing w:after="0"/>
              <w:rPr>
                <w:sz w:val="19"/>
                <w:szCs w:val="19"/>
                <w:color w:val="auto"/>
              </w:rPr>
            </w:pPr>
          </w:p>
        </w:tc>
        <w:tc>
          <w:tcPr>
            <w:tcW w:w="1340" w:type="dxa"/>
            <w:vAlign w:val="bottom"/>
          </w:tcPr>
          <w:p>
            <w:pPr>
              <w:jc w:val="right"/>
              <w:ind w:right="358"/>
              <w:spacing w:after="0"/>
              <w:rPr>
                <w:sz w:val="20"/>
                <w:szCs w:val="20"/>
                <w:color w:val="auto"/>
              </w:rPr>
            </w:pPr>
            <w:r>
              <w:rPr>
                <w:rFonts w:ascii="Arial" w:cs="Arial" w:eastAsia="Arial" w:hAnsi="Arial"/>
                <w:sz w:val="16"/>
                <w:szCs w:val="16"/>
                <w:color w:val="auto"/>
              </w:rPr>
              <w:t>5.3%</w:t>
            </w:r>
          </w:p>
        </w:tc>
        <w:tc>
          <w:tcPr>
            <w:tcW w:w="1940" w:type="dxa"/>
            <w:vAlign w:val="bottom"/>
          </w:tcPr>
          <w:p>
            <w:pPr>
              <w:jc w:val="right"/>
              <w:ind w:right="1178"/>
              <w:spacing w:after="0"/>
              <w:rPr>
                <w:sz w:val="20"/>
                <w:szCs w:val="20"/>
                <w:color w:val="auto"/>
              </w:rPr>
            </w:pPr>
            <w:r>
              <w:rPr>
                <w:rFonts w:ascii="Arial" w:cs="Arial" w:eastAsia="Arial" w:hAnsi="Arial"/>
                <w:sz w:val="16"/>
                <w:szCs w:val="16"/>
                <w:color w:val="auto"/>
              </w:rPr>
              <w:t>149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w:t>
            </w: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3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6"/>
                <w:szCs w:val="16"/>
                <w:color w:val="auto"/>
              </w:rPr>
              <w:t>39.4%</w:t>
            </w:r>
          </w:p>
        </w:tc>
        <w:tc>
          <w:tcPr>
            <w:tcW w:w="1940" w:type="dxa"/>
            <w:vAlign w:val="bottom"/>
            <w:tcBorders>
              <w:bottom w:val="single" w:sz="8" w:color="auto"/>
            </w:tcBorders>
            <w:shd w:val="clear" w:color="auto" w:fill="CCEEFF"/>
          </w:tcPr>
          <w:p>
            <w:pPr>
              <w:jc w:val="right"/>
              <w:ind w:right="1178"/>
              <w:spacing w:after="0"/>
              <w:rPr>
                <w:sz w:val="20"/>
                <w:szCs w:val="20"/>
                <w:color w:val="auto"/>
              </w:rPr>
            </w:pPr>
            <w:r>
              <w:rPr>
                <w:rFonts w:ascii="Arial" w:cs="Arial" w:eastAsia="Arial" w:hAnsi="Arial"/>
                <w:sz w:val="16"/>
                <w:szCs w:val="16"/>
                <w:color w:val="auto"/>
              </w:rPr>
              <w:t>1,225</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8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71"/>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deliveries</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4,433</w:t>
            </w: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rPr>
              <w:t>100.0%</w:t>
            </w:r>
          </w:p>
        </w:tc>
        <w:tc>
          <w:tcPr>
            <w:tcW w:w="1940" w:type="dxa"/>
            <w:vAlign w:val="bottom"/>
            <w:tcBorders>
              <w:bottom w:val="single" w:sz="8" w:color="auto"/>
            </w:tcBorders>
          </w:tcPr>
          <w:p>
            <w:pPr>
              <w:jc w:val="right"/>
              <w:ind w:right="1178"/>
              <w:spacing w:after="0"/>
              <w:rPr>
                <w:sz w:val="20"/>
                <w:szCs w:val="20"/>
                <w:color w:val="auto"/>
              </w:rPr>
            </w:pPr>
            <w:r>
              <w:rPr>
                <w:rFonts w:ascii="Arial" w:cs="Arial" w:eastAsia="Arial" w:hAnsi="Arial"/>
                <w:sz w:val="16"/>
                <w:szCs w:val="16"/>
                <w:color w:val="auto"/>
              </w:rPr>
              <w:t>2,196</w:t>
            </w: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w:t>
            </w:r>
          </w:p>
        </w:tc>
        <w:tc>
          <w:tcPr>
            <w:tcW w:w="8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ASP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178"/>
              <w:spacing w:after="0"/>
              <w:rPr>
                <w:sz w:val="20"/>
                <w:szCs w:val="20"/>
                <w:color w:val="auto"/>
              </w:rPr>
            </w:pPr>
            <w:r>
              <w:rPr>
                <w:rFonts w:ascii="Arial" w:cs="Arial" w:eastAsia="Arial" w:hAnsi="Arial"/>
                <w:sz w:val="16"/>
                <w:szCs w:val="16"/>
                <w:color w:val="auto"/>
              </w:rPr>
              <w:t>87</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-1993265</wp:posOffset>
            </wp:positionV>
            <wp:extent cx="1587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75" cy="7620"/>
                    </a:xfrm>
                    <a:prstGeom prst="rect">
                      <a:avLst/>
                    </a:prstGeom>
                    <a:noFill/>
                  </pic:spPr>
                </pic:pic>
              </a:graphicData>
            </a:graphic>
          </wp:anchor>
        </w:drawing>
      </w:r>
    </w:p>
    <w:p>
      <w:pPr>
        <w:spacing w:after="0" w:line="126" w:lineRule="exact"/>
        <w:rPr>
          <w:sz w:val="20"/>
          <w:szCs w:val="20"/>
          <w:color w:val="auto"/>
        </w:rPr>
      </w:pPr>
    </w:p>
    <w:p>
      <w:pPr>
        <w:ind w:left="2"/>
        <w:spacing w:after="0"/>
        <w:rPr>
          <w:sz w:val="20"/>
          <w:szCs w:val="20"/>
          <w:color w:val="auto"/>
        </w:rPr>
      </w:pPr>
      <w:r>
        <w:rPr>
          <w:rFonts w:ascii="Arial" w:cs="Arial" w:eastAsia="Arial" w:hAnsi="Arial"/>
          <w:sz w:val="16"/>
          <w:szCs w:val="16"/>
          <w:color w:val="auto"/>
        </w:rPr>
        <w:t>Net revenues for Fiscal 2010 increased $238.0 million, or 112.5 percent, compared to Fiscal 2009 due to the following:</w:t>
      </w:r>
    </w:p>
    <w:p>
      <w:pPr>
        <w:spacing w:after="0" w:line="12" w:lineRule="exact"/>
        <w:rPr>
          <w:sz w:val="20"/>
          <w:szCs w:val="20"/>
          <w:color w:val="auto"/>
        </w:rPr>
      </w:pPr>
    </w:p>
    <w:p>
      <w:pPr>
        <w:ind w:left="302" w:hanging="302"/>
        <w:spacing w:after="0"/>
        <w:tabs>
          <w:tab w:leader="none" w:pos="3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Volume: The primary reason for the net revenue increase was an increase of unit deliveries of 101.9 percent.</w:t>
      </w:r>
    </w:p>
    <w:p>
      <w:pPr>
        <w:spacing w:after="0" w:line="12" w:lineRule="exact"/>
        <w:rPr>
          <w:rFonts w:ascii="Arial" w:cs="Arial" w:eastAsia="Arial" w:hAnsi="Arial"/>
          <w:sz w:val="16"/>
          <w:szCs w:val="16"/>
          <w:color w:val="auto"/>
        </w:rPr>
      </w:pPr>
    </w:p>
    <w:p>
      <w:pPr>
        <w:ind w:left="302" w:right="220" w:hanging="302"/>
        <w:spacing w:after="0" w:line="256" w:lineRule="auto"/>
        <w:tabs>
          <w:tab w:leader="none" w:pos="3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Pricing and mix: Our motor home ASP increased 10.3 percent. This increase was primarily due a shift in mix of more Class A motor homes, our higher-priced products. Class A products were 55.3 percent of our volume this year compared to 37.4 percent last year. Our ASP also increased due to a significant reduction in product discounts this year due to improved market conditions.</w:t>
      </w:r>
    </w:p>
    <w:p>
      <w:pPr>
        <w:ind w:left="302" w:right="580" w:hanging="302"/>
        <w:spacing w:after="0" w:line="256" w:lineRule="auto"/>
        <w:tabs>
          <w:tab w:leader="none" w:pos="3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Promotional incentives: Our retail and other incentives decreased significantly, a decrease of 2.5 percent (as a percentage of net revenues) due to improvement in the motor home market.</w:t>
      </w:r>
    </w:p>
    <w:p>
      <w:pPr>
        <w:ind w:left="302" w:right="620" w:hanging="302"/>
        <w:spacing w:after="0" w:line="256" w:lineRule="auto"/>
        <w:tabs>
          <w:tab w:leader="none" w:pos="3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Repurchases: Our losses on repurchases of motor homes were lower than last year, also a result of improvement in the motor home market. As a percentage of net revenues, repurchase expense was 0.1 percent this year compared to 1.2 percent last year.</w:t>
      </w:r>
    </w:p>
    <w:p>
      <w:pPr>
        <w:ind w:left="302" w:hanging="302"/>
        <w:spacing w:after="0"/>
        <w:tabs>
          <w:tab w:leader="none" w:pos="3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revenue: Revenues for motor home parts and services and other manufactured products increased by 4.0 percent.</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6"/>
          <w:szCs w:val="16"/>
          <w:color w:val="auto"/>
        </w:rPr>
        <w:t>Cost of goods sold was $423.2 million, or 94.2 percent, of net revenues for Fiscal 2010 compared to $242.3 million, or 114.5 percent, of net revenues for</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Fiscal 2009 due to the following:</w:t>
      </w:r>
    </w:p>
    <w:p>
      <w:pPr>
        <w:spacing w:after="0" w:line="186"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22"/>
          </w:cols>
          <w:pgMar w:left="238" w:top="153" w:right="239" w:bottom="1440" w:gutter="0" w:footer="0" w:header="0"/>
        </w:sectPr>
      </w:pPr>
    </w:p>
    <w:bookmarkStart w:id="17" w:name="page18"/>
    <w:bookmarkEnd w:id="17"/>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8"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change in our variable costs (materials, direct labor, variable overhead, delivery expense and warranty) increased $181.4 million, which was primarily</w:t>
      </w:r>
    </w:p>
    <w:p>
      <w:pPr>
        <w:spacing w:after="0" w:line="12" w:lineRule="exact"/>
        <w:rPr>
          <w:sz w:val="20"/>
          <w:szCs w:val="20"/>
          <w:color w:val="auto"/>
        </w:rPr>
      </w:pPr>
    </w:p>
    <w:p>
      <w:pPr>
        <w:ind w:left="302" w:right="300" w:hanging="302"/>
        <w:spacing w:after="0" w:line="256" w:lineRule="auto"/>
        <w:tabs>
          <w:tab w:leader="none" w:pos="3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caused by increased sales volume. Total variable costs, as a percent of net revenues, decreased to 85.2 percent this year from 95.3 percent last year. The 10.1 percent decrease was primarily caused by decreased discounting and promotional incentives.</w:t>
      </w:r>
    </w:p>
    <w:p>
      <w:pPr>
        <w:ind w:left="302" w:right="480" w:hanging="302"/>
        <w:spacing w:after="0" w:line="256" w:lineRule="auto"/>
        <w:tabs>
          <w:tab w:leader="none" w:pos="3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variable costs were favorably impacted by $780,000, or 0.2 percent, of net revenues this year due to the reduction of the last-in, first-out (LIFO) inventory liquidation, as compared to a LIFO inventory liquidation of $7.0 million, or 3.3 percent, of net reven ues last year.</w:t>
      </w:r>
    </w:p>
    <w:p>
      <w:pPr>
        <w:ind w:left="302" w:hanging="302"/>
        <w:spacing w:after="0" w:line="256" w:lineRule="auto"/>
        <w:tabs>
          <w:tab w:leader="none" w:pos="3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8.9 percent of net revenues compared to 19.2 percent last year. This difference was due p rimarily to higher absorption of fixed costs as a result of significantly higher production volume.</w:t>
      </w:r>
    </w:p>
    <w:p>
      <w:pPr>
        <w:ind w:left="302" w:hanging="302"/>
        <w:spacing w:after="0"/>
        <w:tabs>
          <w:tab w:leader="none" w:pos="3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a gross deficit of 14.5 percent of net revenues to a gross profit of 5.8 percent of net revenues.</w:t>
      </w:r>
    </w:p>
    <w:p>
      <w:pPr>
        <w:spacing w:after="0" w:line="159"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General and administrative expenses decreased $2.3 million, or 14.9 percent, in Fiscal 2010. This decrease was due primarily to reductions in legal expenses of $1.5 million and lower depreciation expense of $500,000. As a percent of net revenues, general and administrative expenses were 2.9 percent this year compared to 7.2 percent last year. The decrease in percentage of net revenues was caused by the significant difference in revenue levels between the two fiscal periods.</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color w:val="auto"/>
        </w:rPr>
        <w:t>Asset impairment expenses of $855,000 were recorded in Fiscal 2009 as a result of the decision to close the Hampton, Iowa fiberglass manufacturing facility.</w:t>
      </w:r>
    </w:p>
    <w:p>
      <w:pPr>
        <w:spacing w:after="0" w:line="159" w:lineRule="exact"/>
        <w:rPr>
          <w:sz w:val="20"/>
          <w:szCs w:val="20"/>
          <w:color w:val="auto"/>
        </w:rPr>
      </w:pPr>
    </w:p>
    <w:p>
      <w:pPr>
        <w:jc w:val="both"/>
        <w:ind w:left="2" w:right="260"/>
        <w:spacing w:after="0" w:line="256" w:lineRule="auto"/>
        <w:rPr>
          <w:sz w:val="20"/>
          <w:szCs w:val="20"/>
          <w:color w:val="auto"/>
        </w:rPr>
      </w:pPr>
      <w:r>
        <w:rPr>
          <w:rFonts w:ascii="Arial" w:cs="Arial" w:eastAsia="Arial" w:hAnsi="Arial"/>
          <w:sz w:val="16"/>
          <w:szCs w:val="16"/>
          <w:color w:val="auto"/>
        </w:rPr>
        <w:t>Financial income decreased $1.2 million or 84.7 percent, in Fiscal 2010. Primary reasons for this decrease were increased line of credit costs of $800,000 (which included a termination fee of $375,000 paid to Wells Fargo to terminate a credit and security agreement) and lower investment income of $600,000. For further discussion of financial income, see Note 6.</w:t>
      </w:r>
    </w:p>
    <w:p>
      <w:pPr>
        <w:ind w:left="2" w:right="440"/>
        <w:spacing w:after="0" w:line="271" w:lineRule="auto"/>
        <w:rPr>
          <w:sz w:val="20"/>
          <w:szCs w:val="20"/>
          <w:color w:val="auto"/>
        </w:rPr>
      </w:pPr>
      <w:r>
        <w:rPr>
          <w:rFonts w:ascii="Arial" w:cs="Arial" w:eastAsia="Arial" w:hAnsi="Arial"/>
          <w:sz w:val="16"/>
          <w:szCs w:val="16"/>
          <w:color w:val="auto"/>
        </w:rPr>
        <w:t>The overall effective income tax rate for this year was a benefit of 1,281.0 percent compared to an expense of 35.6 percent last year. The following table breaks down the two aforementioned tax rates:</w:t>
      </w:r>
    </w:p>
    <w:p>
      <w:pPr>
        <w:spacing w:after="0" w:line="116" w:lineRule="exact"/>
        <w:rPr>
          <w:sz w:val="20"/>
          <w:szCs w:val="20"/>
          <w:color w:val="auto"/>
        </w:rPr>
      </w:pPr>
    </w:p>
    <w:tbl>
      <w:tblPr>
        <w:tblLayout w:type="fixed"/>
        <w:tblInd w:w="2"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Year Ended</w:t>
            </w:r>
          </w:p>
        </w:tc>
        <w:tc>
          <w:tcPr>
            <w:tcW w:w="1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8"/>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858"/>
              <w:spacing w:after="0"/>
              <w:rPr>
                <w:sz w:val="20"/>
                <w:szCs w:val="20"/>
                <w:color w:val="auto"/>
              </w:rPr>
            </w:pPr>
            <w:r>
              <w:rPr>
                <w:rFonts w:ascii="Arial" w:cs="Arial" w:eastAsia="Arial" w:hAnsi="Arial"/>
                <w:sz w:val="16"/>
                <w:szCs w:val="16"/>
                <w:b w:val="1"/>
                <w:bCs w:val="1"/>
                <w:color w:val="auto"/>
              </w:rPr>
              <w:t>August 28 , 2010</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598"/>
              <w:spacing w:after="0"/>
              <w:rPr>
                <w:sz w:val="20"/>
                <w:szCs w:val="20"/>
                <w:color w:val="auto"/>
              </w:rPr>
            </w:pPr>
            <w:r>
              <w:rPr>
                <w:rFonts w:ascii="Arial" w:cs="Arial" w:eastAsia="Arial" w:hAnsi="Arial"/>
                <w:sz w:val="16"/>
                <w:szCs w:val="16"/>
                <w:b w:val="1"/>
                <w:bCs w:val="1"/>
                <w:color w:val="auto"/>
              </w:rPr>
              <w:t>August 29, 2009</w:t>
            </w:r>
          </w:p>
        </w:tc>
      </w:tr>
      <w:tr>
        <w:trPr>
          <w:trHeight w:val="187"/>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20" w:type="dxa"/>
            <w:vAlign w:val="bottom"/>
          </w:tcPr>
          <w:p>
            <w:pPr>
              <w:jc w:val="right"/>
              <w:ind w:right="498"/>
              <w:spacing w:after="0"/>
              <w:rPr>
                <w:sz w:val="20"/>
                <w:szCs w:val="20"/>
                <w:color w:val="auto"/>
              </w:rPr>
            </w:pPr>
            <w:r>
              <w:rPr>
                <w:rFonts w:ascii="Arial" w:cs="Arial" w:eastAsia="Arial" w:hAnsi="Arial"/>
                <w:sz w:val="16"/>
                <w:szCs w:val="16"/>
                <w:b w:val="1"/>
                <w:bCs w:val="1"/>
                <w:color w:val="auto"/>
              </w:rPr>
              <w:t>Effective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jc w:val="right"/>
              <w:ind w:right="198"/>
              <w:spacing w:after="0"/>
              <w:rPr>
                <w:sz w:val="20"/>
                <w:szCs w:val="20"/>
                <w:color w:val="auto"/>
              </w:rPr>
            </w:pPr>
            <w:r>
              <w:rPr>
                <w:rFonts w:ascii="Arial" w:cs="Arial" w:eastAsia="Arial" w:hAnsi="Arial"/>
                <w:sz w:val="16"/>
                <w:szCs w:val="16"/>
                <w:b w:val="1"/>
                <w:bCs w:val="1"/>
                <w:color w:val="auto"/>
              </w:rPr>
              <w:t>Effective</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Amount</w:t>
            </w:r>
          </w:p>
        </w:tc>
        <w:tc>
          <w:tcPr>
            <w:tcW w:w="152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Rate (%)</w:t>
            </w:r>
          </w:p>
        </w:tc>
        <w:tc>
          <w:tcPr>
            <w:tcW w:w="148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6"/>
                <w:szCs w:val="16"/>
                <w:b w:val="1"/>
                <w:bCs w:val="1"/>
                <w:color w:val="auto"/>
              </w:rPr>
              <w:t>Amount&lt; /font&gt;</w:t>
            </w:r>
          </w:p>
        </w:tc>
        <w:tc>
          <w:tcPr>
            <w:tcW w:w="11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Rate (%)</w:t>
            </w:r>
          </w:p>
        </w:tc>
      </w:tr>
      <w:tr>
        <w:trPr>
          <w:trHeight w:val="244"/>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expense (benefit) on current operations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667</w:t>
            </w:r>
          </w:p>
        </w:tc>
        <w:tc>
          <w:tcPr>
            <w:tcW w:w="15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89.9 %</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(22,898)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39"/>
        </w:trPr>
        <w:tc>
          <w:tcPr>
            <w:tcW w:w="572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5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Decrease (Fiscal 2009 carryback)</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(5,792)</w:t>
            </w:r>
          </w:p>
        </w:tc>
        <w:tc>
          <w:tcPr>
            <w:tcW w:w="15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(780.6)%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r>
      <w:tr>
        <w:trPr>
          <w:trHeight w:val="239"/>
        </w:trPr>
        <w:tc>
          <w:tcPr>
            <w:tcW w:w="5720" w:type="dxa"/>
            <w:vAlign w:val="bottom"/>
          </w:tcPr>
          <w:p>
            <w:pPr>
              <w:ind w:left="240"/>
              <w:spacing w:after="0"/>
              <w:rPr>
                <w:sz w:val="20"/>
                <w:szCs w:val="20"/>
                <w:color w:val="auto"/>
              </w:rPr>
            </w:pPr>
            <w:r>
              <w:rPr>
                <w:rFonts w:ascii="Arial" w:cs="Arial" w:eastAsia="Arial" w:hAnsi="Arial"/>
                <w:sz w:val="16"/>
                <w:szCs w:val="16"/>
                <w:color w:val="auto"/>
              </w:rPr>
              <w:t>Increase</w:t>
            </w:r>
          </w:p>
        </w:tc>
        <w:tc>
          <w:tcPr>
            <w:tcW w:w="240" w:type="dxa"/>
            <w:vAlign w:val="bottom"/>
          </w:tcPr>
          <w:p>
            <w:pPr>
              <w:spacing w:after="0"/>
              <w:rPr>
                <w:sz w:val="20"/>
                <w:szCs w:val="20"/>
                <w:color w:val="auto"/>
              </w:rPr>
            </w:pPr>
          </w:p>
        </w:tc>
        <w:tc>
          <w:tcPr>
            <w:tcW w:w="1320" w:type="dxa"/>
            <w:vAlign w:val="bottom"/>
          </w:tcPr>
          <w:p>
            <w:pPr>
              <w:jc w:val="right"/>
              <w:ind w:right="218"/>
              <w:spacing w:after="0"/>
              <w:rPr>
                <w:sz w:val="20"/>
                <w:szCs w:val="20"/>
                <w:color w:val="auto"/>
              </w:rPr>
            </w:pPr>
            <w:r>
              <w:rPr>
                <w:rFonts w:ascii="Arial" w:cs="Arial" w:eastAsia="Arial" w:hAnsi="Arial"/>
                <w:sz w:val="16"/>
                <w:szCs w:val="16"/>
                <w:color w:val="auto"/>
              </w:rPr>
              <w:t>336</w:t>
            </w:r>
          </w:p>
        </w:tc>
        <w:tc>
          <w:tcPr>
            <w:tcW w:w="1520" w:type="dxa"/>
            <w:vAlign w:val="bottom"/>
          </w:tcPr>
          <w:p>
            <w:pPr>
              <w:jc w:val="right"/>
              <w:ind w:right="78"/>
              <w:spacing w:after="0"/>
              <w:rPr>
                <w:sz w:val="20"/>
                <w:szCs w:val="20"/>
                <w:color w:val="auto"/>
              </w:rPr>
            </w:pPr>
            <w:r>
              <w:rPr>
                <w:rFonts w:ascii="Arial" w:cs="Arial" w:eastAsia="Arial" w:hAnsi="Arial"/>
                <w:sz w:val="16"/>
                <w:szCs w:val="16"/>
                <w:color w:val="auto"/>
              </w:rPr>
              <w:t>45.3 %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38"/>
              <w:spacing w:after="0"/>
              <w:rPr>
                <w:sz w:val="20"/>
                <w:szCs w:val="20"/>
                <w:color w:val="auto"/>
              </w:rPr>
            </w:pPr>
            <w:r>
              <w:rPr>
                <w:rFonts w:ascii="Arial" w:cs="Arial" w:eastAsia="Arial" w:hAnsi="Arial"/>
                <w:sz w:val="16"/>
                <w:szCs w:val="16"/>
                <w:color w:val="auto"/>
              </w:rPr>
              <w:t>44,976</w:t>
            </w:r>
          </w:p>
        </w:tc>
        <w:tc>
          <w:tcPr>
            <w:tcW w:w="1140" w:type="dxa"/>
            <w:vAlign w:val="bottom"/>
          </w:tcPr>
          <w:p>
            <w:pPr>
              <w:jc w:val="right"/>
              <w:spacing w:after="0"/>
              <w:rPr>
                <w:sz w:val="20"/>
                <w:szCs w:val="20"/>
                <w:color w:val="auto"/>
              </w:rPr>
            </w:pPr>
            <w:r>
              <w:rPr>
                <w:rFonts w:ascii="Arial" w:cs="Arial" w:eastAsia="Arial" w:hAnsi="Arial"/>
                <w:sz w:val="16"/>
                <w:szCs w:val="16"/>
                <w:color w:val="auto"/>
              </w:rPr>
              <w:t>77.5 %</w:t>
            </w:r>
          </w:p>
        </w:tc>
      </w:tr>
      <w:tr>
        <w:trPr>
          <w:trHeight w:val="252"/>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Uncertain tax positions settlements and adjustments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(3,195)</w:t>
            </w:r>
          </w:p>
        </w:tc>
        <w:tc>
          <w:tcPr>
            <w:tcW w:w="15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(430.6)%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(500)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4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(1,521)</w:t>
            </w:r>
          </w:p>
        </w:tc>
        <w:tc>
          <w:tcPr>
            <w:tcW w:w="15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(205.0)%</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(875)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(benefit) provision for taxes</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(9,505)</w:t>
            </w:r>
          </w:p>
        </w:tc>
        <w:tc>
          <w:tcPr>
            <w:tcW w:w="15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(1,281.0)%</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20,703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35.6 %</w:t>
            </w: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Tax benefit on current operations</w:t>
      </w:r>
    </w:p>
    <w:p>
      <w:pPr>
        <w:spacing w:after="0" w:line="28" w:lineRule="exact"/>
        <w:rPr>
          <w:sz w:val="20"/>
          <w:szCs w:val="20"/>
          <w:color w:val="auto"/>
        </w:rPr>
      </w:pPr>
    </w:p>
    <w:p>
      <w:pPr>
        <w:ind w:left="2"/>
        <w:spacing w:after="0" w:line="259" w:lineRule="auto"/>
        <w:rPr>
          <w:sz w:val="20"/>
          <w:szCs w:val="20"/>
          <w:color w:val="auto"/>
        </w:rPr>
      </w:pPr>
      <w:r>
        <w:rPr>
          <w:rFonts w:ascii="Arial" w:cs="Arial" w:eastAsia="Arial" w:hAnsi="Arial"/>
          <w:sz w:val="16"/>
          <w:szCs w:val="16"/>
          <w:color w:val="auto"/>
        </w:rPr>
        <w:t>The overall effective income tax rate for Fiscal 2010 was 89.9 percent compared to the overall effective tax benefit rate of 39.5 percent for Fiscal 2009. The primary reason for the difference in the overall effective rate is the relationship between our lower pre-tax income relative to the permanent financial accounting to taxable income (loss) adjustments for this year compared to last year. Our significant permanent adjustments are tax-free income from company-owned life insurance (COLI) and student loan-related tax exempt securities which resulted in an increase to the tax benefit of $1.0 million and increased the tax benefit rate by 136.5 percent in Fiscal 2010. In Fiscal 2009, tax-free investment income resulted in a tax benefit of $1.2 million (a 2.0 percent increase in the effective benefit rate).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Valuation allowance - decrease</w:t>
      </w:r>
    </w:p>
    <w:p>
      <w:pPr>
        <w:spacing w:after="0" w:line="28" w:lineRule="exact"/>
        <w:rPr>
          <w:sz w:val="20"/>
          <w:szCs w:val="20"/>
          <w:color w:val="auto"/>
        </w:rPr>
      </w:pPr>
    </w:p>
    <w:p>
      <w:pPr>
        <w:ind w:left="2" w:right="100"/>
        <w:spacing w:after="0" w:line="259" w:lineRule="auto"/>
        <w:rPr>
          <w:sz w:val="20"/>
          <w:szCs w:val="20"/>
          <w:color w:val="auto"/>
        </w:rPr>
      </w:pPr>
      <w:r>
        <w:rPr>
          <w:rFonts w:ascii="Arial" w:cs="Arial" w:eastAsia="Arial" w:hAnsi="Arial"/>
          <w:sz w:val="16"/>
          <w:szCs w:val="16"/>
          <w:color w:val="auto"/>
        </w:rPr>
        <w:t>At the end of Fiscal 2009, we had established a valuation allowance on all deferred tax assets and net operating loss (NOL) carryforward assets associated with Fiscal 2009. During our first quarter of Fiscal 2010, the President of the United States signed into law the Worker, Homeownership, and Business Assistance Act of 2009, which expanded the carryback period from two to five years, allowing us to carryback all Fiscal 2009 NOL. During the third quarter of this year, we filed a superseding federal tax return to accelerate certain tax deductions and amended our original carryback request which resulted in an additional benefit of $1.0 million received during the fourth quarter of this year. As a result, we recorded a total tax benefit of $5.8 million and reduced the associated valuation allowance due to this beneficial tax law change.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Valuation allowance - increase</w:t>
      </w:r>
    </w:p>
    <w:p>
      <w:pPr>
        <w:spacing w:after="0" w:line="28" w:lineRule="exact"/>
        <w:rPr>
          <w:sz w:val="20"/>
          <w:szCs w:val="20"/>
          <w:color w:val="auto"/>
        </w:rPr>
      </w:pPr>
    </w:p>
    <w:p>
      <w:pPr>
        <w:ind w:left="2" w:right="160"/>
        <w:spacing w:after="0" w:line="271" w:lineRule="auto"/>
        <w:rPr>
          <w:sz w:val="20"/>
          <w:szCs w:val="20"/>
          <w:color w:val="auto"/>
        </w:rPr>
      </w:pPr>
      <w:r>
        <w:rPr>
          <w:rFonts w:ascii="Arial" w:cs="Arial" w:eastAsia="Arial" w:hAnsi="Arial"/>
          <w:sz w:val="16"/>
          <w:szCs w:val="16"/>
          <w:color w:val="auto"/>
        </w:rPr>
        <w:t>The increase in the valuation allowance of $336,000 related to Fiscal 2010 tax credits and NOL's established during the year due to taxable losses incurred. During the fourth quarter of Fiscal 2009 , we recorded a non-cash charge of $45.0</w:t>
      </w:r>
    </w:p>
    <w:p>
      <w:pPr>
        <w:spacing w:after="0" w:line="298"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22"/>
          </w:cols>
          <w:pgMar w:left="238" w:top="153" w:right="239" w:bottom="1440" w:gutter="0" w:footer="0" w:header="0"/>
        </w:sectPr>
      </w:pPr>
    </w:p>
    <w:bookmarkStart w:id="18" w:name="page19"/>
    <w:bookmarkEnd w:id="18"/>
    <w:p>
      <w:pPr>
        <w:ind w:left="26"/>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52" w:lineRule="exact"/>
        <w:rPr>
          <w:sz w:val="20"/>
          <w:szCs w:val="20"/>
          <w:color w:val="auto"/>
        </w:rPr>
      </w:pPr>
    </w:p>
    <w:p>
      <w:pPr>
        <w:ind w:left="26" w:right="40"/>
        <w:spacing w:after="0" w:line="261" w:lineRule="auto"/>
        <w:rPr>
          <w:sz w:val="20"/>
          <w:szCs w:val="20"/>
          <w:color w:val="auto"/>
        </w:rPr>
      </w:pPr>
      <w:r>
        <w:rPr>
          <w:rFonts w:ascii="Arial" w:cs="Arial" w:eastAsia="Arial" w:hAnsi="Arial"/>
          <w:sz w:val="16"/>
          <w:szCs w:val="16"/>
          <w:color w:val="auto"/>
        </w:rPr>
        <w:t xml:space="preserve">million to establish a full valuation allowance on the deferred tax assets. Accounting Standard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requires that companies asse ss whether valuation allowances should be established against their deferred tax assets based on the consideration of all available evidence, using a “more likely than 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This loss, combined with uncertain near-term market and economic conditions, reduced our ability to rely on our projections of any future taxable income in determining whether a valuation allowance is appropriate. Accordingly, we concluded that, based on ASC 740 guidelines, a full valuation allowance should be established. We will continue to assess the likelihood that our deferred tax assets will be realizable and our valuation allowance will be adjusted accordingly, which could materially impact our financial position and result s of operations. For further discussion of income taxes, see Note 10.</w:t>
      </w:r>
    </w:p>
    <w:p>
      <w:pPr>
        <w:spacing w:after="0" w:line="117" w:lineRule="exact"/>
        <w:rPr>
          <w:sz w:val="20"/>
          <w:szCs w:val="20"/>
          <w:color w:val="auto"/>
        </w:rPr>
      </w:pPr>
    </w:p>
    <w:p>
      <w:pPr>
        <w:ind w:left="26"/>
        <w:spacing w:after="0"/>
        <w:rPr>
          <w:sz w:val="20"/>
          <w:szCs w:val="20"/>
          <w:color w:val="auto"/>
        </w:rPr>
      </w:pPr>
      <w:r>
        <w:rPr>
          <w:rFonts w:ascii="Arial" w:cs="Arial" w:eastAsia="Arial" w:hAnsi="Arial"/>
          <w:sz w:val="16"/>
          <w:szCs w:val="16"/>
          <w:i w:val="1"/>
          <w:iCs w:val="1"/>
          <w:color w:val="auto"/>
        </w:rPr>
        <w:t>Uncertain tax positions settlements and adjustments</w:t>
      </w:r>
    </w:p>
    <w:p>
      <w:pPr>
        <w:spacing w:after="0" w:line="28" w:lineRule="exact"/>
        <w:rPr>
          <w:sz w:val="20"/>
          <w:szCs w:val="20"/>
          <w:color w:val="auto"/>
        </w:rPr>
      </w:pPr>
    </w:p>
    <w:p>
      <w:pPr>
        <w:ind w:left="26"/>
        <w:spacing w:after="0"/>
        <w:rPr>
          <w:sz w:val="20"/>
          <w:szCs w:val="20"/>
          <w:color w:val="auto"/>
        </w:rPr>
      </w:pPr>
      <w:r>
        <w:rPr>
          <w:rFonts w:ascii="Arial" w:cs="Arial" w:eastAsia="Arial" w:hAnsi="Arial"/>
          <w:sz w:val="16"/>
          <w:szCs w:val="16"/>
          <w:color w:val="auto"/>
        </w:rPr>
        <w:t>During Fiscal 2010, benefits of $3.2 million were recorded as a result of positive settlements of uncertain tax positions with taxing authorities and other</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adjustments to uncertain tax positions. Of this amount, $1.7 million resulted from the reduction of reserves associated with unrecognized tax benefits as a</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result of a posi tive resolution of the federal IRS tax audit on our income tax returns for Fiscal 2006 through Fiscal 2008. During Fiscal 2009, benefits of</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$500,000 were recorded as a result of favorable settlements with various taxing jurisdictions and other adjustments to uncertain tax positions. Benefits of $1.5</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million and $875,000 were recorded as a result of tax planning initiatives recognized during Fiscal 2010 and 2009 respectively. For further discussion of</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income taxes, see Note 10.</w:t>
      </w:r>
    </w:p>
    <w:p>
      <w:pPr>
        <w:spacing w:after="0" w:line="143" w:lineRule="exact"/>
        <w:rPr>
          <w:sz w:val="20"/>
          <w:szCs w:val="20"/>
          <w:color w:val="auto"/>
        </w:rPr>
      </w:pPr>
    </w:p>
    <w:p>
      <w:pPr>
        <w:ind w:left="26"/>
        <w:spacing w:after="0"/>
        <w:rPr>
          <w:sz w:val="20"/>
          <w:szCs w:val="20"/>
          <w:color w:val="auto"/>
        </w:rPr>
      </w:pPr>
      <w:r>
        <w:rPr>
          <w:rFonts w:ascii="Arial" w:cs="Arial" w:eastAsia="Arial" w:hAnsi="Arial"/>
          <w:sz w:val="16"/>
          <w:szCs w:val="16"/>
          <w:i w:val="1"/>
          <w:iCs w:val="1"/>
          <w:color w:val="auto"/>
        </w:rPr>
        <w:t>Other</w:t>
      </w:r>
    </w:p>
    <w:p>
      <w:pPr>
        <w:spacing w:after="0" w:line="28" w:lineRule="exact"/>
        <w:rPr>
          <w:sz w:val="20"/>
          <w:szCs w:val="20"/>
          <w:color w:val="auto"/>
        </w:rPr>
      </w:pPr>
    </w:p>
    <w:p>
      <w:pPr>
        <w:ind w:left="26"/>
        <w:spacing w:after="0"/>
        <w:rPr>
          <w:sz w:val="20"/>
          <w:szCs w:val="20"/>
          <w:color w:val="auto"/>
        </w:rPr>
      </w:pPr>
      <w:r>
        <w:rPr>
          <w:rFonts w:ascii="Arial" w:cs="Arial" w:eastAsia="Arial" w:hAnsi="Arial"/>
          <w:sz w:val="16"/>
          <w:szCs w:val="16"/>
          <w:color w:val="auto"/>
        </w:rPr>
        <w:t>During Fiscal 2010, the tax benefits recorded were primarily the result of filing amended state returns.</w:t>
      </w:r>
    </w:p>
    <w:p>
      <w:pPr>
        <w:spacing w:after="0" w:line="159" w:lineRule="exact"/>
        <w:rPr>
          <w:sz w:val="20"/>
          <w:szCs w:val="20"/>
          <w:color w:val="auto"/>
        </w:rPr>
      </w:pPr>
    </w:p>
    <w:p>
      <w:pPr>
        <w:ind w:left="26" w:right="140"/>
        <w:spacing w:after="0" w:line="271" w:lineRule="auto"/>
        <w:rPr>
          <w:sz w:val="20"/>
          <w:szCs w:val="20"/>
          <w:color w:val="auto"/>
        </w:rPr>
      </w:pPr>
      <w:r>
        <w:rPr>
          <w:rFonts w:ascii="Arial" w:cs="Arial" w:eastAsia="Arial" w:hAnsi="Arial"/>
          <w:sz w:val="16"/>
          <w:szCs w:val="16"/>
          <w:color w:val="auto"/>
        </w:rPr>
        <w:t>Net income and diluted income per share were $10.2 million and $0.35 per share, respectively, for Fiscal 2010. In Fiscal 2009, the net loss was $78.8 million and diluted loss was $2.71 per share.</w:t>
      </w:r>
    </w:p>
    <w:p>
      <w:pPr>
        <w:spacing w:after="0" w:line="104"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Fiscal 2009 Compared to Fiscal 2008</w:t>
      </w:r>
    </w:p>
    <w:p>
      <w:pPr>
        <w:spacing w:after="0" w:line="179" w:lineRule="exact"/>
        <w:rPr>
          <w:sz w:val="20"/>
          <w:szCs w:val="20"/>
          <w:color w:val="auto"/>
        </w:rPr>
      </w:pPr>
    </w:p>
    <w:p>
      <w:pPr>
        <w:ind w:left="26" w:right="80"/>
        <w:spacing w:after="0" w:line="271"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29, 2009 compared to the fiscal year ended August 30, 2008:</w:t>
      </w:r>
    </w:p>
    <w:p>
      <w:pPr>
        <w:spacing w:after="0" w:line="116" w:lineRule="exact"/>
        <w:rPr>
          <w:sz w:val="20"/>
          <w:szCs w:val="20"/>
          <w:color w:val="auto"/>
        </w:rPr>
      </w:pPr>
    </w:p>
    <w:tbl>
      <w:tblPr>
        <w:tblLayout w:type="fixed"/>
        <w:tblInd w:w="26"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w w:val="98"/>
              </w:rPr>
              <w:t xml:space="preserve">Year Ended </w:t>
            </w:r>
            <w:r>
              <w:rPr>
                <w:rFonts w:ascii="Arial" w:cs="Arial" w:eastAsia="Arial" w:hAnsi="Arial"/>
                <w:sz w:val="19"/>
                <w:szCs w:val="19"/>
                <w:b w:val="1"/>
                <w:bCs w:val="1"/>
                <w:color w:val="auto"/>
                <w:w w:val="98"/>
                <w:vertAlign w:val="superscript"/>
              </w:rPr>
              <w:t>(1)</w:t>
            </w: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80"/>
        </w:trPr>
        <w:tc>
          <w:tcPr>
            <w:tcW w:w="2980" w:type="dxa"/>
            <w:vAlign w:val="bottom"/>
          </w:tcPr>
          <w:p>
            <w:pPr>
              <w:ind w:left="20"/>
              <w:spacing w:after="0" w:line="180" w:lineRule="exact"/>
              <w:rPr>
                <w:sz w:val="20"/>
                <w:szCs w:val="20"/>
                <w:color w:val="auto"/>
              </w:rPr>
            </w:pPr>
            <w:r>
              <w:rPr>
                <w:rFonts w:ascii="Arial" w:cs="Arial" w:eastAsia="Arial" w:hAnsi="Arial"/>
                <w:sz w:val="16"/>
                <w:szCs w:val="16"/>
                <w:b w:val="1"/>
                <w:bCs w:val="1"/>
                <w:color w:val="auto"/>
              </w:rPr>
              <w:t>(In thousands, except percent and</w:t>
            </w:r>
          </w:p>
        </w:tc>
        <w:tc>
          <w:tcPr>
            <w:tcW w:w="160" w:type="dxa"/>
            <w:vAlign w:val="bottom"/>
          </w:tcPr>
          <w:p>
            <w:pPr>
              <w:spacing w:after="0"/>
              <w:rPr>
                <w:sz w:val="15"/>
                <w:szCs w:val="15"/>
                <w:color w:val="auto"/>
              </w:rPr>
            </w:pPr>
          </w:p>
        </w:tc>
        <w:tc>
          <w:tcPr>
            <w:tcW w:w="1120" w:type="dxa"/>
            <w:vAlign w:val="bottom"/>
          </w:tcPr>
          <w:p>
            <w:pPr>
              <w:jc w:val="right"/>
              <w:ind w:right="138"/>
              <w:spacing w:after="0" w:line="180" w:lineRule="exact"/>
              <w:rPr>
                <w:sz w:val="20"/>
                <w:szCs w:val="20"/>
                <w:color w:val="auto"/>
              </w:rPr>
            </w:pPr>
            <w:r>
              <w:rPr>
                <w:rFonts w:ascii="Arial" w:cs="Arial" w:eastAsia="Arial" w:hAnsi="Arial"/>
                <w:sz w:val="16"/>
                <w:szCs w:val="16"/>
                <w:b w:val="1"/>
                <w:bCs w:val="1"/>
                <w:color w:val="auto"/>
              </w:rPr>
              <w:t>August 29,</w:t>
            </w:r>
          </w:p>
        </w:tc>
        <w:tc>
          <w:tcPr>
            <w:tcW w:w="2020" w:type="dxa"/>
            <w:vAlign w:val="bottom"/>
          </w:tcPr>
          <w:p>
            <w:pPr>
              <w:jc w:val="right"/>
              <w:ind w:right="758"/>
              <w:spacing w:after="0" w:line="180" w:lineRule="exact"/>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5"/>
                <w:szCs w:val="15"/>
                <w:color w:val="auto"/>
              </w:rPr>
            </w:pPr>
          </w:p>
        </w:tc>
        <w:tc>
          <w:tcPr>
            <w:tcW w:w="1320" w:type="dxa"/>
            <w:vAlign w:val="bottom"/>
            <w:gridSpan w:val="2"/>
          </w:tcPr>
          <w:p>
            <w:pPr>
              <w:ind w:left="60"/>
              <w:spacing w:after="0" w:line="180" w:lineRule="exact"/>
              <w:rPr>
                <w:sz w:val="20"/>
                <w:szCs w:val="20"/>
                <w:color w:val="auto"/>
              </w:rPr>
            </w:pPr>
            <w:r>
              <w:rPr>
                <w:rFonts w:ascii="Arial" w:cs="Arial" w:eastAsia="Arial" w:hAnsi="Arial"/>
                <w:sz w:val="16"/>
                <w:szCs w:val="16"/>
                <w:b w:val="1"/>
                <w:bCs w:val="1"/>
                <w:color w:val="auto"/>
              </w:rPr>
              <w:t>August 30,</w:t>
            </w:r>
          </w:p>
        </w:tc>
        <w:tc>
          <w:tcPr>
            <w:tcW w:w="1300" w:type="dxa"/>
            <w:vAlign w:val="bottom"/>
            <w:gridSpan w:val="3"/>
          </w:tcPr>
          <w:p>
            <w:pPr>
              <w:jc w:val="right"/>
              <w:ind w:right="578"/>
              <w:spacing w:after="0" w:line="180" w:lineRule="exact"/>
              <w:rPr>
                <w:sz w:val="20"/>
                <w:szCs w:val="20"/>
                <w:color w:val="auto"/>
              </w:rPr>
            </w:pPr>
            <w:r>
              <w:rPr>
                <w:rFonts w:ascii="Arial" w:cs="Arial" w:eastAsia="Arial" w:hAnsi="Arial"/>
                <w:sz w:val="16"/>
                <w:szCs w:val="16"/>
                <w:b w:val="1"/>
                <w:bCs w:val="1"/>
                <w:color w:val="auto"/>
              </w:rPr>
              <w:t>% of</w:t>
            </w:r>
          </w:p>
        </w:tc>
        <w:tc>
          <w:tcPr>
            <w:tcW w:w="1240" w:type="dxa"/>
            <w:vAlign w:val="bottom"/>
          </w:tcPr>
          <w:p>
            <w:pPr>
              <w:jc w:val="right"/>
              <w:ind w:right="278"/>
              <w:spacing w:after="0" w:line="180" w:lineRule="exact"/>
              <w:rPr>
                <w:sz w:val="20"/>
                <w:szCs w:val="20"/>
                <w:color w:val="auto"/>
              </w:rPr>
            </w:pPr>
            <w:r>
              <w:rPr>
                <w:rFonts w:ascii="Arial" w:cs="Arial" w:eastAsia="Arial" w:hAnsi="Arial"/>
                <w:sz w:val="16"/>
                <w:szCs w:val="16"/>
                <w:b w:val="1"/>
                <w:bCs w:val="1"/>
                <w:color w:val="auto"/>
              </w:rPr>
              <w:t>(Decrease)</w:t>
            </w:r>
          </w:p>
        </w:tc>
        <w:tc>
          <w:tcPr>
            <w:tcW w:w="1120" w:type="dxa"/>
            <w:vAlign w:val="bottom"/>
          </w:tcPr>
          <w:p>
            <w:pPr>
              <w:jc w:val="right"/>
              <w:ind w:right="458"/>
              <w:spacing w:after="0" w:line="180" w:lineRule="exact"/>
              <w:rPr>
                <w:sz w:val="20"/>
                <w:szCs w:val="20"/>
                <w:color w:val="auto"/>
              </w:rPr>
            </w:pPr>
            <w:r>
              <w:rPr>
                <w:rFonts w:ascii="Arial" w:cs="Arial" w:eastAsia="Arial" w:hAnsi="Arial"/>
                <w:sz w:val="16"/>
                <w:szCs w:val="16"/>
                <w:b w:val="1"/>
                <w:bCs w:val="1"/>
                <w:color w:val="auto"/>
              </w:rPr>
              <w:t>%</w:t>
            </w:r>
          </w:p>
        </w:tc>
      </w:tr>
      <w:tr>
        <w:trPr>
          <w:trHeight w:val="22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 share data)</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2009</w:t>
            </w:r>
          </w:p>
        </w:tc>
        <w:tc>
          <w:tcPr>
            <w:tcW w:w="20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Revenues</w:t>
            </w:r>
            <w:r>
              <w:rPr>
                <w:rFonts w:ascii="Arial" w:cs="Arial" w:eastAsia="Arial" w:hAnsi="Arial"/>
                <w:sz w:val="19"/>
                <w:szCs w:val="19"/>
                <w:b w:val="1"/>
                <w:bCs w:val="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2008</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6"/>
                <w:szCs w:val="16"/>
                <w:b w:val="1"/>
                <w:bCs w:val="1"/>
                <w:color w:val="auto"/>
                <w:w w:val="98"/>
              </w:rPr>
              <w:t>Revenues</w:t>
            </w:r>
            <w:r>
              <w:rPr>
                <w:rFonts w:ascii="Arial" w:cs="Arial" w:eastAsia="Arial" w:hAnsi="Arial"/>
                <w:sz w:val="19"/>
                <w:szCs w:val="19"/>
                <w:b w:val="1"/>
                <w:bCs w:val="1"/>
                <w:color w:val="auto"/>
                <w:w w:val="98"/>
                <w:vertAlign w:val="superscript"/>
              </w:rPr>
              <w:t>(2)</w:t>
            </w:r>
          </w:p>
        </w:tc>
        <w:tc>
          <w:tcPr>
            <w:tcW w:w="12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Increase</w:t>
            </w:r>
          </w:p>
        </w:tc>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Change</w:t>
            </w:r>
          </w:p>
        </w:tc>
      </w:tr>
      <w:tr>
        <w:trPr>
          <w:trHeight w:val="18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/td&gt;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211,519</w:t>
            </w:r>
          </w:p>
        </w:tc>
        <w:tc>
          <w:tcPr>
            <w:tcW w:w="2020" w:type="dxa"/>
            <w:vAlign w:val="bottom"/>
            <w:shd w:val="clear" w:color="auto" w:fill="CCEEFF"/>
          </w:tcPr>
          <w:p>
            <w:pPr>
              <w:jc w:val="right"/>
              <w:ind w:right="738"/>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604,352</w:t>
            </w:r>
          </w:p>
        </w:tc>
        <w:tc>
          <w:tcPr>
            <w:tcW w:w="2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12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(392,833)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39"/>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242,265</w:t>
            </w:r>
          </w:p>
        </w:tc>
        <w:tc>
          <w:tcPr>
            <w:tcW w:w="202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color w:val="auto"/>
              </w:rPr>
              <w:t>114.5 %</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569,580</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94.2 %</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(327,315)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r>
      <w:tr>
        <w:trPr>
          <w:trHeight w:val="225"/>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(deficit) profit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(30,746)</w:t>
            </w:r>
          </w:p>
        </w:tc>
        <w:tc>
          <w:tcPr>
            <w:tcW w:w="20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6"/>
                <w:szCs w:val="16"/>
                <w:color w:val="auto"/>
              </w:rPr>
              <w:t>(14.5)%</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34,772</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(65,518)</w:t>
            </w:r>
          </w:p>
        </w:tc>
        <w:tc>
          <w:tcPr>
            <w:tcW w:w="11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NMF</w:t>
            </w:r>
          </w:p>
        </w:tc>
      </w:tr>
      <w:tr>
        <w:trPr>
          <w:trHeight w:val="219"/>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778"/>
              <w:spacing w:after="0"/>
              <w:rPr>
                <w:sz w:val="20"/>
                <w:szCs w:val="20"/>
                <w:color w:val="auto"/>
              </w:rPr>
            </w:pPr>
            <w:r>
              <w:rPr>
                <w:rFonts w:ascii="Arial" w:cs="Arial" w:eastAsia="Arial" w:hAnsi="Arial"/>
                <w:sz w:val="16"/>
                <w:szCs w:val="16"/>
                <w:color w:val="auto"/>
              </w:rPr>
              <w:t>&lt; /div&gt;</w:t>
            </w:r>
          </w:p>
        </w:tc>
        <w:tc>
          <w:tcPr>
            <w:tcW w:w="1120" w:type="dxa"/>
            <w:vAlign w:val="bottom"/>
          </w:tcPr>
          <w:p>
            <w:pPr>
              <w:spacing w:after="0"/>
              <w:rPr>
                <w:sz w:val="19"/>
                <w:szCs w:val="19"/>
                <w:color w:val="auto"/>
              </w:rPr>
            </w:pPr>
          </w:p>
        </w:tc>
      </w:tr>
      <w:tr>
        <w:trPr>
          <w:trHeight w:val="26"/>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12,616</w:t>
            </w:r>
          </w:p>
        </w:tc>
        <w:tc>
          <w:tcPr>
            <w:tcW w:w="2020" w:type="dxa"/>
            <w:vAlign w:val="bottom"/>
            <w:shd w:val="clear" w:color="auto" w:fill="CCEEFF"/>
          </w:tcPr>
          <w:p>
            <w:pPr>
              <w:jc w:val="right"/>
              <w:ind w:right="738"/>
              <w:spacing w:after="0"/>
              <w:rPr>
                <w:sz w:val="20"/>
                <w:szCs w:val="20"/>
                <w:color w:val="auto"/>
              </w:rPr>
            </w:pPr>
            <w:r>
              <w:rPr>
                <w:rFonts w:ascii="Arial" w:cs="Arial" w:eastAsia="Arial" w:hAnsi="Arial"/>
                <w:sz w:val="16"/>
                <w:szCs w:val="16"/>
                <w:color w:val="auto"/>
              </w:rPr>
              <w:t>6.0 %</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18,482</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tcPr>
          <w:p>
            <w:pPr>
              <w:jc w:val="right"/>
              <w:ind w:right="98"/>
              <w:spacing w:after="0"/>
              <w:rPr>
                <w:sz w:val="20"/>
                <w:szCs w:val="20"/>
                <w:color w:val="auto"/>
              </w:rPr>
            </w:pPr>
            <w:r>
              <w:rPr>
                <w:rFonts w:ascii="Arial" w:cs="Arial" w:eastAsia="Arial" w:hAnsi="Arial"/>
                <w:sz w:val="16"/>
                <w:szCs w:val="16"/>
                <w:color w:val="auto"/>
              </w:rPr>
              <w:t>(5,866)</w:t>
            </w:r>
          </w:p>
        </w:tc>
        <w:tc>
          <w:tcPr>
            <w:tcW w:w="112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08"/>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20" w:type="dxa"/>
            <w:vAlign w:val="bottom"/>
          </w:tcPr>
          <w:p>
            <w:pPr>
              <w:ind w:left="1000"/>
              <w:spacing w:after="0"/>
              <w:rPr>
                <w:sz w:val="20"/>
                <w:szCs w:val="20"/>
                <w:color w:val="auto"/>
              </w:rPr>
            </w:pPr>
            <w:r>
              <w:rPr>
                <w:rFonts w:ascii="Arial" w:cs="Arial" w:eastAsia="Arial" w:hAnsi="Arial"/>
                <w:sz w:val="16"/>
                <w:szCs w:val="16"/>
                <w:color w:val="auto"/>
              </w:rPr>
              <w:t>&lt; div</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tcPr>
          <w:p>
            <w:pPr>
              <w:ind w:left="1000"/>
              <w:spacing w:after="0"/>
              <w:rPr>
                <w:sz w:val="20"/>
                <w:szCs w:val="20"/>
                <w:color w:val="auto"/>
              </w:rPr>
            </w:pPr>
            <w:r>
              <w:rPr>
                <w:rFonts w:ascii="Arial" w:cs="Arial" w:eastAsia="Arial" w:hAnsi="Arial"/>
                <w:sz w:val="16"/>
                <w:szCs w:val="16"/>
                <w:color w:val="auto"/>
              </w:rPr>
              <w:t>style="text-</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tcPr>
          <w:p>
            <w:pPr>
              <w:ind w:left="1000"/>
              <w:spacing w:after="0"/>
              <w:rPr>
                <w:sz w:val="20"/>
                <w:szCs w:val="20"/>
                <w:color w:val="auto"/>
              </w:rPr>
            </w:pPr>
            <w:r>
              <w:rPr>
                <w:rFonts w:ascii="Arial" w:cs="Arial" w:eastAsia="Arial" w:hAnsi="Arial"/>
                <w:sz w:val="16"/>
                <w:szCs w:val="16"/>
                <w:color w:val="auto"/>
              </w:rPr>
              <w:t>align:left;font-</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298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15,298</w:t>
            </w:r>
          </w:p>
        </w:tc>
        <w:tc>
          <w:tcPr>
            <w:tcW w:w="2020" w:type="dxa"/>
            <w:vAlign w:val="bottom"/>
          </w:tcPr>
          <w:p>
            <w:pPr>
              <w:jc w:val="right"/>
              <w:spacing w:after="0"/>
              <w:rPr>
                <w:sz w:val="20"/>
                <w:szCs w:val="20"/>
                <w:color w:val="auto"/>
              </w:rPr>
            </w:pPr>
            <w:r>
              <w:rPr>
                <w:rFonts w:ascii="Arial" w:cs="Arial" w:eastAsia="Arial" w:hAnsi="Arial"/>
                <w:sz w:val="16"/>
                <w:szCs w:val="16"/>
                <w:color w:val="auto"/>
              </w:rPr>
              <w:t>7.2size:10pt;"&gt; %</w:t>
            </w:r>
          </w:p>
        </w:tc>
        <w:tc>
          <w:tcPr>
            <w:tcW w:w="16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21,359</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60" w:type="dxa"/>
            <w:vAlign w:val="bottom"/>
          </w:tcPr>
          <w:p>
            <w:pPr>
              <w:spacing w:after="0"/>
              <w:rPr>
                <w:sz w:val="19"/>
                <w:szCs w:val="19"/>
                <w:color w:val="auto"/>
              </w:rPr>
            </w:pPr>
          </w:p>
        </w:tc>
        <w:tc>
          <w:tcPr>
            <w:tcW w:w="1240" w:type="dxa"/>
            <w:vAlign w:val="bottom"/>
          </w:tcPr>
          <w:p>
            <w:pPr>
              <w:jc w:val="right"/>
              <w:ind w:right="98"/>
              <w:spacing w:after="0"/>
              <w:rPr>
                <w:sz w:val="20"/>
                <w:szCs w:val="20"/>
                <w:color w:val="auto"/>
              </w:rPr>
            </w:pPr>
            <w:r>
              <w:rPr>
                <w:rFonts w:ascii="Arial" w:cs="Arial" w:eastAsia="Arial" w:hAnsi="Arial"/>
                <w:sz w:val="16"/>
                <w:szCs w:val="16"/>
                <w:color w:val="auto"/>
              </w:rPr>
              <w:t>(6,061)</w:t>
            </w:r>
          </w:p>
        </w:tc>
        <w:tc>
          <w:tcPr>
            <w:tcW w:w="11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4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855</w:t>
            </w:r>
          </w:p>
        </w:tc>
        <w:tc>
          <w:tcPr>
            <w:tcW w:w="20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6"/>
                <w:szCs w:val="16"/>
                <w:color w:val="auto"/>
              </w:rPr>
              <w:t>0.4 %</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4,686</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(3,831)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r>
      <w:tr>
        <w:trPr>
          <w:trHeight w:val="219"/>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28,769</w:t>
            </w:r>
          </w:p>
        </w:tc>
        <w:tc>
          <w:tcPr>
            <w:tcW w:w="202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color w:val="auto"/>
              </w:rPr>
              <w:t>13.6 %</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44,527</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7.4 %</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(15,758)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r>
      <w:tr>
        <w:trPr>
          <w:trHeight w:val="244"/>
        </w:trPr>
        <w:tc>
          <w:tcPr>
            <w:tcW w:w="2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6"/>
        </w:trPr>
        <w:tc>
          <w:tcPr>
            <w:tcW w:w="298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(59,515)</w:t>
            </w:r>
          </w:p>
        </w:tc>
        <w:tc>
          <w:tcPr>
            <w:tcW w:w="2020" w:type="dxa"/>
            <w:vAlign w:val="bottom"/>
          </w:tcPr>
          <w:p>
            <w:pPr>
              <w:jc w:val="right"/>
              <w:ind w:right="738"/>
              <w:spacing w:after="0"/>
              <w:rPr>
                <w:sz w:val="20"/>
                <w:szCs w:val="20"/>
                <w:color w:val="auto"/>
              </w:rPr>
            </w:pPr>
            <w:r>
              <w:rPr>
                <w:rFonts w:ascii="Arial" w:cs="Arial" w:eastAsia="Arial" w:hAnsi="Arial"/>
                <w:sz w:val="16"/>
                <w:szCs w:val="16"/>
                <w:color w:val="auto"/>
              </w:rPr>
              <w:t>(28.1)%</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(9,755)</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9"/>
                <w:szCs w:val="19"/>
                <w:color w:val="auto"/>
              </w:rPr>
            </w:pPr>
          </w:p>
        </w:tc>
        <w:tc>
          <w:tcPr>
            <w:tcW w:w="1240" w:type="dxa"/>
            <w:vAlign w:val="bottom"/>
          </w:tcPr>
          <w:p>
            <w:pPr>
              <w:jc w:val="right"/>
              <w:ind w:right="98"/>
              <w:spacing w:after="0"/>
              <w:rPr>
                <w:sz w:val="20"/>
                <w:szCs w:val="20"/>
                <w:color w:val="auto"/>
              </w:rPr>
            </w:pPr>
            <w:r>
              <w:rPr>
                <w:rFonts w:ascii="Arial" w:cs="Arial" w:eastAsia="Arial" w:hAnsi="Arial"/>
                <w:sz w:val="16"/>
                <w:szCs w:val="16"/>
                <w:color w:val="auto"/>
              </w:rPr>
              <w:t>(49,760)</w:t>
            </w: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NMF</w:t>
            </w:r>
          </w:p>
        </w:tc>
      </w:tr>
      <w:tr>
        <w:trPr>
          <w:trHeight w:val="25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income</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1,452</w:t>
            </w:r>
          </w:p>
        </w:tc>
        <w:tc>
          <w:tcPr>
            <w:tcW w:w="20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6"/>
                <w:szCs w:val="16"/>
                <w:color w:val="auto"/>
              </w:rPr>
              <w:t>0.7 %</w:t>
            </w:r>
          </w:p>
        </w:tc>
        <w:tc>
          <w:tcPr>
            <w:tcW w:w="12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4,314</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(2,862)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r>
      <w:tr>
        <w:trPr>
          <w:trHeight w:val="219"/>
        </w:trPr>
        <w:tc>
          <w:tcPr>
            <w:tcW w:w="2980" w:type="dxa"/>
            <w:vAlign w:val="bottom"/>
          </w:tcPr>
          <w:p>
            <w:pPr>
              <w:ind w:left="20"/>
              <w:spacing w:after="0"/>
              <w:rPr>
                <w:sz w:val="20"/>
                <w:szCs w:val="20"/>
                <w:color w:val="auto"/>
              </w:rPr>
            </w:pPr>
            <w:r>
              <w:rPr>
                <w:rFonts w:ascii="Arial" w:cs="Arial" w:eastAsia="Arial" w:hAnsi="Arial"/>
                <w:sz w:val="16"/>
                <w:szCs w:val="16"/>
                <w:color w:val="auto"/>
              </w:rPr>
              <w:t>Pre-tax loss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(58,063)</w:t>
            </w:r>
          </w:p>
        </w:tc>
        <w:tc>
          <w:tcPr>
            <w:tcW w:w="2020" w:type="dxa"/>
            <w:vAlign w:val="bottom"/>
          </w:tcPr>
          <w:p>
            <w:pPr>
              <w:jc w:val="right"/>
              <w:ind w:right="738"/>
              <w:spacing w:after="0"/>
              <w:rPr>
                <w:sz w:val="20"/>
                <w:szCs w:val="20"/>
                <w:color w:val="auto"/>
              </w:rPr>
            </w:pPr>
            <w:r>
              <w:rPr>
                <w:rFonts w:ascii="Arial" w:cs="Arial" w:eastAsia="Arial" w:hAnsi="Arial"/>
                <w:sz w:val="16"/>
                <w:szCs w:val="16"/>
                <w:color w:val="auto"/>
              </w:rPr>
              <w:t>(27.5)%</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(5,441)</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160" w:type="dxa"/>
            <w:vAlign w:val="bottom"/>
          </w:tcPr>
          <w:p>
            <w:pPr>
              <w:spacing w:after="0"/>
              <w:rPr>
                <w:sz w:val="19"/>
                <w:szCs w:val="19"/>
                <w:color w:val="auto"/>
              </w:rPr>
            </w:pPr>
          </w:p>
        </w:tc>
        <w:tc>
          <w:tcPr>
            <w:tcW w:w="1240" w:type="dxa"/>
            <w:vAlign w:val="bottom"/>
          </w:tcPr>
          <w:p>
            <w:pPr>
              <w:jc w:val="right"/>
              <w:ind w:right="98"/>
              <w:spacing w:after="0"/>
              <w:rPr>
                <w:sz w:val="20"/>
                <w:szCs w:val="20"/>
                <w:color w:val="auto"/>
              </w:rPr>
            </w:pPr>
            <w:r>
              <w:rPr>
                <w:rFonts w:ascii="Arial" w:cs="Arial" w:eastAsia="Arial" w:hAnsi="Arial"/>
                <w:sz w:val="16"/>
                <w:szCs w:val="16"/>
                <w:color w:val="auto"/>
              </w:rPr>
              <w:t>(52,622)</w:t>
            </w:r>
          </w:p>
        </w:tc>
        <w:tc>
          <w:tcPr>
            <w:tcW w:w="1120" w:type="dxa"/>
            <w:vAlign w:val="bottom"/>
          </w:tcPr>
          <w:p>
            <w:pPr>
              <w:jc w:val="right"/>
              <w:ind w:right="158"/>
              <w:spacing w:after="0"/>
              <w:rPr>
                <w:sz w:val="20"/>
                <w:szCs w:val="20"/>
                <w:color w:val="auto"/>
              </w:rPr>
            </w:pPr>
            <w:r>
              <w:rPr>
                <w:rFonts w:ascii="Arial" w:cs="Arial" w:eastAsia="Arial" w:hAnsi="Arial"/>
                <w:sz w:val="16"/>
                <w:szCs w:val="16"/>
                <w:color w:val="auto"/>
              </w:rPr>
              <w:t>NMF</w:t>
            </w:r>
          </w:p>
        </w:tc>
      </w:tr>
      <w:tr>
        <w:trPr>
          <w:trHeight w:val="245"/>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taxes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20,703</w:t>
            </w:r>
          </w:p>
        </w:tc>
        <w:tc>
          <w:tcPr>
            <w:tcW w:w="20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6"/>
                <w:szCs w:val="16"/>
                <w:color w:val="auto"/>
              </w:rPr>
              <w:t>9.8 %</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(8,225)</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28,928</w:t>
            </w:r>
          </w:p>
        </w:tc>
        <w:tc>
          <w:tcPr>
            <w:tcW w:w="11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NMF</w:t>
            </w:r>
          </w:p>
        </w:tc>
      </w:tr>
      <w:tr>
        <w:trPr>
          <w:trHeight w:val="271"/>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(78,766)</w:t>
            </w:r>
          </w:p>
        </w:tc>
        <w:tc>
          <w:tcPr>
            <w:tcW w:w="202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color w:val="auto"/>
              </w:rPr>
              <w:t>(37.2)%</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2,784</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0.5 % $</w:t>
            </w: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(81,550)</w:t>
            </w:r>
          </w:p>
        </w:tc>
        <w:tc>
          <w:tcPr>
            <w:tcW w:w="11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NMF</w:t>
            </w: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(loss) income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0.10</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360" w:type="dxa"/>
            <w:vAlign w:val="bottom"/>
            <w:gridSpan w:val="2"/>
            <w:shd w:val="clear" w:color="auto" w:fill="CCEEFF"/>
          </w:tcPr>
          <w:p>
            <w:pPr>
              <w:jc w:val="right"/>
              <w:ind w:right="798"/>
              <w:spacing w:after="0"/>
              <w:rPr>
                <w:sz w:val="20"/>
                <w:szCs w:val="20"/>
                <w:color w:val="auto"/>
              </w:rPr>
            </w:pPr>
            <w:r>
              <w:rPr>
                <w:rFonts w:ascii="Arial" w:cs="Arial" w:eastAsia="Arial" w:hAnsi="Arial"/>
                <w:sz w:val="16"/>
                <w:szCs w:val="16"/>
                <w:color w:val="auto"/>
              </w:rPr>
              <w:t>(2.81) NMF</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tcPr>
          <w:p>
            <w:pPr>
              <w:spacing w:after="0"/>
              <w:rPr>
                <w:sz w:val="18"/>
                <w:szCs w:val="18"/>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29,051</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29,144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98"/>
              <w:spacing w:after="0"/>
              <w:rPr>
                <w:sz w:val="20"/>
                <w:szCs w:val="20"/>
                <w:color w:val="auto"/>
              </w:rPr>
            </w:pPr>
            <w:r>
              <w:rPr>
                <w:rFonts w:ascii="Arial" w:cs="Arial" w:eastAsia="Arial" w:hAnsi="Arial"/>
                <w:sz w:val="16"/>
                <w:szCs w:val="16"/>
                <w:color w:val="auto"/>
              </w:rPr>
              <w:t>(93)</w:t>
            </w: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-2257425</wp:posOffset>
            </wp:positionV>
            <wp:extent cx="1464310" cy="147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4310" cy="1479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635</wp:posOffset>
            </wp:positionV>
            <wp:extent cx="5366385"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66385" cy="23495"/>
                    </a:xfrm>
                    <a:prstGeom prst="rect">
                      <a:avLst/>
                    </a:prstGeom>
                    <a:noFill/>
                  </pic:spPr>
                </pic:pic>
              </a:graphicData>
            </a:graphic>
          </wp:anchor>
        </w:drawing>
      </w:r>
    </w:p>
    <w:p>
      <w:pPr>
        <w:spacing w:after="0" w:line="20" w:lineRule="exact"/>
        <w:rPr>
          <w:sz w:val="20"/>
          <w:szCs w:val="20"/>
          <w:color w:val="auto"/>
        </w:rPr>
      </w:pPr>
    </w:p>
    <w:p>
      <w:pPr>
        <w:ind w:left="246" w:hanging="246"/>
        <w:spacing w:after="0"/>
        <w:tabs>
          <w:tab w:leader="none" w:pos="246" w:val="left"/>
        </w:tabs>
        <w:numPr>
          <w:ilvl w:val="0"/>
          <w:numId w:val="13"/>
        </w:numPr>
        <w:rPr>
          <w:rFonts w:ascii="Arial" w:cs="Arial" w:eastAsia="Arial" w:hAnsi="Arial"/>
          <w:sz w:val="8"/>
          <w:szCs w:val="8"/>
          <w:color w:val="auto"/>
        </w:rPr>
      </w:pPr>
      <w:r>
        <w:rPr>
          <w:rFonts w:ascii="Arial" w:cs="Arial" w:eastAsia="Arial" w:hAnsi="Arial"/>
          <w:sz w:val="13"/>
          <w:szCs w:val="13"/>
          <w:color w:val="auto"/>
        </w:rPr>
        <w:t>Fiscal year ended August 29, 2009 contained 52 weeks; fiscal year ended August 30, 2008 contained 53 weeks.</w:t>
      </w:r>
    </w:p>
    <w:p>
      <w:pPr>
        <w:ind w:left="246" w:hanging="246"/>
        <w:spacing w:after="0"/>
        <w:tabs>
          <w:tab w:leader="none" w:pos="246" w:val="left"/>
        </w:tabs>
        <w:numPr>
          <w:ilvl w:val="0"/>
          <w:numId w:val="13"/>
        </w:numPr>
        <w:rPr>
          <w:rFonts w:ascii="Arial" w:cs="Arial" w:eastAsia="Arial" w:hAnsi="Arial"/>
          <w:sz w:val="8"/>
          <w:szCs w:val="8"/>
          <w:color w:val="auto"/>
        </w:rPr>
      </w:pPr>
      <w:r>
        <w:rPr>
          <w:rFonts w:ascii="Arial" w:cs="Arial" w:eastAsia="Arial" w:hAnsi="Arial"/>
          <w:sz w:val="13"/>
          <w:szCs w:val="13"/>
          <w:color w:val="auto"/>
        </w:rPr>
        <w:t>Percentages may not add due to rounding differences.</w:t>
      </w:r>
    </w:p>
    <w:p>
      <w:pPr>
        <w:spacing w:after="0" w:line="314"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46"/>
          </w:cols>
          <w:pgMar w:left="214" w:top="153" w:right="239" w:bottom="1440" w:gutter="0" w:footer="0" w:header="0"/>
        </w:sectPr>
      </w:pPr>
    </w:p>
    <w:bookmarkStart w:id="19" w:name="page20"/>
    <w:bookmarkEnd w:id="19"/>
    <w:p>
      <w:pPr>
        <w:ind w:left="26"/>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56" w:lineRule="exact"/>
        <w:rPr>
          <w:sz w:val="20"/>
          <w:szCs w:val="20"/>
          <w:color w:val="auto"/>
        </w:rPr>
      </w:pPr>
    </w:p>
    <w:p>
      <w:pPr>
        <w:ind w:left="26"/>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15" w:lineRule="exact"/>
        <w:rPr>
          <w:sz w:val="20"/>
          <w:szCs w:val="20"/>
          <w:color w:val="auto"/>
        </w:rPr>
      </w:pPr>
    </w:p>
    <w:p>
      <w:pPr>
        <w:jc w:val="center"/>
        <w:ind w:right="4494"/>
        <w:spacing w:after="0"/>
        <w:rPr>
          <w:sz w:val="20"/>
          <w:szCs w:val="20"/>
          <w:color w:val="auto"/>
        </w:rPr>
      </w:pPr>
      <w:r>
        <w:rPr>
          <w:rFonts w:ascii="Arial" w:cs="Arial" w:eastAsia="Arial" w:hAnsi="Arial"/>
          <w:sz w:val="16"/>
          <w:szCs w:val="16"/>
          <w:b w:val="1"/>
          <w:bCs w:val="1"/>
          <w:color w:val="auto"/>
        </w:rPr>
        <w:t>Year</w:t>
      </w:r>
    </w:p>
    <w:p>
      <w:pPr>
        <w:spacing w:after="0" w:line="18" w:lineRule="exact"/>
        <w:rPr>
          <w:sz w:val="20"/>
          <w:szCs w:val="20"/>
          <w:color w:val="auto"/>
        </w:rPr>
      </w:pPr>
    </w:p>
    <w:p>
      <w:pPr>
        <w:jc w:val="center"/>
        <w:ind w:right="4494"/>
        <w:spacing w:after="0"/>
        <w:rPr>
          <w:sz w:val="20"/>
          <w:szCs w:val="20"/>
          <w:color w:val="auto"/>
        </w:rPr>
      </w:pPr>
      <w:r>
        <w:rPr>
          <w:rFonts w:ascii="Arial" w:cs="Arial" w:eastAsia="Arial" w:hAnsi="Arial"/>
          <w:sz w:val="16"/>
          <w:szCs w:val="16"/>
          <w:b w:val="1"/>
          <w:bCs w:val="1"/>
          <w:color w:val="auto"/>
        </w:rPr>
        <w:t>Ended</w:t>
      </w:r>
    </w:p>
    <w:p>
      <w:pPr>
        <w:ind w:left="3426"/>
        <w:spacing w:after="0"/>
        <w:rPr>
          <w:sz w:val="20"/>
          <w:szCs w:val="20"/>
          <w:color w:val="auto"/>
        </w:rPr>
      </w:pP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14605</wp:posOffset>
            </wp:positionV>
            <wp:extent cx="10979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915" cy="7620"/>
                    </a:xfrm>
                    <a:prstGeom prst="rect">
                      <a:avLst/>
                    </a:prstGeom>
                    <a:noFill/>
                  </pic:spPr>
                </pic:pic>
              </a:graphicData>
            </a:graphic>
          </wp:anchor>
        </w:drawing>
      </w:r>
    </w:p>
    <w:p>
      <w:pPr>
        <w:spacing w:after="0" w:line="19"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ind w:right="478"/>
              <w:spacing w:after="0"/>
              <w:rPr>
                <w:sz w:val="20"/>
                <w:szCs w:val="20"/>
                <w:color w:val="auto"/>
              </w:rPr>
            </w:pPr>
            <w:r>
              <w:rPr>
                <w:rFonts w:ascii="Arial" w:cs="Arial" w:eastAsia="Arial" w:hAnsi="Arial"/>
                <w:sz w:val="16"/>
                <w:szCs w:val="16"/>
                <w:b w:val="1"/>
                <w:bCs w:val="1"/>
                <w:color w:val="auto"/>
              </w:rPr>
              <w:t>August 29,</w:t>
            </w:r>
          </w:p>
        </w:tc>
        <w:tc>
          <w:tcPr>
            <w:tcW w:w="1340" w:type="dxa"/>
            <w:vAlign w:val="bottom"/>
          </w:tcPr>
          <w:p>
            <w:pPr>
              <w:jc w:val="right"/>
              <w:ind w:right="438"/>
              <w:spacing w:after="0"/>
              <w:rPr>
                <w:sz w:val="20"/>
                <w:szCs w:val="20"/>
                <w:color w:val="auto"/>
              </w:rPr>
            </w:pPr>
            <w:r>
              <w:rPr>
                <w:rFonts w:ascii="Arial" w:cs="Arial" w:eastAsia="Arial" w:hAnsi="Arial"/>
                <w:sz w:val="16"/>
                <w:szCs w:val="16"/>
                <w:b w:val="1"/>
                <w:bCs w:val="1"/>
                <w:color w:val="auto"/>
              </w:rPr>
              <w:t>Product</w:t>
            </w:r>
          </w:p>
        </w:tc>
        <w:tc>
          <w:tcPr>
            <w:tcW w:w="1100" w:type="dxa"/>
            <w:vAlign w:val="bottom"/>
          </w:tcPr>
          <w:p>
            <w:pPr>
              <w:jc w:val="right"/>
              <w:ind w:right="138"/>
              <w:spacing w:after="0"/>
              <w:rPr>
                <w:sz w:val="20"/>
                <w:szCs w:val="20"/>
                <w:color w:val="auto"/>
              </w:rPr>
            </w:pPr>
            <w:r>
              <w:rPr>
                <w:rFonts w:ascii="Arial" w:cs="Arial" w:eastAsia="Arial" w:hAnsi="Arial"/>
                <w:sz w:val="16"/>
                <w:szCs w:val="16"/>
                <w:b w:val="1"/>
                <w:bCs w:val="1"/>
                <w:color w:val="auto"/>
              </w:rPr>
              <w:t>August 30,</w:t>
            </w:r>
          </w:p>
        </w:tc>
        <w:tc>
          <w:tcPr>
            <w:tcW w:w="1360" w:type="dxa"/>
            <w:vAlign w:val="bottom"/>
          </w:tcPr>
          <w:p>
            <w:pPr>
              <w:jc w:val="right"/>
              <w:ind w:right="278"/>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6"/>
                <w:szCs w:val="16"/>
                <w:color w:val="auto"/>
              </w:rPr>
            </w:pPr>
          </w:p>
        </w:tc>
        <w:tc>
          <w:tcPr>
            <w:tcW w:w="1280" w:type="dxa"/>
            <w:vAlign w:val="bottom"/>
          </w:tcPr>
          <w:p>
            <w:pPr>
              <w:jc w:val="right"/>
              <w:ind w:right="298"/>
              <w:spacing w:after="0"/>
              <w:rPr>
                <w:sz w:val="20"/>
                <w:szCs w:val="20"/>
                <w:color w:val="auto"/>
              </w:rPr>
            </w:pPr>
            <w:r>
              <w:rPr>
                <w:rFonts w:ascii="Arial" w:cs="Arial" w:eastAsia="Arial" w:hAnsi="Arial"/>
                <w:sz w:val="16"/>
                <w:szCs w:val="16"/>
                <w:b w:val="1"/>
                <w:bCs w:val="1"/>
                <w:color w:val="auto"/>
              </w:rPr>
              <w:t>(Decrease)</w:t>
            </w:r>
          </w:p>
        </w:tc>
        <w:tc>
          <w:tcPr>
            <w:tcW w:w="1160" w:type="dxa"/>
            <w:vAlign w:val="bottom"/>
          </w:tcPr>
          <w:p>
            <w:pPr>
              <w:jc w:val="right"/>
              <w:ind w:right="498"/>
              <w:spacing w:after="0"/>
              <w:rPr>
                <w:sz w:val="20"/>
                <w:szCs w:val="20"/>
                <w:color w:val="auto"/>
              </w:rPr>
            </w:pPr>
            <w:r>
              <w:rPr>
                <w:rFonts w:ascii="Arial" w:cs="Arial" w:eastAsia="Arial" w:hAnsi="Arial"/>
                <w:sz w:val="16"/>
                <w:szCs w:val="16"/>
                <w:b w:val="1"/>
                <w:bCs w:val="1"/>
                <w:color w:val="auto"/>
              </w:rPr>
              <w:t>%</w:t>
            </w:r>
          </w:p>
        </w:tc>
      </w:tr>
      <w:tr>
        <w:trPr>
          <w:trHeight w:val="22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units)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78"/>
              <w:spacing w:after="0"/>
              <w:rPr>
                <w:sz w:val="20"/>
                <w:szCs w:val="20"/>
                <w:color w:val="auto"/>
              </w:rPr>
            </w:pPr>
            <w:r>
              <w:rPr>
                <w:rFonts w:ascii="Arial" w:cs="Arial" w:eastAsia="Arial" w:hAnsi="Arial"/>
                <w:sz w:val="16"/>
                <w:szCs w:val="16"/>
                <w:b w:val="1"/>
                <w:bCs w:val="1"/>
                <w:color w:val="auto"/>
              </w:rPr>
              <w:t>2009</w:t>
            </w:r>
          </w:p>
        </w:tc>
        <w:tc>
          <w:tcPr>
            <w:tcW w:w="13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Mix %</w:t>
            </w: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2008</w:t>
            </w:r>
          </w:p>
        </w:tc>
        <w:tc>
          <w:tcPr>
            <w:tcW w:w="13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rPr>
              <w:t>Mix %</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Increase</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Change</w:t>
            </w:r>
          </w:p>
        </w:tc>
      </w:tr>
      <w:tr>
        <w:trPr>
          <w:trHeight w:val="23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480</w:t>
            </w: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21.8%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(1,649)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r>
      <w:tr>
        <w:trPr>
          <w:trHeight w:val="226"/>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A diesel</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342</w:t>
            </w: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15.6%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(558)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r>
      <w:tr>
        <w:trPr>
          <w:trHeight w:val="23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Class A</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822</w:t>
            </w:r>
          </w:p>
        </w:tc>
        <w:tc>
          <w:tcPr>
            <w:tcW w:w="1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37.4%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(2,207)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r>
      <w:tr>
        <w:trPr>
          <w:trHeight w:val="226"/>
        </w:trPr>
        <w:tc>
          <w:tcPr>
            <w:tcW w:w="3180" w:type="dxa"/>
            <w:vAlign w:val="bottom"/>
          </w:tcPr>
          <w:p>
            <w:pPr>
              <w:ind w:left="20"/>
              <w:spacing w:after="0"/>
              <w:rPr>
                <w:sz w:val="20"/>
                <w:szCs w:val="20"/>
                <w:color w:val="auto"/>
              </w:rPr>
            </w:pPr>
            <w:r>
              <w:rPr>
                <w:rFonts w:ascii="Arial" w:cs="Arial" w:eastAsia="Arial" w:hAnsi="Arial"/>
                <w:sz w:val="16"/>
                <w:szCs w:val="16"/>
                <w:color w:val="auto"/>
              </w:rPr>
              <w:t>Class B</w:t>
            </w:r>
          </w:p>
        </w:tc>
        <w:tc>
          <w:tcPr>
            <w:tcW w:w="280" w:type="dxa"/>
            <w:vAlign w:val="bottom"/>
          </w:tcPr>
          <w:p>
            <w:pPr>
              <w:spacing w:after="0"/>
              <w:rPr>
                <w:sz w:val="19"/>
                <w:szCs w:val="19"/>
                <w:color w:val="auto"/>
              </w:rPr>
            </w:pP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149</w:t>
            </w:r>
          </w:p>
        </w:tc>
        <w:tc>
          <w:tcPr>
            <w:tcW w:w="1340" w:type="dxa"/>
            <w:vAlign w:val="bottom"/>
          </w:tcPr>
          <w:p>
            <w:pPr>
              <w:jc w:val="right"/>
              <w:ind w:right="138"/>
              <w:spacing w:after="0"/>
              <w:rPr>
                <w:sz w:val="20"/>
                <w:szCs w:val="20"/>
                <w:color w:val="auto"/>
              </w:rPr>
            </w:pPr>
            <w:r>
              <w:rPr>
                <w:rFonts w:ascii="Arial" w:cs="Arial" w:eastAsia="Arial" w:hAnsi="Arial"/>
                <w:sz w:val="16"/>
                <w:szCs w:val="16"/>
                <w:color w:val="auto"/>
              </w:rPr>
              <w:t>6.8%</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36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9"/>
                <w:szCs w:val="19"/>
                <w:color w:val="auto"/>
              </w:rPr>
            </w:pPr>
          </w:p>
        </w:tc>
        <w:tc>
          <w:tcPr>
            <w:tcW w:w="1280" w:type="dxa"/>
            <w:vAlign w:val="bottom"/>
          </w:tcPr>
          <w:p>
            <w:pPr>
              <w:jc w:val="right"/>
              <w:ind w:right="178"/>
              <w:spacing w:after="0"/>
              <w:rPr>
                <w:sz w:val="20"/>
                <w:szCs w:val="20"/>
                <w:color w:val="auto"/>
              </w:rPr>
            </w:pPr>
            <w:r>
              <w:rPr>
                <w:rFonts w:ascii="Arial" w:cs="Arial" w:eastAsia="Arial" w:hAnsi="Arial"/>
                <w:sz w:val="16"/>
                <w:szCs w:val="16"/>
                <w:color w:val="auto"/>
              </w:rPr>
              <w:t>9</w:t>
            </w:r>
          </w:p>
        </w:tc>
        <w:tc>
          <w:tcPr>
            <w:tcW w:w="116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15"/>
        </w:trPr>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&lt; div</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3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style="text-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6"/>
        </w:trPr>
        <w:tc>
          <w:tcPr>
            <w:tcW w:w="3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align:right;font-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3"/>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1,225</w:t>
            </w:r>
          </w:p>
        </w:tc>
        <w:tc>
          <w:tcPr>
            <w:tcW w:w="13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55.8%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size:10pt;"&gt;50.5%</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(2,013)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r>
      <w:tr>
        <w:trPr>
          <w:trHeight w:val="225"/>
        </w:trPr>
        <w:tc>
          <w:tcPr>
            <w:tcW w:w="3180" w:type="dxa"/>
            <w:vAlign w:val="bottom"/>
          </w:tcPr>
          <w:p>
            <w:pPr>
              <w:ind w:left="20"/>
              <w:spacing w:after="0"/>
              <w:rPr>
                <w:sz w:val="20"/>
                <w:szCs w:val="20"/>
                <w:color w:val="auto"/>
              </w:rPr>
            </w:pPr>
            <w:r>
              <w:rPr>
                <w:rFonts w:ascii="Arial" w:cs="Arial" w:eastAsia="Arial" w:hAnsi="Arial"/>
                <w:sz w:val="16"/>
                <w:szCs w:val="16"/>
                <w:color w:val="auto"/>
              </w:rPr>
              <w:t>Total deliveries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2,196</w:t>
            </w: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100.0%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(4,211)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r>
      <w:tr>
        <w:trPr>
          <w:trHeight w:val="20"/>
        </w:trPr>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3180" w:type="dxa"/>
            <w:vAlign w:val="bottom"/>
          </w:tcPr>
          <w:p>
            <w:pPr>
              <w:ind w:left="20"/>
              <w:spacing w:after="0"/>
              <w:rPr>
                <w:sz w:val="20"/>
                <w:szCs w:val="20"/>
                <w:color w:val="auto"/>
              </w:rPr>
            </w:pPr>
            <w:r>
              <w:rPr>
                <w:rFonts w:ascii="Arial" w:cs="Arial" w:eastAsia="Arial" w:hAnsi="Arial"/>
                <w:sz w:val="16"/>
                <w:szCs w:val="16"/>
                <w:color w:val="auto"/>
              </w:rPr>
              <w:t>ASP (in thousands)</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87</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w:t>
            </w:r>
          </w:p>
        </w:tc>
        <w:tc>
          <w:tcPr>
            <w:tcW w:w="13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8"/>
              <w:spacing w:after="0"/>
              <w:rPr>
                <w:sz w:val="20"/>
                <w:szCs w:val="20"/>
                <w:color w:val="auto"/>
              </w:rPr>
            </w:pPr>
            <w:r>
              <w:rPr>
                <w:rFonts w:ascii="Arial" w:cs="Arial" w:eastAsia="Arial" w:hAnsi="Arial"/>
                <w:sz w:val="16"/>
                <w:szCs w:val="16"/>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-154940</wp:posOffset>
            </wp:positionV>
            <wp:extent cx="7259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171450"/>
                    </a:xfrm>
                    <a:prstGeom prst="rect">
                      <a:avLst/>
                    </a:prstGeom>
                    <a:noFill/>
                  </pic:spPr>
                </pic:pic>
              </a:graphicData>
            </a:graphic>
          </wp:anchor>
        </w:drawing>
      </w:r>
    </w:p>
    <w:p>
      <w:pPr>
        <w:ind w:left="186" w:hanging="186"/>
        <w:spacing w:after="0"/>
        <w:tabs>
          <w:tab w:leader="none" w:pos="186" w:val="left"/>
        </w:tabs>
        <w:numPr>
          <w:ilvl w:val="0"/>
          <w:numId w:val="14"/>
        </w:numPr>
        <w:rPr>
          <w:rFonts w:ascii="Arial" w:cs="Arial" w:eastAsia="Arial" w:hAnsi="Arial"/>
          <w:sz w:val="8"/>
          <w:szCs w:val="8"/>
          <w:color w:val="auto"/>
        </w:rPr>
      </w:pPr>
      <w:r>
        <w:rPr>
          <w:rFonts w:ascii="Arial" w:cs="Arial" w:eastAsia="Arial" w:hAnsi="Arial"/>
          <w:sz w:val="16"/>
          <w:szCs w:val="16"/>
          <w:color w:val="auto"/>
        </w:rPr>
        <w:t xml:space="preserve">;  </w:t>
      </w:r>
      <w:r>
        <w:rPr>
          <w:rFonts w:ascii="Arial" w:cs="Arial" w:eastAsia="Arial" w:hAnsi="Arial"/>
          <w:sz w:val="13"/>
          <w:szCs w:val="13"/>
          <w:color w:val="auto"/>
        </w:rPr>
        <w:t>Fiscal year ended August 29, 2009 contained 52 weeks; fiscal year ended August 30, 2008 contained 53 weeks.</w:t>
      </w:r>
    </w:p>
    <w:p>
      <w:pPr>
        <w:spacing w:after="0" w:line="135" w:lineRule="exact"/>
        <w:rPr>
          <w:sz w:val="20"/>
          <w:szCs w:val="20"/>
          <w:color w:val="auto"/>
        </w:rPr>
      </w:pPr>
    </w:p>
    <w:p>
      <w:pPr>
        <w:ind w:left="26"/>
        <w:spacing w:after="0"/>
        <w:rPr>
          <w:sz w:val="20"/>
          <w:szCs w:val="20"/>
          <w:color w:val="auto"/>
        </w:rPr>
      </w:pPr>
      <w:r>
        <w:rPr>
          <w:rFonts w:ascii="Arial" w:cs="Arial" w:eastAsia="Arial" w:hAnsi="Arial"/>
          <w:sz w:val="16"/>
          <w:szCs w:val="16"/>
          <w:color w:val="auto"/>
        </w:rPr>
        <w:t>Net revenues for Fiscal 2009 decreased $392.8 million, or 65.0 percent, compared to Fiscal 2008 due to the following:</w:t>
      </w:r>
    </w:p>
    <w:p>
      <w:pPr>
        <w:spacing w:after="0" w:line="49" w:lineRule="exact"/>
        <w:rPr>
          <w:sz w:val="20"/>
          <w:szCs w:val="20"/>
          <w:color w:val="auto"/>
        </w:rPr>
      </w:pPr>
    </w:p>
    <w:p>
      <w:pPr>
        <w:ind w:left="346" w:hanging="322"/>
        <w:spacing w:after="0"/>
        <w:tabs>
          <w:tab w:leader="none" w:pos="3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Volume decline: The primary reason for the net revenue decline was due to unit deliveries decreasing by 65.7 percent.</w:t>
      </w:r>
    </w:p>
    <w:p>
      <w:pPr>
        <w:spacing w:after="0" w:line="24" w:lineRule="exact"/>
        <w:rPr>
          <w:rFonts w:ascii="Arial" w:cs="Arial" w:eastAsia="Arial" w:hAnsi="Arial"/>
          <w:sz w:val="16"/>
          <w:szCs w:val="16"/>
          <w:color w:val="auto"/>
        </w:rPr>
      </w:pPr>
    </w:p>
    <w:p>
      <w:pPr>
        <w:ind w:left="326" w:right="100" w:hanging="302"/>
        <w:spacing w:after="0" w:line="256" w:lineRule="auto"/>
        <w:tabs>
          <w:tab w:leader="none" w:pos="326"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Pricing and mix: Our ASP in Fiscal 2009 as compared to the previous year decreased 1.4 percent. The decrease in our ASP was due to an increase of product discounts we offered at the wholesale level and a shift in mix to lower-priced products, partially offset by increase in pricing. Our sales mix for the year was more heavily weighted to lower-priced products as 63 percent of our volume in Fiscal 2009 was Class B and C product as compared to a 53 percent mix of Class B and C products in Fiscal 2008.</w:t>
      </w:r>
    </w:p>
    <w:p>
      <w:pPr>
        <w:ind w:left="326"/>
        <w:spacing w:after="0"/>
        <w:rPr>
          <w:rFonts w:ascii="Arial" w:cs="Arial" w:eastAsia="Arial" w:hAnsi="Arial"/>
          <w:sz w:val="16"/>
          <w:szCs w:val="16"/>
          <w:color w:val="auto"/>
        </w:rPr>
      </w:pPr>
      <w:r>
        <w:rPr>
          <w:rFonts w:ascii="Arial" w:cs="Arial" w:eastAsia="Arial" w:hAnsi="Arial"/>
          <w:sz w:val="16"/>
          <w:szCs w:val="16"/>
          <w:color w:val="auto"/>
        </w:rPr>
        <w:t>Promotional incentives: Our retail and other incentives increased by 3.2 percent (as a percentage of net revenues) due to increased retail promotional</w:t>
      </w:r>
    </w:p>
    <w:p>
      <w:pPr>
        <w:spacing w:after="0" w:line="12" w:lineRule="exact"/>
        <w:rPr>
          <w:rFonts w:ascii="Arial" w:cs="Arial" w:eastAsia="Arial" w:hAnsi="Arial"/>
          <w:sz w:val="16"/>
          <w:szCs w:val="16"/>
          <w:color w:val="auto"/>
        </w:rPr>
      </w:pPr>
    </w:p>
    <w:p>
      <w:pPr>
        <w:ind w:left="326" w:right="320" w:hanging="302"/>
        <w:spacing w:after="0" w:line="256" w:lineRule="auto"/>
        <w:tabs>
          <w:tab w:leader="none" w:pos="32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activity on significantly lower revenues. We used retail incentive programs to help stimulate dealer traffic and the programs had a substantial impact in reducing the dealer inventory level, as our dealer inventory in units was down 53.8 percent at August 29, 2009 compared to August 30, 2008.</w:t>
      </w:r>
    </w:p>
    <w:p>
      <w:pPr>
        <w:ind w:left="326" w:right="60" w:hanging="302"/>
        <w:spacing w:after="0" w:line="256" w:lineRule="auto"/>
        <w:tabs>
          <w:tab w:leader="none" w:pos="326"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Repurchases: Our loss on repurchase of motor homes during Fiscal 2009 were significantly higher than previous years as a result of the dramatic decline in the motor home market. As a percentage of net revenues, repurchase expense was 1.2% in Fiscal 2009 compared to 0.1 percent in Fiscal 2008.</w:t>
      </w:r>
    </w:p>
    <w:p>
      <w:pPr>
        <w:ind w:left="326" w:hanging="302"/>
        <w:spacing w:after="0"/>
        <w:tabs>
          <w:tab w:leader="none" w:pos="326"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revenue: Revenues for motor home parts and services and other manufactured products decreased by 32.4 percent.</w:t>
      </w:r>
    </w:p>
    <w:p>
      <w:pPr>
        <w:spacing w:after="0" w:line="159" w:lineRule="exact"/>
        <w:rPr>
          <w:sz w:val="20"/>
          <w:szCs w:val="20"/>
          <w:color w:val="auto"/>
        </w:rPr>
      </w:pPr>
    </w:p>
    <w:p>
      <w:pPr>
        <w:ind w:left="26"/>
        <w:spacing w:after="0"/>
        <w:rPr>
          <w:sz w:val="20"/>
          <w:szCs w:val="20"/>
          <w:color w:val="auto"/>
        </w:rPr>
      </w:pPr>
      <w:r>
        <w:rPr>
          <w:rFonts w:ascii="Arial" w:cs="Arial" w:eastAsia="Arial" w:hAnsi="Arial"/>
          <w:sz w:val="16"/>
          <w:szCs w:val="16"/>
          <w:color w:val="auto"/>
        </w:rPr>
        <w:t>Cost of goods sold was $242.3 million, or 114.5 percent, of net revenues for Fiscal 2009 compared to $569.6 million, or 94.2 percent, of net revenues for</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Fiscal 2008 due to the following:</w:t>
      </w:r>
    </w:p>
    <w:p>
      <w:pPr>
        <w:spacing w:after="0" w:line="12" w:lineRule="exact"/>
        <w:rPr>
          <w:sz w:val="20"/>
          <w:szCs w:val="20"/>
          <w:color w:val="auto"/>
        </w:rPr>
      </w:pPr>
    </w:p>
    <w:p>
      <w:pPr>
        <w:ind w:left="326" w:hanging="302"/>
        <w:spacing w:after="0" w:line="256" w:lineRule="auto"/>
        <w:tabs>
          <w:tab w:leader="none" w:pos="3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change in our variable costs (materials, direct labor, variable overhead, delivery expense and warranty) comprised $316.6 million of the $327.3 million decrease which was primarily caused by decreased sales volume. Material, labor and var iable overhead, as a percent of net revenues, increased to 91.8 percent in Fiscal 2009 compared to 82.2 percent in the prior year. The 9.6 percent increase was primarily caused by increased discounting and promotional incentives in Fiscal 2009 to promote sales in a difficult motor home market.</w:t>
      </w:r>
    </w:p>
    <w:p>
      <w:pPr>
        <w:ind w:left="326" w:right="380" w:hanging="302"/>
        <w:spacing w:after="0" w:line="256" w:lineRule="auto"/>
        <w:tabs>
          <w:tab w:leader="none" w:pos="3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variable costs were favorably impacted by $7.0 million, or 3.3 percent, of net reve nues in Fiscal 2009 due to the reduction of LIFO reserves as a result of a significant reduction in inventory levels, as compared to LIFO expense in Fiscal 2008 of $4.6 million, or 0.8 percent, of net revenues.</w:t>
      </w:r>
    </w:p>
    <w:p>
      <w:pPr>
        <w:ind w:left="326" w:right="440" w:hanging="302"/>
        <w:spacing w:after="0" w:line="256" w:lineRule="auto"/>
        <w:tabs>
          <w:tab w:leader="none" w:pos="3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Fixed overhead, which consists primarily of manufacturing support labor, depreciation and facility costs, increased to 17.7 percent of net revenues in Fiscal 2009 compared to 7.8 percent in the prior year. This difference was due primarily to lower absorption of fixed costs due to significantly lower production volumes.</w:t>
      </w:r>
    </w:p>
    <w:p>
      <w:pPr>
        <w:ind w:left="326" w:right="80" w:hanging="302"/>
        <w:spacing w:after="0" w:line="271" w:lineRule="auto"/>
        <w:tabs>
          <w:tab w:leader="none" w:pos="3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factors considered, gross (deficit) profit decreased from a gross profit of 5.8 percent of net revenues in Fiscal 2008 to a gross deficit of 14.5 percent of net revenues during Fiscal 2009.</w:t>
      </w:r>
    </w:p>
    <w:p>
      <w:pPr>
        <w:spacing w:after="0" w:line="173" w:lineRule="exact"/>
        <w:rPr>
          <w:sz w:val="20"/>
          <w:szCs w:val="20"/>
          <w:color w:val="auto"/>
        </w:rPr>
      </w:pPr>
    </w:p>
    <w:p>
      <w:pPr>
        <w:ind w:left="26" w:right="140"/>
        <w:spacing w:after="0" w:line="261" w:lineRule="auto"/>
        <w:rPr>
          <w:sz w:val="20"/>
          <w:szCs w:val="20"/>
          <w:color w:val="auto"/>
        </w:rPr>
      </w:pPr>
      <w:r>
        <w:rPr>
          <w:rFonts w:ascii="Arial" w:cs="Arial" w:eastAsia="Arial" w:hAnsi="Arial"/>
          <w:sz w:val="16"/>
          <w:szCs w:val="16"/>
          <w:color w:val="auto"/>
        </w:rPr>
        <w:t>Selling expenses decreased $5.9 million, or 31.7 percent, during the fiscal year ended August 29, 2009. However, as a percent of net revenues, selling expenses were 6.0 percent during Fiscal 2009 compared to 3.1 percent for Fiscal 2008. The decrease in dollars was due primarily to reductions in salesmen incentives of $579,000, advertising expenses of $502,000 and wages and wage-related expenses of $422,000. The increase in percentage of net revenues was caused by the significant difference in revenue levels between the two fiscal periods.</w:t>
      </w:r>
    </w:p>
    <w:p>
      <w:pPr>
        <w:spacing w:after="0" w:line="181" w:lineRule="exact"/>
        <w:rPr>
          <w:sz w:val="20"/>
          <w:szCs w:val="20"/>
          <w:color w:val="auto"/>
        </w:rPr>
      </w:pPr>
    </w:p>
    <w:p>
      <w:pPr>
        <w:ind w:left="26" w:right="180"/>
        <w:spacing w:after="0" w:line="259" w:lineRule="auto"/>
        <w:rPr>
          <w:sz w:val="20"/>
          <w:szCs w:val="20"/>
          <w:color w:val="auto"/>
        </w:rPr>
      </w:pPr>
      <w:r>
        <w:rPr>
          <w:rFonts w:ascii="Arial" w:cs="Arial" w:eastAsia="Arial" w:hAnsi="Arial"/>
          <w:sz w:val="16"/>
          <w:szCs w:val="16"/>
          <w:color w:val="auto"/>
        </w:rPr>
        <w:t>General and administrative expenses decreased $6.1 million, or 28.4 percent, during the fiscal year ended August 29, 2009. However, as a percent of net revenues, general and administrative expenses were 7.2 percent during Fiscal 2009 compared to 3.5 percent for Fiscal 2008. The decrease in dollars was due to reductions of: stock-based compensation of $2.0 million, as we did not grant stock awards during Fiscal 2009; labor-related expenses of $1.5 million, as a result of reduced head count; legal expenses of $1.0 million; and lower depreciation expense of $500,000. The increase in percentage of net revenues was caused by the significant difference in revenue levels between the two fiscal periods.</w:t>
      </w:r>
    </w:p>
    <w:p>
      <w:pPr>
        <w:spacing w:after="0" w:line="334"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46"/>
          </w:cols>
          <w:pgMar w:left="214" w:top="153" w:right="239" w:bottom="1440" w:gutter="0" w:footer="0" w:header="0"/>
        </w:sectPr>
      </w:pPr>
    </w:p>
    <w:bookmarkStart w:id="20" w:name="page21"/>
    <w:bookmarkEnd w:id="20"/>
    <w:p>
      <w:pPr>
        <w:ind w:left="26"/>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8" w:lineRule="exact"/>
        <w:rPr>
          <w:sz w:val="20"/>
          <w:szCs w:val="20"/>
          <w:color w:val="auto"/>
        </w:rPr>
      </w:pPr>
    </w:p>
    <w:p>
      <w:pPr>
        <w:ind w:left="26"/>
        <w:spacing w:after="0"/>
        <w:rPr>
          <w:sz w:val="20"/>
          <w:szCs w:val="20"/>
          <w:color w:val="auto"/>
        </w:rPr>
      </w:pPr>
      <w:r>
        <w:rPr>
          <w:rFonts w:ascii="Arial" w:cs="Arial" w:eastAsia="Arial" w:hAnsi="Arial"/>
          <w:sz w:val="16"/>
          <w:szCs w:val="16"/>
          <w:color w:val="auto"/>
        </w:rPr>
        <w:t>Asset impairment expenses of $855,000 were recorded in Fiscal 2009 as a result of the decision to close the Hampton, Iowa fiberglass manufacturing facility.</w:t>
      </w:r>
    </w:p>
    <w:p>
      <w:pPr>
        <w:spacing w:after="0" w:line="196" w:lineRule="exact"/>
        <w:rPr>
          <w:sz w:val="20"/>
          <w:szCs w:val="20"/>
          <w:color w:val="auto"/>
        </w:rPr>
      </w:pPr>
    </w:p>
    <w:p>
      <w:pPr>
        <w:ind w:left="26" w:right="140"/>
        <w:spacing w:after="0" w:line="231" w:lineRule="auto"/>
        <w:rPr>
          <w:sz w:val="20"/>
          <w:szCs w:val="20"/>
          <w:color w:val="auto"/>
        </w:rPr>
      </w:pPr>
      <w:r>
        <w:rPr>
          <w:rFonts w:ascii="Arial" w:cs="Arial" w:eastAsia="Arial" w:hAnsi="Arial"/>
          <w:sz w:val="16"/>
          <w:szCs w:val="16"/>
          <w:color w:val="auto"/>
        </w:rPr>
        <w:t>Financial income decreased $ 2.9 million, or 66.3 percent, for the fiscal year ended August 29, 2009. The decrease in financial income was primarily due to a decrease in the average yield and, to a lessor extent, a decrease in average investment balances.</w:t>
      </w:r>
    </w:p>
    <w:p>
      <w:pPr>
        <w:spacing w:after="0" w:line="173" w:lineRule="exact"/>
        <w:rPr>
          <w:sz w:val="20"/>
          <w:szCs w:val="20"/>
          <w:color w:val="auto"/>
        </w:rPr>
      </w:pPr>
    </w:p>
    <w:p>
      <w:pPr>
        <w:ind w:left="26" w:right="300"/>
        <w:spacing w:after="0" w:line="271" w:lineRule="auto"/>
        <w:rPr>
          <w:sz w:val="20"/>
          <w:szCs w:val="20"/>
          <w:color w:val="auto"/>
        </w:rPr>
      </w:pPr>
      <w:r>
        <w:rPr>
          <w:rFonts w:ascii="Arial" w:cs="Arial" w:eastAsia="Arial" w:hAnsi="Arial"/>
          <w:sz w:val="16"/>
          <w:szCs w:val="16"/>
          <w:color w:val="auto"/>
        </w:rPr>
        <w:t>The overall effective income tax rate for Fiscal 2009 was a expense of 35.6 percent compared to an benefit of 151.2 percent for Fiscal 2008. The following table breaks down the two aforementioned tax rates:</w:t>
      </w:r>
    </w:p>
    <w:p>
      <w:pPr>
        <w:spacing w:after="0" w:line="116" w:lineRule="exact"/>
        <w:rPr>
          <w:sz w:val="20"/>
          <w:szCs w:val="20"/>
          <w:color w:val="auto"/>
        </w:rPr>
      </w:pPr>
    </w:p>
    <w:tbl>
      <w:tblPr>
        <w:tblLayout w:type="fixed"/>
        <w:tblInd w:w="26"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958"/>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19"/>
                <w:szCs w:val="19"/>
                <w:b w:val="1"/>
                <w:bCs w:val="1"/>
                <w:color w:val="auto"/>
                <w:vertAlign w:val="superscript"/>
              </w:rPr>
              <w:t>(1)</w:t>
            </w:r>
          </w:p>
        </w:tc>
        <w:tc>
          <w:tcPr>
            <w:tcW w:w="1300" w:type="dxa"/>
            <w:vAlign w:val="bottom"/>
            <w:tcBorders>
              <w:bottom w:val="single" w:sz="8" w:color="auto"/>
            </w:tcBorders>
          </w:tcPr>
          <w:p>
            <w:pPr>
              <w:spacing w:after="0"/>
              <w:rPr>
                <w:sz w:val="19"/>
                <w:szCs w:val="19"/>
                <w:color w:val="auto"/>
              </w:rPr>
            </w:pPr>
          </w:p>
        </w:tc>
      </w:tr>
      <w:tr>
        <w:trPr>
          <w:trHeight w:val="231"/>
        </w:trPr>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818"/>
              <w:spacing w:after="0"/>
              <w:rPr>
                <w:sz w:val="20"/>
                <w:szCs w:val="20"/>
                <w:color w:val="auto"/>
              </w:rPr>
            </w:pPr>
            <w:r>
              <w:rPr>
                <w:rFonts w:ascii="Arial" w:cs="Arial" w:eastAsia="Arial" w:hAnsi="Arial"/>
                <w:sz w:val="16"/>
                <w:szCs w:val="16"/>
                <w:b w:val="1"/>
                <w:bCs w:val="1"/>
                <w:color w:val="auto"/>
              </w:rPr>
              <w:t>August 29, 2009</w:t>
            </w: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698"/>
              <w:spacing w:after="0"/>
              <w:rPr>
                <w:sz w:val="20"/>
                <w:szCs w:val="20"/>
                <w:color w:val="auto"/>
              </w:rPr>
            </w:pPr>
            <w:r>
              <w:rPr>
                <w:rFonts w:ascii="Arial" w:cs="Arial" w:eastAsia="Arial" w:hAnsi="Arial"/>
                <w:sz w:val="16"/>
                <w:szCs w:val="16"/>
                <w:b w:val="1"/>
                <w:bCs w:val="1"/>
                <w:color w:val="auto"/>
              </w:rPr>
              <w:t>August 30, 2008</w:t>
            </w:r>
          </w:p>
        </w:tc>
      </w:tr>
      <w:tr>
        <w:trPr>
          <w:trHeight w:val="187"/>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jc w:val="right"/>
              <w:ind w:right="418"/>
              <w:spacing w:after="0"/>
              <w:rPr>
                <w:sz w:val="20"/>
                <w:szCs w:val="20"/>
                <w:color w:val="auto"/>
              </w:rPr>
            </w:pPr>
            <w:r>
              <w:rPr>
                <w:rFonts w:ascii="Arial" w:cs="Arial" w:eastAsia="Arial" w:hAnsi="Arial"/>
                <w:sz w:val="16"/>
                <w:szCs w:val="16"/>
                <w:b w:val="1"/>
                <w:bCs w:val="1"/>
                <w:color w:val="auto"/>
              </w:rPr>
              <w:t>Effective</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jc w:val="right"/>
              <w:ind w:right="298"/>
              <w:spacing w:after="0"/>
              <w:rPr>
                <w:sz w:val="20"/>
                <w:szCs w:val="20"/>
                <w:color w:val="auto"/>
              </w:rPr>
            </w:pPr>
            <w:r>
              <w:rPr>
                <w:rFonts w:ascii="Arial" w:cs="Arial" w:eastAsia="Arial" w:hAnsi="Arial"/>
                <w:sz w:val="16"/>
                <w:szCs w:val="16"/>
                <w:b w:val="1"/>
                <w:bCs w:val="1"/>
                <w:color w:val="auto"/>
              </w:rPr>
              <w:t>Effective</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Amount</w:t>
            </w:r>
          </w:p>
        </w:tc>
        <w:tc>
          <w:tcPr>
            <w:tcW w:w="14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Rate (%)</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Amount</w:t>
            </w:r>
          </w:p>
        </w:tc>
        <w:tc>
          <w:tcPr>
            <w:tcW w:w="13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Rate (%)</w:t>
            </w:r>
          </w:p>
        </w:tc>
      </w:tr>
      <w:tr>
        <w:trPr>
          <w:trHeight w:val="24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from current operations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(22,898)</w:t>
            </w: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(3,345)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r>
      <w:tr>
        <w:trPr>
          <w:trHeight w:val="239"/>
        </w:trPr>
        <w:tc>
          <w:tcPr>
            <w:tcW w:w="566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240" w:type="dxa"/>
            <w:vAlign w:val="bottom"/>
          </w:tcPr>
          <w:p>
            <w:pPr>
              <w:spacing w:after="0"/>
              <w:rPr>
                <w:sz w:val="20"/>
                <w:szCs w:val="20"/>
                <w:color w:val="auto"/>
              </w:rPr>
            </w:pPr>
          </w:p>
        </w:tc>
        <w:tc>
          <w:tcPr>
            <w:tcW w:w="1280" w:type="dxa"/>
            <w:vAlign w:val="bottom"/>
          </w:tcPr>
          <w:p>
            <w:pPr>
              <w:jc w:val="right"/>
              <w:ind w:right="198"/>
              <w:spacing w:after="0"/>
              <w:rPr>
                <w:sz w:val="20"/>
                <w:szCs w:val="20"/>
                <w:color w:val="auto"/>
              </w:rPr>
            </w:pPr>
            <w:r>
              <w:rPr>
                <w:rFonts w:ascii="Arial" w:cs="Arial" w:eastAsia="Arial" w:hAnsi="Arial"/>
                <w:sz w:val="16"/>
                <w:szCs w:val="16"/>
                <w:color w:val="auto"/>
              </w:rPr>
              <w:t>44,976</w:t>
            </w:r>
          </w:p>
        </w:tc>
        <w:tc>
          <w:tcPr>
            <w:tcW w:w="1420" w:type="dxa"/>
            <w:vAlign w:val="bottom"/>
          </w:tcPr>
          <w:p>
            <w:pPr>
              <w:jc w:val="right"/>
              <w:ind w:right="78"/>
              <w:spacing w:after="0"/>
              <w:rPr>
                <w:sz w:val="20"/>
                <w:szCs w:val="20"/>
                <w:color w:val="auto"/>
              </w:rPr>
            </w:pPr>
            <w:r>
              <w:rPr>
                <w:rFonts w:ascii="Arial" w:cs="Arial" w:eastAsia="Arial" w:hAnsi="Arial"/>
                <w:sz w:val="16"/>
                <w:szCs w:val="16"/>
                <w:color w:val="auto"/>
              </w:rPr>
              <w:t>77.5 %</w:t>
            </w:r>
          </w:p>
        </w:tc>
        <w:tc>
          <w:tcPr>
            <w:tcW w:w="120" w:type="dxa"/>
            <w:vAlign w:val="bottom"/>
          </w:tcPr>
          <w:p>
            <w:pPr>
              <w:spacing w:after="0"/>
              <w:rPr>
                <w:sz w:val="20"/>
                <w:szCs w:val="20"/>
                <w:color w:val="auto"/>
              </w:rPr>
            </w:pPr>
          </w:p>
        </w:tc>
        <w:tc>
          <w:tcPr>
            <w:tcW w:w="1400" w:type="dxa"/>
            <w:vAlign w:val="bottom"/>
          </w:tcPr>
          <w:p>
            <w:pPr>
              <w:jc w:val="right"/>
              <w:ind w:right="198"/>
              <w:spacing w:after="0"/>
              <w:rPr>
                <w:sz w:val="20"/>
                <w:szCs w:val="20"/>
                <w:color w:val="auto"/>
              </w:rPr>
            </w:pPr>
            <w:r>
              <w:rPr>
                <w:rFonts w:ascii="Arial" w:cs="Arial" w:eastAsia="Arial" w:hAnsi="Arial"/>
                <w:sz w:val="16"/>
                <w:szCs w:val="16"/>
                <w:color w:val="auto"/>
              </w:rPr>
              <w:t>325</w:t>
            </w:r>
          </w:p>
        </w:tc>
        <w:tc>
          <w:tcPr>
            <w:tcW w:w="130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52"/>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Uncertain tax positions settlements and adjustments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(500)</w:t>
            </w: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(4,149)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r>
      <w:tr>
        <w:trPr>
          <w:trHeight w:val="22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 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(875)</w:t>
            </w:r>
          </w:p>
        </w:tc>
        <w:tc>
          <w:tcPr>
            <w:tcW w:w="14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(1,056)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provision (benefit) for taxes</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20,703</w:t>
            </w:r>
          </w:p>
        </w:tc>
        <w:tc>
          <w:tcPr>
            <w:tcW w:w="14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35.6 %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(8,225)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(151.2)%</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286" w:hanging="286"/>
        <w:spacing w:after="0"/>
        <w:tabs>
          <w:tab w:leader="none" w:pos="286" w:val="left"/>
        </w:tabs>
        <w:numPr>
          <w:ilvl w:val="0"/>
          <w:numId w:val="17"/>
        </w:numPr>
        <w:rPr>
          <w:rFonts w:ascii="Arial" w:cs="Arial" w:eastAsia="Arial" w:hAnsi="Arial"/>
          <w:sz w:val="8"/>
          <w:szCs w:val="8"/>
          <w:color w:val="auto"/>
        </w:rPr>
      </w:pPr>
      <w:r>
        <w:rPr>
          <w:rFonts w:ascii="Arial" w:cs="Arial" w:eastAsia="Arial" w:hAnsi="Arial"/>
          <w:sz w:val="13"/>
          <w:szCs w:val="13"/>
          <w:color w:val="auto"/>
        </w:rPr>
        <w:t>Fiscal year ended August 29, 2009 contained 52 weeks; fiscal year ended August 30, 2008 contained 53 weeks.</w:t>
      </w:r>
    </w:p>
    <w:p>
      <w:pPr>
        <w:spacing w:after="0" w:line="173" w:lineRule="exact"/>
        <w:rPr>
          <w:sz w:val="20"/>
          <w:szCs w:val="20"/>
          <w:color w:val="auto"/>
        </w:rPr>
      </w:pPr>
    </w:p>
    <w:p>
      <w:pPr>
        <w:ind w:left="26"/>
        <w:spacing w:after="0"/>
        <w:rPr>
          <w:sz w:val="20"/>
          <w:szCs w:val="20"/>
          <w:color w:val="auto"/>
        </w:rPr>
      </w:pPr>
      <w:r>
        <w:rPr>
          <w:rFonts w:ascii="Arial" w:cs="Arial" w:eastAsia="Arial" w:hAnsi="Arial"/>
          <w:sz w:val="16"/>
          <w:szCs w:val="16"/>
          <w:i w:val="1"/>
          <w:iCs w:val="1"/>
          <w:color w:val="auto"/>
        </w:rPr>
        <w:t>Tax benefit on current operations</w:t>
      </w:r>
    </w:p>
    <w:p>
      <w:pPr>
        <w:spacing w:after="0" w:line="28" w:lineRule="exact"/>
        <w:rPr>
          <w:sz w:val="20"/>
          <w:szCs w:val="20"/>
          <w:color w:val="auto"/>
        </w:rPr>
      </w:pPr>
    </w:p>
    <w:p>
      <w:pPr>
        <w:ind w:left="26"/>
        <w:spacing w:after="0" w:line="258" w:lineRule="auto"/>
        <w:rPr>
          <w:sz w:val="20"/>
          <w:szCs w:val="20"/>
          <w:color w:val="auto"/>
        </w:rPr>
      </w:pPr>
      <w:r>
        <w:rPr>
          <w:rFonts w:ascii="Arial" w:cs="Arial" w:eastAsia="Arial" w:hAnsi="Arial"/>
          <w:sz w:val="16"/>
          <w:szCs w:val="16"/>
          <w:color w:val="auto"/>
        </w:rPr>
        <w:t>At the end of the third quarter of Fiscal 2009, our a bility to claim refunds of taxes previously paid was exhausted due to the size of our Fiscal 2009 operating losses. Thus, of the $22.9 million tax benefit on current operations, we established an associated tax refund receivable of $17.4 million. The overall effective income tax benefit rate for Fiscal 2009 was 39.5 percent compared to the overall effective tax benefit rate of 61.5% for Fiscal 2008. The primary reason for the difference in the overall effective rate is the relationship between our significant pre-tax loss of $58.1 million relative to the permanent financial account ing to taxable income (loss) adjustments for Fiscal 2009 compared to the much smaller pre-tax loss of $5.4 million relative to the permanent financial accounting to taxable income (loss) adjustments for Fiscal 2008. Our significant permanent adjustments are tax-free income from COLI and student loan-related tax exempt securities and resulted in an increase to the tax benefit of $1.2 million and increased the tax benefit rate by 2.0 percent in Fiscal 2009. In Fiscal 2008, tax-free investment income resulted in a tax benefit of $1.8 million (a 32.6 percent increase in the effective benefit rate).</w:t>
      </w:r>
    </w:p>
    <w:p>
      <w:pPr>
        <w:spacing w:after="0" w:line="168" w:lineRule="exact"/>
        <w:rPr>
          <w:sz w:val="20"/>
          <w:szCs w:val="20"/>
          <w:color w:val="auto"/>
        </w:rPr>
      </w:pPr>
    </w:p>
    <w:p>
      <w:pPr>
        <w:ind w:left="26"/>
        <w:spacing w:after="0"/>
        <w:rPr>
          <w:sz w:val="20"/>
          <w:szCs w:val="20"/>
          <w:color w:val="auto"/>
        </w:rPr>
      </w:pPr>
      <w:r>
        <w:rPr>
          <w:rFonts w:ascii="Arial" w:cs="Arial" w:eastAsia="Arial" w:hAnsi="Arial"/>
          <w:sz w:val="16"/>
          <w:szCs w:val="16"/>
          <w:i w:val="1"/>
          <w:iCs w:val="1"/>
          <w:color w:val="auto"/>
        </w:rPr>
        <w:t>Valuation allowance</w:t>
      </w:r>
    </w:p>
    <w:p>
      <w:pPr>
        <w:spacing w:after="0" w:line="28" w:lineRule="exact"/>
        <w:rPr>
          <w:sz w:val="20"/>
          <w:szCs w:val="20"/>
          <w:color w:val="auto"/>
        </w:rPr>
      </w:pPr>
    </w:p>
    <w:p>
      <w:pPr>
        <w:jc w:val="both"/>
        <w:ind w:left="26" w:right="100"/>
        <w:spacing w:after="0" w:line="263" w:lineRule="auto"/>
        <w:rPr>
          <w:sz w:val="20"/>
          <w:szCs w:val="20"/>
          <w:color w:val="auto"/>
        </w:rPr>
      </w:pPr>
      <w:r>
        <w:rPr>
          <w:rFonts w:ascii="Arial" w:cs="Arial" w:eastAsia="Arial" w:hAnsi="Arial"/>
          <w:sz w:val="16"/>
          <w:szCs w:val="16"/>
          <w:color w:val="auto"/>
        </w:rPr>
        <w:t>As previously discussed, we recorded a non-cash charge of $45.3 million t o establish a full valuation allowance on the deferred tax assets during the fourth quarter of Fiscal 2009. During the fourth quarter of Fiscal 2008, we recorded a non-cash charge of $325,000 to establish a valuation allowance on tax credits that were determined not to be recoverable prior to their expiration.</w:t>
      </w:r>
    </w:p>
    <w:p>
      <w:pPr>
        <w:spacing w:after="0" w:line="164" w:lineRule="exact"/>
        <w:rPr>
          <w:sz w:val="20"/>
          <w:szCs w:val="20"/>
          <w:color w:val="auto"/>
        </w:rPr>
      </w:pPr>
    </w:p>
    <w:p>
      <w:pPr>
        <w:ind w:left="26"/>
        <w:spacing w:after="0"/>
        <w:rPr>
          <w:sz w:val="20"/>
          <w:szCs w:val="20"/>
          <w:color w:val="auto"/>
        </w:rPr>
      </w:pPr>
      <w:r>
        <w:rPr>
          <w:rFonts w:ascii="Arial" w:cs="Arial" w:eastAsia="Arial" w:hAnsi="Arial"/>
          <w:sz w:val="16"/>
          <w:szCs w:val="16"/>
          <w:i w:val="1"/>
          <w:iCs w:val="1"/>
          <w:color w:val="auto"/>
        </w:rPr>
        <w:t>Uncertain tax positions settlements and adjustments</w:t>
      </w:r>
    </w:p>
    <w:p>
      <w:pPr>
        <w:spacing w:after="0" w:line="28" w:lineRule="exact"/>
        <w:rPr>
          <w:sz w:val="20"/>
          <w:szCs w:val="20"/>
          <w:color w:val="auto"/>
        </w:rPr>
      </w:pPr>
    </w:p>
    <w:p>
      <w:pPr>
        <w:ind w:left="26"/>
        <w:spacing w:after="0" w:line="259" w:lineRule="auto"/>
        <w:rPr>
          <w:sz w:val="20"/>
          <w:szCs w:val="20"/>
          <w:color w:val="auto"/>
        </w:rPr>
      </w:pPr>
      <w:r>
        <w:rPr>
          <w:rFonts w:ascii="Arial" w:cs="Arial" w:eastAsia="Arial" w:hAnsi="Arial"/>
          <w:sz w:val="16"/>
          <w:szCs w:val="16"/>
          <w:color w:val="auto"/>
        </w:rPr>
        <w:t>During Fiscal 2009, we recognized a tax benefit of $500,000 as a result of favorable settlements with various taxing jurisdictions and other adjustments to uncertain tax positions, whic h increased the tax benefit rate by 0.9 percent. In Fiscal 2008, we had an effective tax benefit rate of 76.3 percent, which was based on the favorable settlements of uncertain tax positions with various taxing jurisdictions. The original unrecognized tax benefit associated with these positions was $14.6 million, of which $8.0 million was paid in cash per the settlement. The balance of this reserve, net of the related deferred taxes, resulted in a $4.1 million increase in tax benefit.</w:t>
      </w:r>
    </w:p>
    <w:p>
      <w:pPr>
        <w:spacing w:after="0" w:line="169" w:lineRule="exact"/>
        <w:rPr>
          <w:sz w:val="20"/>
          <w:szCs w:val="20"/>
          <w:color w:val="auto"/>
        </w:rPr>
      </w:pPr>
    </w:p>
    <w:p>
      <w:pPr>
        <w:ind w:left="26"/>
        <w:spacing w:after="0"/>
        <w:rPr>
          <w:sz w:val="20"/>
          <w:szCs w:val="20"/>
          <w:color w:val="auto"/>
        </w:rPr>
      </w:pPr>
      <w:r>
        <w:rPr>
          <w:rFonts w:ascii="Arial" w:cs="Arial" w:eastAsia="Arial" w:hAnsi="Arial"/>
          <w:sz w:val="16"/>
          <w:szCs w:val="16"/>
          <w:i w:val="1"/>
          <w:iCs w:val="1"/>
          <w:color w:val="auto"/>
        </w:rPr>
        <w:t>Other</w:t>
      </w:r>
    </w:p>
    <w:p>
      <w:pPr>
        <w:spacing w:after="0" w:line="28" w:lineRule="exact"/>
        <w:rPr>
          <w:sz w:val="20"/>
          <w:szCs w:val="20"/>
          <w:color w:val="auto"/>
        </w:rPr>
      </w:pPr>
    </w:p>
    <w:p>
      <w:pPr>
        <w:ind w:left="26" w:right="160"/>
        <w:spacing w:after="0" w:line="271" w:lineRule="auto"/>
        <w:rPr>
          <w:sz w:val="20"/>
          <w:szCs w:val="20"/>
          <w:color w:val="auto"/>
        </w:rPr>
      </w:pPr>
      <w:r>
        <w:rPr>
          <w:rFonts w:ascii="Arial" w:cs="Arial" w:eastAsia="Arial" w:hAnsi="Arial"/>
          <w:sz w:val="16"/>
          <w:szCs w:val="16"/>
          <w:color w:val="auto"/>
        </w:rPr>
        <w:t>Other primarily represents tax ben efits associated with tax planning initiatives implemented during Fiscal 2009, such as the extension of the research and development tax credit. In Fiscal 2008, tax planning initiatives represented additional tax benefits associated with tax-free income from investments in COLI.</w:t>
      </w:r>
    </w:p>
    <w:p>
      <w:pPr>
        <w:spacing w:after="0" w:line="124" w:lineRule="exact"/>
        <w:rPr>
          <w:sz w:val="20"/>
          <w:szCs w:val="20"/>
          <w:color w:val="auto"/>
        </w:rPr>
      </w:pPr>
    </w:p>
    <w:p>
      <w:pPr>
        <w:ind w:left="26" w:right="420"/>
        <w:spacing w:after="0" w:line="271" w:lineRule="auto"/>
        <w:rPr>
          <w:sz w:val="20"/>
          <w:szCs w:val="20"/>
          <w:color w:val="auto"/>
        </w:rPr>
      </w:pPr>
      <w:r>
        <w:rPr>
          <w:rFonts w:ascii="Arial" w:cs="Arial" w:eastAsia="Arial" w:hAnsi="Arial"/>
          <w:sz w:val="16"/>
          <w:szCs w:val="16"/>
          <w:color w:val="auto"/>
        </w:rPr>
        <w:t>Net loss and diluted loss per share were $78.8 million and $2.71 per share, respectively, for Fiscal 2009. In Fiscal 2008, net income was $2.8 million and diluted income was $0.10 per share.</w:t>
      </w:r>
    </w:p>
    <w:p>
      <w:pPr>
        <w:spacing w:after="0" w:line="104"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Impact of Inflation</w:t>
      </w:r>
    </w:p>
    <w:p>
      <w:pPr>
        <w:spacing w:after="0" w:line="179" w:lineRule="exact"/>
        <w:rPr>
          <w:sz w:val="20"/>
          <w:szCs w:val="20"/>
          <w:color w:val="auto"/>
        </w:rPr>
      </w:pPr>
    </w:p>
    <w:p>
      <w:pPr>
        <w:ind w:left="26" w:right="300"/>
        <w:spacing w:after="0" w:line="271" w:lineRule="auto"/>
        <w:rPr>
          <w:sz w:val="20"/>
          <w:szCs w:val="20"/>
          <w:color w:val="auto"/>
        </w:rPr>
      </w:pPr>
      <w:r>
        <w:rPr>
          <w:rFonts w:ascii="Arial" w:cs="Arial" w:eastAsia="Arial" w:hAnsi="Arial"/>
          <w:sz w:val="16"/>
          <w:szCs w:val="16"/>
          <w:color w:val="auto"/>
        </w:rPr>
        <w:t>Historically, the impact of inflation on our operations has not been significantly detrimental, as we have usually been a ble to adjust our prices to reflect the inflationary impact on the cost of manufacturing our products. While we have historically</w:t>
      </w:r>
    </w:p>
    <w:p>
      <w:pPr>
        <w:spacing w:after="0" w:line="151"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46"/>
          </w:cols>
          <w:pgMar w:left="214" w:top="153" w:right="239" w:bottom="1440" w:gutter="0" w:footer="0" w:header="0"/>
        </w:sectPr>
      </w:pPr>
    </w:p>
    <w:bookmarkStart w:id="21" w:name="page22"/>
    <w:bookmarkEnd w:id="21"/>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8" w:lineRule="exact"/>
        <w:rPr>
          <w:sz w:val="20"/>
          <w:szCs w:val="20"/>
          <w:color w:val="auto"/>
        </w:rPr>
      </w:pPr>
    </w:p>
    <w:p>
      <w:pPr>
        <w:ind w:left="2" w:right="40"/>
        <w:spacing w:after="0" w:line="271" w:lineRule="auto"/>
        <w:rPr>
          <w:sz w:val="20"/>
          <w:szCs w:val="20"/>
          <w:color w:val="auto"/>
        </w:rPr>
      </w:pPr>
      <w:r>
        <w:rPr>
          <w:rFonts w:ascii="Arial" w:cs="Arial" w:eastAsia="Arial" w:hAnsi="Arial"/>
          <w:sz w:val="16"/>
          <w:szCs w:val="16"/>
          <w:color w:val="auto"/>
        </w:rPr>
        <w:t>been able to pass on these increased costs, in the event we are unable to continue to do so due to market conditions, future increases in manufacturing costs could have a material adverse effect on our results of operations.</w:t>
      </w:r>
    </w:p>
    <w:p>
      <w:pPr>
        <w:spacing w:after="0" w:line="30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79" w:lineRule="exact"/>
        <w:rPr>
          <w:sz w:val="20"/>
          <w:szCs w:val="20"/>
          <w:color w:val="auto"/>
        </w:rPr>
      </w:pPr>
    </w:p>
    <w:p>
      <w:pPr>
        <w:ind w:left="2" w:right="460"/>
        <w:spacing w:after="0" w:line="271" w:lineRule="auto"/>
        <w:rPr>
          <w:sz w:val="20"/>
          <w:szCs w:val="20"/>
          <w:color w:val="auto"/>
        </w:rPr>
      </w:pPr>
      <w:r>
        <w:rPr>
          <w:rFonts w:ascii="Arial" w:cs="Arial" w:eastAsia="Arial" w:hAnsi="Arial"/>
          <w:sz w:val="16"/>
          <w:szCs w:val="16"/>
          <w:color w:val="auto"/>
        </w:rPr>
        <w:t>Cash and cash equivalents increased $38.1 million during Fiscal 2010 and totaled $74.7 million as of August 28, 2010&lt; font style="font-family:Arial;font-size:10pt;"&gt;. The significant liquidity events that occurred during Fiscal 2010 were:</w:t>
      </w:r>
    </w:p>
    <w:p>
      <w:pPr>
        <w:spacing w:after="0" w:line="198" w:lineRule="exact"/>
        <w:rPr>
          <w:sz w:val="20"/>
          <w:szCs w:val="20"/>
          <w:color w:val="auto"/>
        </w:rPr>
      </w:pPr>
    </w:p>
    <w:p>
      <w:pPr>
        <w:ind w:left="302" w:right="600" w:hanging="302"/>
        <w:spacing w:after="0" w:line="271" w:lineRule="auto"/>
        <w:tabs>
          <w:tab w:leader="none" w:pos="302"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Receipt of tax refunds (net of payments) of $24.4 million: As previously discussed, we filed carryback federal tax returns and received total federal refunds, net of payments, of $22.8 million. We also received state refunds, net of payments, o f $1.6 million.</w:t>
      </w:r>
    </w:p>
    <w:p>
      <w:pPr>
        <w:spacing w:after="0" w:line="197" w:lineRule="exact"/>
        <w:rPr>
          <w:rFonts w:ascii="Arial" w:cs="Arial" w:eastAsia="Arial" w:hAnsi="Arial"/>
          <w:sz w:val="16"/>
          <w:szCs w:val="16"/>
          <w:color w:val="auto"/>
        </w:rPr>
      </w:pPr>
    </w:p>
    <w:p>
      <w:pPr>
        <w:ind w:left="302" w:right="20" w:hanging="302"/>
        <w:spacing w:after="0" w:line="263" w:lineRule="auto"/>
        <w:tabs>
          <w:tab w:leader="none" w:pos="302"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Auction Rate Securities (ARS) net redemptions of $6.8 million: Our entire UBS AG (UBS) ARS portfolio balance of $13.5 million was redeemed at par and we repaid all associated borrowings on these assets of $9.1 million. Also, $2.4 million of our remaining ARS portfolio was redeemed at par during the year. We have $17.9 million ARS at par value classified as long-term investments as of August 28, 2010. See further discussion in Note 3.</w:t>
      </w:r>
    </w:p>
    <w:p>
      <w:pPr>
        <w:spacing w:after="0" w:line="205" w:lineRule="exact"/>
        <w:rPr>
          <w:sz w:val="20"/>
          <w:szCs w:val="20"/>
          <w:color w:val="auto"/>
        </w:rPr>
      </w:pPr>
    </w:p>
    <w:p>
      <w:pPr>
        <w:ind w:left="2" w:right="380"/>
        <w:spacing w:after="0" w:line="271" w:lineRule="auto"/>
        <w:rPr>
          <w:sz w:val="20"/>
          <w:szCs w:val="20"/>
          <w:color w:val="auto"/>
        </w:rPr>
      </w:pPr>
      <w:r>
        <w:rPr>
          <w:rFonts w:ascii="Arial" w:cs="Arial" w:eastAsia="Arial" w:hAnsi="Arial"/>
          <w:sz w:val="16"/>
          <w:szCs w:val="16"/>
          <w:color w:val="auto"/>
        </w:rPr>
        <w:t>We have two manufacturing facilities held for sale at fiscal year end, one of which we have a sales agreement in place to sell for $3.9 million on or before November 1, 2010 (subject to certain closing conditions).</w:t>
      </w:r>
    </w:p>
    <w:p>
      <w:pPr>
        <w:spacing w:after="0" w:line="198" w:lineRule="exact"/>
        <w:rPr>
          <w:sz w:val="20"/>
          <w:szCs w:val="20"/>
          <w:color w:val="auto"/>
        </w:rPr>
      </w:pPr>
    </w:p>
    <w:p>
      <w:pPr>
        <w:ind w:left="2"/>
        <w:spacing w:after="0" w:line="259" w:lineRule="auto"/>
        <w:rPr>
          <w:sz w:val="20"/>
          <w:szCs w:val="20"/>
          <w:color w:val="auto"/>
        </w:rPr>
      </w:pPr>
      <w:r>
        <w:rPr>
          <w:rFonts w:ascii="Arial" w:cs="Arial" w:eastAsia="Arial" w:hAnsi="Arial"/>
          <w:sz w:val="16"/>
          <w:szCs w:val="16"/>
          <w:color w:val="auto"/>
        </w:rPr>
        <w:t>We also have in place a $20 million revolving credit facility, as described in further detail in Note 6, that allows us to borrow up to $12.5 million without financial covenant restrictions if there is adequate asset coverage. We had sufficient asset coverage in accounts receivable and inventory at the end of Fiscal 2010 to access the entire $12.5 million.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w:t>
      </w:r>
    </w:p>
    <w:p>
      <w:pPr>
        <w:spacing w:after="0" w:line="209" w:lineRule="exact"/>
        <w:rPr>
          <w:sz w:val="20"/>
          <w:szCs w:val="20"/>
          <w:color w:val="auto"/>
        </w:rPr>
      </w:pPr>
    </w:p>
    <w:p>
      <w:pPr>
        <w:ind w:left="2"/>
        <w:spacing w:after="0" w:line="261" w:lineRule="auto"/>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 conditions, we have the ability to offer and sell up to $35 million of our common stock in one or more offerings p 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05" w:lineRule="exact"/>
        <w:rPr>
          <w:sz w:val="20"/>
          <w:szCs w:val="20"/>
          <w:color w:val="auto"/>
        </w:rPr>
      </w:pPr>
    </w:p>
    <w:p>
      <w:pPr>
        <w:ind w:left="2" w:right="160"/>
        <w:spacing w:after="0" w:line="263" w:lineRule="auto"/>
        <w:rPr>
          <w:sz w:val="20"/>
          <w:szCs w:val="20"/>
          <w:color w:val="auto"/>
        </w:rPr>
      </w:pPr>
      <w:r>
        <w:rPr>
          <w:rFonts w:ascii="Arial" w:cs="Arial" w:eastAsia="Arial" w:hAnsi="Arial"/>
          <w:sz w:val="16"/>
          <w:szCs w:val="16"/>
          <w:color w:val="auto"/>
        </w:rPr>
        <w:t>Working capital at August 28, 2010 and August 29, 2009 was $91.3 million and $79.5 million, respectively, an increase of $11.9 million. We currently expect cash on hand, funds generated from operations (if any) and the availability under the credit facility to be sufficient to cover both short-term and long-term operating requirements. We anticipate capital expenditures of Fiscal 2011 of approximately $3.0 million, primarily for manufacturing equipment and facilities.</w:t>
      </w:r>
    </w:p>
    <w:p>
      <w:pPr>
        <w:spacing w:after="0" w:line="11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Operating Activities</w:t>
      </w:r>
    </w:p>
    <w:p>
      <w:pPr>
        <w:spacing w:after="0" w:line="175" w:lineRule="exact"/>
        <w:rPr>
          <w:sz w:val="20"/>
          <w:szCs w:val="20"/>
          <w:color w:val="auto"/>
        </w:rPr>
      </w:pPr>
    </w:p>
    <w:p>
      <w:pPr>
        <w:ind w:left="2"/>
        <w:spacing w:after="0" w:line="259" w:lineRule="auto"/>
        <w:rPr>
          <w:sz w:val="20"/>
          <w:szCs w:val="20"/>
          <w:color w:val="auto"/>
        </w:rPr>
      </w:pPr>
      <w:r>
        <w:rPr>
          <w:rFonts w:ascii="Arial" w:cs="Arial" w:eastAsia="Arial" w:hAnsi="Arial"/>
          <w:sz w:val="16"/>
          <w:szCs w:val="16"/>
          <w:color w:val="auto"/>
        </w:rPr>
        <w:t>Cas h provided by operating activities was $33.0 million for the fiscal year ended August 28, 2010 compared to cash provided by operating activities of $8.3 million for the fiscal year ended August 29, 2009. The combination of a net income of $10.2 million in the current year and an improvem ent in non-cash charges (e.g., depreciation, stock-based compensation) provided $17.4 million of operating cash compared to a usage of $30.9 million in the prior year period. In Fiscal 2010, changes in assets and liabilities (primarily income tax refunds and inventory reductions) provided an additional $15.6 million of operating cash. In Fiscal 2009, changes in assets and liabilities (primarily inventory reductions) provided an additional $39.2 million operating cash.</w:t>
      </w:r>
    </w:p>
    <w:p>
      <w:pPr>
        <w:spacing w:after="0" w:line="12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Investing Activities</w:t>
      </w:r>
    </w:p>
    <w:p>
      <w:pPr>
        <w:spacing w:after="0" w:line="249" w:lineRule="exact"/>
        <w:rPr>
          <w:sz w:val="20"/>
          <w:szCs w:val="20"/>
          <w:color w:val="auto"/>
        </w:rPr>
      </w:pPr>
    </w:p>
    <w:p>
      <w:pPr>
        <w:ind w:left="2" w:right="240"/>
        <w:spacing w:after="0" w:line="263" w:lineRule="auto"/>
        <w:rPr>
          <w:sz w:val="20"/>
          <w:szCs w:val="20"/>
          <w:color w:val="auto"/>
        </w:rPr>
      </w:pPr>
      <w:r>
        <w:rPr>
          <w:rFonts w:ascii="Arial" w:cs="Arial" w:eastAsia="Arial" w:hAnsi="Arial"/>
          <w:sz w:val="16"/>
          <w:szCs w:val="16"/>
          <w:color w:val="auto"/>
        </w:rPr>
        <w:t>Cash provided by investing activities of $14.3 million in Fiscal &lt; /font&gt;2010 was due primarily to ARS redemptions of $15.9 million, partially offset by capital spending of $1.9 million. During Fiscal 2009, cash provided by investing activities of $5.0 million was primarily due to ARS redemptions of $8.9 million, partially offset by capital spending of $3.5 million.</w:t>
      </w:r>
    </w:p>
    <w:p>
      <w:pPr>
        <w:spacing w:after="0" w:line="11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Financing Activities</w:t>
      </w:r>
    </w:p>
    <w:p>
      <w:pPr>
        <w:spacing w:after="0" w:line="175" w:lineRule="exact"/>
        <w:rPr>
          <w:sz w:val="20"/>
          <w:szCs w:val="20"/>
          <w:color w:val="auto"/>
        </w:rPr>
      </w:pPr>
    </w:p>
    <w:p>
      <w:pPr>
        <w:jc w:val="both"/>
        <w:ind w:left="2" w:right="200"/>
        <w:spacing w:after="0" w:line="263" w:lineRule="auto"/>
        <w:rPr>
          <w:sz w:val="20"/>
          <w:szCs w:val="20"/>
          <w:color w:val="auto"/>
        </w:rPr>
      </w:pPr>
      <w:r>
        <w:rPr>
          <w:rFonts w:ascii="Arial" w:cs="Arial" w:eastAsia="Arial" w:hAnsi="Arial"/>
          <w:sz w:val="16"/>
          <w:szCs w:val="16"/>
          <w:color w:val="auto"/>
        </w:rPr>
        <w:t>Cash used in financing activities for the fiscal year ended August 28, 2010 was $9.1 million for repayments on borrowings from our ARS portfolio. Cash pro vided by financing activities for the fiscal year ended August 29, 2009 was due to borrowings on our ARS portfolio of $9.1 million, partially offset by dividend payments of $3.5 million.</w:t>
      </w:r>
    </w:p>
    <w:p>
      <w:pPr>
        <w:spacing w:after="0" w:line="200" w:lineRule="exact"/>
        <w:rPr>
          <w:sz w:val="20"/>
          <w:szCs w:val="20"/>
          <w:color w:val="auto"/>
        </w:rPr>
      </w:pPr>
    </w:p>
    <w:p>
      <w:pPr>
        <w:spacing w:after="0" w:line="302"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22"/>
          </w:cols>
          <w:pgMar w:left="238" w:top="153" w:right="239" w:bottom="1440" w:gutter="0" w:footer="0" w:header="0"/>
        </w:sectPr>
      </w:pPr>
    </w:p>
    <w:bookmarkStart w:id="22" w:name="page23"/>
    <w:bookmarkEnd w:id="22"/>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principal contractual obligations and commercial commitments as of August 28, 2010 were as follows:</w:t>
      </w:r>
    </w:p>
    <w:p>
      <w:pPr>
        <w:spacing w:after="0" w:line="135" w:lineRule="exact"/>
        <w:rPr>
          <w:sz w:val="20"/>
          <w:szCs w:val="20"/>
          <w:color w:val="auto"/>
        </w:rPr>
      </w:pPr>
    </w:p>
    <w:p>
      <w:pPr>
        <w:ind w:left="5182" w:hanging="135"/>
        <w:spacing w:after="0"/>
        <w:tabs>
          <w:tab w:leader="none" w:pos="51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td width="45%"&gt;</w:t>
      </w:r>
    </w:p>
    <w:p>
      <w:pPr>
        <w:spacing w:after="0" w:line="29" w:lineRule="exact"/>
        <w:rPr>
          <w:rFonts w:ascii="Arial" w:cs="Arial" w:eastAsia="Arial" w:hAnsi="Arial"/>
          <w:sz w:val="16"/>
          <w:szCs w:val="16"/>
          <w:color w:val="auto"/>
        </w:rPr>
      </w:pPr>
    </w:p>
    <w:p>
      <w:pPr>
        <w:ind w:left="5302"/>
        <w:spacing w:after="0"/>
        <w:rPr>
          <w:rFonts w:ascii="Arial" w:cs="Arial" w:eastAsia="Arial" w:hAnsi="Arial"/>
          <w:sz w:val="16"/>
          <w:szCs w:val="16"/>
          <w:color w:val="auto"/>
        </w:rPr>
      </w:pPr>
      <w:r>
        <w:rPr>
          <w:rFonts w:ascii="Arial" w:cs="Arial" w:eastAsia="Arial" w:hAnsi="Arial"/>
          <w:sz w:val="16"/>
          <w:szCs w:val="16"/>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28575</wp:posOffset>
            </wp:positionV>
            <wp:extent cx="65659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65900" cy="7620"/>
                    </a:xfrm>
                    <a:prstGeom prst="rect">
                      <a:avLst/>
                    </a:prstGeom>
                    <a:noFill/>
                  </pic:spPr>
                </pic:pic>
              </a:graphicData>
            </a:graphic>
          </wp:anchor>
        </w:drawing>
      </w:r>
    </w:p>
    <w:p>
      <w:pPr>
        <w:spacing w:after="0" w:line="4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(In</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Fiscal</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398"/>
              <w:spacing w:after="0"/>
              <w:rPr>
                <w:sz w:val="20"/>
                <w:szCs w:val="20"/>
                <w:color w:val="auto"/>
              </w:rPr>
            </w:pPr>
            <w:r>
              <w:rPr>
                <w:rFonts w:ascii="Arial" w:cs="Arial" w:eastAsia="Arial" w:hAnsi="Arial"/>
                <w:sz w:val="16"/>
                <w:szCs w:val="16"/>
                <w:b w:val="1"/>
                <w:bCs w:val="1"/>
                <w:color w:val="auto"/>
              </w:rPr>
              <w:t>Fiscal</w:t>
            </w:r>
          </w:p>
        </w:tc>
        <w:tc>
          <w:tcPr>
            <w:tcW w:w="560" w:type="dxa"/>
            <w:vAlign w:val="bottom"/>
          </w:tcPr>
          <w:p>
            <w:pPr>
              <w:spacing w:after="0"/>
              <w:rPr>
                <w:sz w:val="16"/>
                <w:szCs w:val="16"/>
                <w:color w:val="auto"/>
              </w:rPr>
            </w:pPr>
          </w:p>
        </w:tc>
        <w:tc>
          <w:tcPr>
            <w:tcW w:w="1420" w:type="dxa"/>
            <w:vAlign w:val="bottom"/>
          </w:tcPr>
          <w:p>
            <w:pPr>
              <w:jc w:val="right"/>
              <w:ind w:right="638"/>
              <w:spacing w:after="0"/>
              <w:rPr>
                <w:sz w:val="20"/>
                <w:szCs w:val="20"/>
                <w:color w:val="auto"/>
              </w:rPr>
            </w:pPr>
            <w:r>
              <w:rPr>
                <w:rFonts w:ascii="Arial" w:cs="Arial" w:eastAsia="Arial" w:hAnsi="Arial"/>
                <w:sz w:val="16"/>
                <w:szCs w:val="16"/>
                <w:b w:val="1"/>
                <w:bCs w:val="1"/>
                <w:color w:val="auto"/>
              </w:rPr>
              <w:t>Fiscal</w:t>
            </w:r>
          </w:p>
        </w:tc>
        <w:tc>
          <w:tcPr>
            <w:tcW w:w="560" w:type="dxa"/>
            <w:vAlign w:val="bottom"/>
          </w:tcPr>
          <w:p>
            <w:pPr>
              <w:spacing w:after="0"/>
              <w:rPr>
                <w:sz w:val="16"/>
                <w:szCs w:val="16"/>
                <w:color w:val="auto"/>
              </w:rPr>
            </w:pPr>
          </w:p>
        </w:tc>
        <w:tc>
          <w:tcPr>
            <w:tcW w:w="3120" w:type="dxa"/>
            <w:vAlign w:val="bottom"/>
            <w:gridSpan w:val="2"/>
          </w:tcPr>
          <w:p>
            <w:pPr>
              <w:jc w:val="center"/>
              <w:ind w:right="458"/>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thousands)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2012-2013</w:t>
            </w: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2014-2015</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1418"/>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07"/>
        </w:trPr>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Postretirement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health care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CEEFF"/>
          </w:tcPr>
          <w:p>
            <w:pPr>
              <w:spacing w:after="0" w:line="212" w:lineRule="exact"/>
              <w:rPr>
                <w:sz w:val="20"/>
                <w:szCs w:val="20"/>
                <w:color w:val="auto"/>
              </w:rPr>
            </w:pPr>
            <w:r>
              <w:rPr>
                <w:rFonts w:ascii="Arial" w:cs="Arial" w:eastAsia="Arial" w:hAnsi="Arial"/>
                <w:sz w:val="16"/>
                <w:szCs w:val="16"/>
                <w:color w:val="auto"/>
              </w:rPr>
              <w:t xml:space="preserve">obligations </w:t>
            </w:r>
            <w:r>
              <w:rPr>
                <w:rFonts w:ascii="Arial" w:cs="Arial" w:eastAsia="Arial" w:hAnsi="Arial"/>
                <w:sz w:val="19"/>
                <w:szCs w:val="19"/>
                <w:color w:val="auto"/>
                <w:vertAlign w:val="superscript"/>
              </w:rPr>
              <w:t>(1)</w:t>
            </w:r>
          </w:p>
        </w:tc>
        <w:tc>
          <w:tcPr>
            <w:tcW w:w="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40,327</w:t>
            </w:r>
          </w:p>
        </w:tc>
        <w:tc>
          <w:tcPr>
            <w:tcW w:w="1060" w:type="dxa"/>
            <w:vAlign w:val="bottom"/>
            <w:shd w:val="clear" w:color="auto" w:fill="CCEEFF"/>
          </w:tcPr>
          <w:p>
            <w:pPr>
              <w:jc w:val="right"/>
              <w:ind w:right="81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1,262</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w:t>
            </w:r>
          </w:p>
        </w:tc>
        <w:tc>
          <w:tcPr>
            <w:tcW w:w="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3,829</w:t>
            </w:r>
          </w:p>
        </w:tc>
        <w:tc>
          <w:tcPr>
            <w:tcW w:w="56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3120" w:type="dxa"/>
            <w:vAlign w:val="bottom"/>
            <w:gridSpan w:val="2"/>
            <w:shd w:val="clear" w:color="auto" w:fill="CCEEFF"/>
          </w:tcPr>
          <w:p>
            <w:pPr>
              <w:jc w:val="right"/>
              <w:ind w:right="2078"/>
              <w:spacing w:after="0"/>
              <w:rPr>
                <w:sz w:val="20"/>
                <w:szCs w:val="20"/>
                <w:color w:val="auto"/>
              </w:rPr>
            </w:pPr>
            <w:r>
              <w:rPr>
                <w:rFonts w:ascii="Arial" w:cs="Arial" w:eastAsia="Arial" w:hAnsi="Arial"/>
                <w:sz w:val="16"/>
                <w:szCs w:val="16"/>
                <w:color w:val="auto"/>
              </w:rPr>
              <w:t>32,112</w:t>
            </w:r>
          </w:p>
        </w:tc>
        <w:tc>
          <w:tcPr>
            <w:tcW w:w="0" w:type="dxa"/>
            <w:vAlign w:val="bottom"/>
          </w:tcPr>
          <w:p>
            <w:pPr>
              <w:spacing w:after="0"/>
              <w:rPr>
                <w:sz w:val="1"/>
                <w:szCs w:val="1"/>
                <w:color w:val="auto"/>
              </w:rPr>
            </w:pPr>
          </w:p>
        </w:tc>
      </w:tr>
      <w:tr>
        <w:trPr>
          <w:trHeight w:val="208"/>
        </w:trPr>
        <w:tc>
          <w:tcPr>
            <w:tcW w:w="1080" w:type="dxa"/>
            <w:vAlign w:val="bottom"/>
          </w:tcPr>
          <w:p>
            <w:pPr>
              <w:ind w:left="20"/>
              <w:spacing w:after="0"/>
              <w:rPr>
                <w:sz w:val="20"/>
                <w:szCs w:val="20"/>
                <w:color w:val="auto"/>
              </w:rPr>
            </w:pPr>
            <w:r>
              <w:rPr>
                <w:rFonts w:ascii="Arial" w:cs="Arial" w:eastAsia="Arial" w:hAnsi="Arial"/>
                <w:sz w:val="16"/>
                <w:szCs w:val="16"/>
                <w:color w:val="auto"/>
              </w:rPr>
              <w:t>Deferred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line="182" w:lineRule="exact"/>
              <w:rPr>
                <w:sz w:val="20"/>
                <w:szCs w:val="20"/>
                <w:color w:val="auto"/>
              </w:rPr>
            </w:pPr>
            <w:r>
              <w:rPr>
                <w:rFonts w:ascii="Arial" w:cs="Arial" w:eastAsia="Arial" w:hAnsi="Arial"/>
                <w:sz w:val="16"/>
                <w:szCs w:val="16"/>
                <w:color w:val="auto"/>
              </w:rPr>
              <w:t>compensation</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20" w:type="dxa"/>
            <w:vAlign w:val="bottom"/>
            <w:gridSpan w:val="2"/>
          </w:tcPr>
          <w:p>
            <w:pPr>
              <w:jc w:val="right"/>
              <w:ind w:right="2078"/>
              <w:spacing w:after="0" w:line="182" w:lineRule="exact"/>
              <w:rPr>
                <w:sz w:val="20"/>
                <w:szCs w:val="20"/>
                <w:color w:val="auto"/>
              </w:rPr>
            </w:pPr>
            <w:r>
              <w:rPr>
                <w:rFonts w:ascii="Arial" w:cs="Arial" w:eastAsia="Arial" w:hAnsi="Arial"/>
                <w:sz w:val="16"/>
                <w:szCs w:val="16"/>
                <w:color w:val="auto"/>
              </w:rPr>
              <w:t>13,885</w:t>
            </w:r>
          </w:p>
        </w:tc>
        <w:tc>
          <w:tcPr>
            <w:tcW w:w="0" w:type="dxa"/>
            <w:vAlign w:val="bottom"/>
          </w:tcPr>
          <w:p>
            <w:pPr>
              <w:spacing w:after="0"/>
              <w:rPr>
                <w:sz w:val="1"/>
                <w:szCs w:val="1"/>
                <w:color w:val="auto"/>
              </w:rPr>
            </w:pPr>
          </w:p>
        </w:tc>
      </w:tr>
      <w:tr>
        <w:trPr>
          <w:trHeight w:val="211"/>
        </w:trPr>
        <w:tc>
          <w:tcPr>
            <w:tcW w:w="1080" w:type="dxa"/>
            <w:vAlign w:val="bottom"/>
          </w:tcPr>
          <w:p>
            <w:pPr>
              <w:ind w:left="20"/>
              <w:spacing w:after="0" w:line="212" w:lineRule="exact"/>
              <w:rPr>
                <w:sz w:val="20"/>
                <w:szCs w:val="20"/>
                <w:color w:val="auto"/>
              </w:rPr>
            </w:pPr>
            <w:r>
              <w:rPr>
                <w:rFonts w:ascii="Arial" w:cs="Arial" w:eastAsia="Arial" w:hAnsi="Arial"/>
                <w:sz w:val="16"/>
                <w:szCs w:val="16"/>
                <w:color w:val="auto"/>
              </w:rPr>
              <w:t xml:space="preserve">obligations </w:t>
            </w:r>
            <w:r>
              <w:rPr>
                <w:rFonts w:ascii="Arial" w:cs="Arial" w:eastAsia="Arial" w:hAnsi="Arial"/>
                <w:sz w:val="19"/>
                <w:szCs w:val="19"/>
                <w:color w:val="auto"/>
                <w:vertAlign w:val="superscript"/>
              </w:rPr>
              <w:t>(1)</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25,446</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2,546</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4,717</w:t>
            </w:r>
          </w:p>
        </w:tc>
        <w:tc>
          <w:tcPr>
            <w:tcW w:w="560" w:type="dxa"/>
            <w:vAlign w:val="bottom"/>
          </w:tcPr>
          <w:p>
            <w:pPr>
              <w:spacing w:after="0"/>
              <w:rPr>
                <w:sz w:val="18"/>
                <w:szCs w:val="18"/>
                <w:color w:val="auto"/>
              </w:rPr>
            </w:pPr>
          </w:p>
        </w:tc>
        <w:tc>
          <w:tcPr>
            <w:tcW w:w="1420" w:type="dxa"/>
            <w:vAlign w:val="bottom"/>
          </w:tcPr>
          <w:p>
            <w:pPr>
              <w:jc w:val="right"/>
              <w:ind w:right="318"/>
              <w:spacing w:after="0"/>
              <w:rPr>
                <w:sz w:val="20"/>
                <w:szCs w:val="20"/>
                <w:color w:val="auto"/>
              </w:rPr>
            </w:pPr>
            <w:r>
              <w:rPr>
                <w:rFonts w:ascii="Arial" w:cs="Arial" w:eastAsia="Arial" w:hAnsi="Arial"/>
                <w:sz w:val="16"/>
                <w:szCs w:val="16"/>
                <w:color w:val="auto"/>
              </w:rPr>
              <w:t>4,298</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share option</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obligations </w:t>
            </w:r>
            <w:r>
              <w:rPr>
                <w:rFonts w:ascii="Arial" w:cs="Arial" w:eastAsia="Arial" w:hAnsi="Arial"/>
                <w:sz w:val="19"/>
                <w:szCs w:val="19"/>
                <w:color w:val="auto"/>
                <w:vertAlign w:val="superscript"/>
              </w:rPr>
              <w:t>(1)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8,698</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2,302</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2078"/>
              <w:spacing w:after="0"/>
              <w:rPr>
                <w:sz w:val="20"/>
                <w:szCs w:val="20"/>
                <w:color w:val="auto"/>
              </w:rPr>
            </w:pPr>
            <w:r>
              <w:rPr>
                <w:rFonts w:ascii="Arial" w:cs="Arial" w:eastAsia="Arial" w:hAnsi="Arial"/>
                <w:sz w:val="16"/>
                <w:szCs w:val="16"/>
                <w:color w:val="auto"/>
              </w:rPr>
              <w:t>5,308</w:t>
            </w:r>
          </w:p>
        </w:tc>
        <w:tc>
          <w:tcPr>
            <w:tcW w:w="0" w:type="dxa"/>
            <w:vAlign w:val="bottom"/>
          </w:tcPr>
          <w:p>
            <w:pPr>
              <w:spacing w:after="0"/>
              <w:rPr>
                <w:sz w:val="1"/>
                <w:szCs w:val="1"/>
                <w:color w:val="auto"/>
              </w:rPr>
            </w:pPr>
          </w:p>
        </w:tc>
      </w:tr>
      <w:tr>
        <w:trPr>
          <w:trHeight w:val="208"/>
        </w:trPr>
        <w:tc>
          <w:tcPr>
            <w:tcW w:w="1080" w:type="dxa"/>
            <w:vAlign w:val="bottom"/>
          </w:tcPr>
          <w:p>
            <w:pPr>
              <w:ind w:left="20"/>
              <w:spacing w:after="0"/>
              <w:rPr>
                <w:sz w:val="20"/>
                <w:szCs w:val="20"/>
                <w:color w:val="auto"/>
              </w:rPr>
            </w:pPr>
            <w:r>
              <w:rPr>
                <w:rFonts w:ascii="Arial" w:cs="Arial" w:eastAsia="Arial" w:hAnsi="Arial"/>
                <w:sz w:val="16"/>
                <w:szCs w:val="16"/>
                <w:color w:val="auto"/>
              </w:rPr>
              <w:t>Supplemental</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rPr>
                <w:sz w:val="20"/>
                <w:szCs w:val="20"/>
                <w:color w:val="auto"/>
              </w:rPr>
            </w:pPr>
            <w:r>
              <w:rPr>
                <w:rFonts w:ascii="Arial" w:cs="Arial" w:eastAsia="Arial" w:hAnsi="Arial"/>
                <w:sz w:val="16"/>
                <w:szCs w:val="16"/>
                <w:color w:val="auto"/>
              </w:rPr>
              <w:t>executive</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rPr>
                <w:sz w:val="20"/>
                <w:szCs w:val="20"/>
                <w:color w:val="auto"/>
              </w:rPr>
            </w:pPr>
            <w:r>
              <w:rPr>
                <w:rFonts w:ascii="Arial" w:cs="Arial" w:eastAsia="Arial" w:hAnsi="Arial"/>
                <w:sz w:val="16"/>
                <w:szCs w:val="16"/>
                <w:color w:val="auto"/>
              </w:rPr>
              <w:t>retirement</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rPr>
                <w:sz w:val="20"/>
                <w:szCs w:val="20"/>
                <w:color w:val="auto"/>
              </w:rPr>
            </w:pPr>
            <w:r>
              <w:rPr>
                <w:rFonts w:ascii="Arial" w:cs="Arial" w:eastAsia="Arial" w:hAnsi="Arial"/>
                <w:sz w:val="16"/>
                <w:szCs w:val="16"/>
                <w:color w:val="auto"/>
              </w:rPr>
              <w:t>plan benefit</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rPr>
                <w:sz w:val="20"/>
                <w:szCs w:val="20"/>
                <w:color w:val="auto"/>
              </w:rPr>
            </w:pPr>
            <w:r>
              <w:rPr>
                <w:rFonts w:ascii="Arial" w:cs="Arial" w:eastAsia="Arial" w:hAnsi="Arial"/>
                <w:sz w:val="16"/>
                <w:szCs w:val="16"/>
                <w:color w:val="auto"/>
              </w:rPr>
              <w:t xml:space="preserve">obligations </w:t>
            </w:r>
            <w:r>
              <w:rPr>
                <w:rFonts w:ascii="Arial" w:cs="Arial" w:eastAsia="Arial" w:hAnsi="Arial"/>
                <w:sz w:val="13"/>
                <w:szCs w:val="13"/>
                <w:color w:val="auto"/>
              </w:rPr>
              <w:t>(1)</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3,107</w:t>
            </w: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218</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416</w:t>
            </w:r>
          </w:p>
        </w:tc>
        <w:tc>
          <w:tcPr>
            <w:tcW w:w="560" w:type="dxa"/>
            <w:vAlign w:val="bottom"/>
          </w:tcPr>
          <w:p>
            <w:pPr>
              <w:spacing w:after="0"/>
              <w:rPr>
                <w:sz w:val="17"/>
                <w:szCs w:val="17"/>
                <w:color w:val="auto"/>
              </w:rPr>
            </w:pPr>
          </w:p>
        </w:tc>
        <w:tc>
          <w:tcPr>
            <w:tcW w:w="1420" w:type="dxa"/>
            <w:vAlign w:val="bottom"/>
          </w:tcPr>
          <w:p>
            <w:pPr>
              <w:jc w:val="right"/>
              <w:ind w:right="318"/>
              <w:spacing w:after="0"/>
              <w:rPr>
                <w:sz w:val="20"/>
                <w:szCs w:val="20"/>
                <w:color w:val="auto"/>
              </w:rPr>
            </w:pPr>
            <w:r>
              <w:rPr>
                <w:rFonts w:ascii="Arial" w:cs="Arial" w:eastAsia="Arial" w:hAnsi="Arial"/>
                <w:sz w:val="16"/>
                <w:szCs w:val="16"/>
                <w:color w:val="auto"/>
              </w:rPr>
              <w:t>288</w:t>
            </w:r>
          </w:p>
        </w:tc>
        <w:tc>
          <w:tcPr>
            <w:tcW w:w="560" w:type="dxa"/>
            <w:vAlign w:val="bottom"/>
          </w:tcPr>
          <w:p>
            <w:pPr>
              <w:spacing w:after="0"/>
              <w:rPr>
                <w:sz w:val="17"/>
                <w:szCs w:val="17"/>
                <w:color w:val="auto"/>
              </w:rPr>
            </w:pPr>
          </w:p>
        </w:tc>
        <w:tc>
          <w:tcPr>
            <w:tcW w:w="3120" w:type="dxa"/>
            <w:vAlign w:val="bottom"/>
            <w:gridSpan w:val="2"/>
          </w:tcPr>
          <w:p>
            <w:pPr>
              <w:jc w:val="right"/>
              <w:ind w:right="2078"/>
              <w:spacing w:after="0"/>
              <w:rPr>
                <w:sz w:val="20"/>
                <w:szCs w:val="20"/>
                <w:color w:val="auto"/>
              </w:rPr>
            </w:pPr>
            <w:r>
              <w:rPr>
                <w:rFonts w:ascii="Arial" w:cs="Arial" w:eastAsia="Arial" w:hAnsi="Arial"/>
                <w:sz w:val="16"/>
                <w:szCs w:val="16"/>
                <w:color w:val="auto"/>
              </w:rPr>
              <w:t>2,185</w:t>
            </w:r>
          </w:p>
        </w:tc>
        <w:tc>
          <w:tcPr>
            <w:tcW w:w="0" w:type="dxa"/>
            <w:vAlign w:val="bottom"/>
          </w:tcPr>
          <w:p>
            <w:pPr>
              <w:spacing w:after="0"/>
              <w:rPr>
                <w:sz w:val="1"/>
                <w:szCs w:val="1"/>
                <w:color w:val="auto"/>
              </w:rPr>
            </w:pPr>
          </w:p>
        </w:tc>
      </w:tr>
      <w:tr>
        <w:trPr>
          <w:trHeight w:val="214"/>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leases &lt;</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/font&gt;</w:t>
            </w:r>
            <w:r>
              <w:rPr>
                <w:rFonts w:ascii="Arial" w:cs="Arial" w:eastAsia="Arial" w:hAnsi="Arial"/>
                <w:sz w:val="19"/>
                <w:szCs w:val="19"/>
                <w:color w:val="auto"/>
                <w:vertAlign w:val="superscript"/>
              </w:rPr>
              <w:t>(2)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45</w:t>
            </w:r>
          </w:p>
        </w:tc>
        <w:tc>
          <w:tcPr>
            <w:tcW w:w="5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20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080" w:type="dxa"/>
            <w:vAlign w:val="bottom"/>
          </w:tcPr>
          <w:p>
            <w:pPr>
              <w:ind w:left="20"/>
              <w:spacing w:after="0"/>
              <w:rPr>
                <w:sz w:val="20"/>
                <w:szCs w:val="20"/>
                <w:color w:val="auto"/>
              </w:rPr>
            </w:pPr>
            <w:r>
              <w:rPr>
                <w:rFonts w:ascii="Arial" w:cs="Arial" w:eastAsia="Arial" w:hAnsi="Arial"/>
                <w:sz w:val="16"/>
                <w:szCs w:val="16"/>
                <w:color w:val="auto"/>
              </w:rPr>
              <w:t>Contracted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rPr>
                <w:sz w:val="20"/>
                <w:szCs w:val="20"/>
                <w:color w:val="auto"/>
              </w:rPr>
            </w:pPr>
            <w:r>
              <w:rPr>
                <w:rFonts w:ascii="Arial" w:cs="Arial" w:eastAsia="Arial" w:hAnsi="Arial"/>
                <w:sz w:val="16"/>
                <w:szCs w:val="16"/>
                <w:color w:val="auto"/>
              </w:rPr>
              <w:t>services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w:t>
            </w: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c>
          <w:tcPr>
            <w:tcW w:w="560" w:type="dxa"/>
            <w:vAlign w:val="bottom"/>
          </w:tcPr>
          <w:p>
            <w:pPr>
              <w:spacing w:after="0"/>
              <w:rPr>
                <w:sz w:val="17"/>
                <w:szCs w:val="17"/>
                <w:color w:val="auto"/>
              </w:rPr>
            </w:pPr>
          </w:p>
        </w:tc>
        <w:tc>
          <w:tcPr>
            <w:tcW w:w="142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120" w:type="dxa"/>
            <w:vAlign w:val="bottom"/>
            <w:gridSpan w:val="2"/>
          </w:tcPr>
          <w:p>
            <w:pPr>
              <w:jc w:val="right"/>
              <w:ind w:right="20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&lt;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tax benefits </w:t>
            </w:r>
            <w:r>
              <w:rPr>
                <w:rFonts w:ascii="Arial" w:cs="Arial" w:eastAsia="Arial" w:hAnsi="Arial"/>
                <w:sz w:val="19"/>
                <w:szCs w:val="19"/>
                <w:color w:val="auto"/>
                <w:vertAlign w:val="superscript"/>
              </w:rPr>
              <w:t>(3)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—/font&gt;</w:t>
            </w:r>
          </w:p>
        </w:tc>
        <w:tc>
          <w:tcPr>
            <w:tcW w:w="5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20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080" w:type="dxa"/>
            <w:vAlign w:val="bottom"/>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rPr>
                <w:sz w:val="20"/>
                <w:szCs w:val="20"/>
                <w:color w:val="auto"/>
              </w:rPr>
            </w:pPr>
            <w:r>
              <w:rPr>
                <w:rFonts w:ascii="Arial" w:cs="Arial" w:eastAsia="Arial" w:hAnsi="Arial"/>
                <w:sz w:val="16"/>
                <w:szCs w:val="16"/>
                <w:color w:val="auto"/>
              </w:rPr>
              <w:t>contractual</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rPr>
                <w:sz w:val="20"/>
                <w:szCs w:val="20"/>
                <w:color w:val="auto"/>
              </w:rPr>
            </w:pPr>
            <w:r>
              <w:rPr>
                <w:rFonts w:ascii="Arial" w:cs="Arial" w:eastAsia="Arial" w:hAnsi="Arial"/>
                <w:sz w:val="16"/>
                <w:szCs w:val="16"/>
                <w:color w:val="auto"/>
              </w:rPr>
              <w:t>cash</w:t>
            </w:r>
          </w:p>
        </w:tc>
        <w:tc>
          <w:tcPr>
            <w:tcW w:w="380" w:type="dxa"/>
            <w:vAlign w:val="bottom"/>
            <w:vMerge w:val="restart"/>
          </w:tcPr>
          <w:p>
            <w:pPr>
              <w:jc w:val="right"/>
              <w:ind w:right="178"/>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83,896</w:t>
            </w:r>
          </w:p>
        </w:tc>
        <w:tc>
          <w:tcPr>
            <w:tcW w:w="1060" w:type="dxa"/>
            <w:vAlign w:val="bottom"/>
            <w:vMerge w:val="restart"/>
          </w:tcPr>
          <w:p>
            <w:pPr>
              <w:jc w:val="right"/>
              <w:ind w:right="818"/>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9"/>
              </w:rPr>
              <w:t>4,214</w:t>
            </w:r>
          </w:p>
        </w:tc>
        <w:tc>
          <w:tcPr>
            <w:tcW w:w="300" w:type="dxa"/>
            <w:vAlign w:val="bottom"/>
            <w:vMerge w:val="restart"/>
          </w:tcPr>
          <w:p>
            <w:pPr>
              <w:jc w:val="right"/>
              <w:ind w:right="58"/>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9,553</w:t>
            </w:r>
          </w:p>
        </w:tc>
        <w:tc>
          <w:tcPr>
            <w:tcW w:w="56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ind w:right="318"/>
              <w:spacing w:after="0"/>
              <w:rPr>
                <w:sz w:val="20"/>
                <w:szCs w:val="20"/>
                <w:color w:val="auto"/>
              </w:rPr>
            </w:pPr>
            <w:r>
              <w:rPr>
                <w:rFonts w:ascii="Arial" w:cs="Arial" w:eastAsia="Arial" w:hAnsi="Arial"/>
                <w:sz w:val="16"/>
                <w:szCs w:val="16"/>
                <w:color w:val="auto"/>
              </w:rPr>
              <w:t>10,762</w:t>
            </w:r>
          </w:p>
        </w:tc>
        <w:tc>
          <w:tcPr>
            <w:tcW w:w="560" w:type="dxa"/>
            <w:vAlign w:val="bottom"/>
            <w:vMerge w:val="restart"/>
          </w:tcPr>
          <w:p>
            <w:pPr>
              <w:jc w:val="right"/>
              <w:ind w:right="358"/>
              <w:spacing w:after="0"/>
              <w:rPr>
                <w:sz w:val="20"/>
                <w:szCs w:val="20"/>
                <w:color w:val="auto"/>
              </w:rPr>
            </w:pPr>
            <w:r>
              <w:rPr>
                <w:rFonts w:ascii="Arial" w:cs="Arial" w:eastAsia="Arial" w:hAnsi="Arial"/>
                <w:sz w:val="16"/>
                <w:szCs w:val="16"/>
                <w:color w:val="auto"/>
              </w:rPr>
              <w:t>$</w:t>
            </w:r>
          </w:p>
        </w:tc>
        <w:tc>
          <w:tcPr>
            <w:tcW w:w="3120" w:type="dxa"/>
            <w:vAlign w:val="bottom"/>
            <w:gridSpan w:val="2"/>
            <w:vMerge w:val="restart"/>
          </w:tcPr>
          <w:p>
            <w:pPr>
              <w:jc w:val="right"/>
              <w:ind w:right="2078"/>
              <w:spacing w:after="0"/>
              <w:rPr>
                <w:sz w:val="20"/>
                <w:szCs w:val="20"/>
                <w:color w:val="auto"/>
              </w:rPr>
            </w:pPr>
            <w:r>
              <w:rPr>
                <w:rFonts w:ascii="Arial" w:cs="Arial" w:eastAsia="Arial" w:hAnsi="Arial"/>
                <w:sz w:val="16"/>
                <w:szCs w:val="16"/>
                <w:color w:val="auto"/>
              </w:rPr>
              <w:t>53,490</w:t>
            </w: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rPr>
                <w:sz w:val="20"/>
                <w:szCs w:val="20"/>
                <w:color w:val="auto"/>
              </w:rPr>
            </w:pPr>
            <w:r>
              <w:rPr>
                <w:rFonts w:ascii="Arial" w:cs="Arial" w:eastAsia="Arial" w:hAnsi="Arial"/>
                <w:sz w:val="16"/>
                <w:szCs w:val="16"/>
                <w:color w:val="auto"/>
              </w:rPr>
              <w:t>obligations</w:t>
            </w:r>
          </w:p>
        </w:tc>
        <w:tc>
          <w:tcPr>
            <w:tcW w:w="38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31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3"/>
          </w:tcPr>
          <w:p>
            <w:pPr>
              <w:jc w:val="center"/>
              <w:ind w:left="698"/>
              <w:spacing w:after="0"/>
              <w:rPr>
                <w:sz w:val="20"/>
                <w:szCs w:val="20"/>
                <w:color w:val="auto"/>
              </w:rPr>
            </w:pPr>
            <w:r>
              <w:rPr>
                <w:rFonts w:ascii="Arial" w:cs="Arial" w:eastAsia="Arial" w:hAnsi="Arial"/>
                <w:sz w:val="16"/>
                <w:szCs w:val="16"/>
                <w:b w:val="1"/>
                <w:bCs w:val="1"/>
                <w:color w:val="auto"/>
              </w:rPr>
              <w:t>Expiration By Period</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Fiscal</w:t>
            </w:r>
          </w:p>
        </w:tc>
        <w:tc>
          <w:tcPr>
            <w:tcW w:w="1460" w:type="dxa"/>
            <w:vAlign w:val="bottom"/>
          </w:tcPr>
          <w:p>
            <w:pPr>
              <w:jc w:val="center"/>
              <w:ind w:right="118"/>
              <w:spacing w:after="0"/>
              <w:rPr>
                <w:sz w:val="20"/>
                <w:szCs w:val="20"/>
                <w:color w:val="auto"/>
              </w:rPr>
            </w:pPr>
            <w:r>
              <w:rPr>
                <w:rFonts w:ascii="Arial" w:cs="Arial" w:eastAsia="Arial" w:hAnsi="Arial"/>
                <w:sz w:val="16"/>
                <w:szCs w:val="16"/>
                <w:b w:val="1"/>
                <w:bCs w:val="1"/>
                <w:color w:val="auto"/>
              </w:rPr>
              <w:t>Fiscal</w:t>
            </w:r>
          </w:p>
        </w:tc>
        <w:tc>
          <w:tcPr>
            <w:tcW w:w="1100" w:type="dxa"/>
            <w:vAlign w:val="bottom"/>
          </w:tcPr>
          <w:p>
            <w:pPr>
              <w:jc w:val="center"/>
              <w:ind w:right="198"/>
              <w:spacing w:after="0"/>
              <w:rPr>
                <w:sz w:val="20"/>
                <w:szCs w:val="20"/>
                <w:color w:val="auto"/>
              </w:rPr>
            </w:pPr>
            <w:r>
              <w:rPr>
                <w:rFonts w:ascii="Arial" w:cs="Arial" w:eastAsia="Arial" w:hAnsi="Arial"/>
                <w:sz w:val="16"/>
                <w:szCs w:val="16"/>
                <w:b w:val="1"/>
                <w:bCs w:val="1"/>
                <w:color w:val="auto"/>
              </w:rPr>
              <w:t>Fiscal</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More than</w:t>
            </w:r>
          </w:p>
        </w:tc>
      </w:tr>
      <w:tr>
        <w:trPr>
          <w:trHeight w:val="221"/>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rPr>
              <w:t>2012-2013</w:t>
            </w:r>
          </w:p>
        </w:tc>
        <w:tc>
          <w:tcPr>
            <w:tcW w:w="11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2014-2015</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 Years</w:t>
            </w:r>
          </w:p>
        </w:tc>
      </w:tr>
      <w:tr>
        <w:trPr>
          <w:trHeight w:val="22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Formal repurchase obligations </w:t>
            </w:r>
            <w:r>
              <w:rPr>
                <w:rFonts w:ascii="Arial" w:cs="Arial" w:eastAsia="Arial" w:hAnsi="Arial"/>
                <w:sz w:val="19"/>
                <w:szCs w:val="19"/>
                <w:color w:val="auto"/>
                <w:vertAlign w:val="superscript"/>
              </w:rPr>
              <w:t>(3)</w:t>
            </w: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155,490</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71,717</w:t>
            </w:r>
          </w:p>
        </w:tc>
        <w:tc>
          <w:tcPr>
            <w:tcW w:w="14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83,773</w:t>
            </w:r>
          </w:p>
        </w:tc>
        <w:tc>
          <w:tcPr>
            <w:tcW w:w="11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ind w:left="242" w:hanging="242"/>
        <w:spacing w:after="0"/>
        <w:tabs>
          <w:tab w:leader="none" w:pos="242" w:val="left"/>
        </w:tabs>
        <w:numPr>
          <w:ilvl w:val="0"/>
          <w:numId w:val="20"/>
        </w:numPr>
        <w:rPr>
          <w:rFonts w:ascii="Arial" w:cs="Arial" w:eastAsia="Arial" w:hAnsi="Arial"/>
          <w:sz w:val="8"/>
          <w:szCs w:val="8"/>
          <w:color w:val="auto"/>
        </w:rPr>
      </w:pPr>
      <w:r>
        <w:rPr>
          <w:rFonts w:ascii="Arial" w:cs="Arial" w:eastAsia="Arial" w:hAnsi="Arial"/>
          <w:sz w:val="13"/>
          <w:szCs w:val="13"/>
          <w:color w:val="auto"/>
        </w:rPr>
        <w:t>See Note 8.</w:t>
      </w:r>
    </w:p>
    <w:p>
      <w:pPr>
        <w:ind w:left="242" w:hanging="242"/>
        <w:spacing w:after="0" w:line="236" w:lineRule="auto"/>
        <w:tabs>
          <w:tab w:leader="none" w:pos="242" w:val="left"/>
        </w:tabs>
        <w:numPr>
          <w:ilvl w:val="0"/>
          <w:numId w:val="20"/>
        </w:numPr>
        <w:rPr>
          <w:rFonts w:ascii="Arial" w:cs="Arial" w:eastAsia="Arial" w:hAnsi="Arial"/>
          <w:sz w:val="8"/>
          <w:szCs w:val="8"/>
          <w:color w:val="auto"/>
        </w:rPr>
      </w:pPr>
      <w:r>
        <w:rPr>
          <w:rFonts w:ascii="Arial" w:cs="Arial" w:eastAsia="Arial" w:hAnsi="Arial"/>
          <w:sz w:val="13"/>
          <w:szCs w:val="13"/>
          <w:color w:val="auto"/>
        </w:rPr>
        <w:t>See Note 9.</w:t>
      </w:r>
    </w:p>
    <w:p>
      <w:pPr>
        <w:ind w:left="242" w:hanging="242"/>
        <w:spacing w:after="0"/>
        <w:tabs>
          <w:tab w:leader="none" w:pos="242" w:val="left"/>
        </w:tabs>
        <w:numPr>
          <w:ilvl w:val="0"/>
          <w:numId w:val="20"/>
        </w:numPr>
        <w:rPr>
          <w:rFonts w:ascii="Arial" w:cs="Arial" w:eastAsia="Arial" w:hAnsi="Arial"/>
          <w:sz w:val="8"/>
          <w:szCs w:val="8"/>
          <w:color w:val="auto"/>
        </w:rPr>
      </w:pPr>
      <w:r>
        <w:rPr>
          <w:rFonts w:ascii="Arial" w:cs="Arial" w:eastAsia="Arial" w:hAnsi="Arial"/>
          <w:sz w:val="13"/>
          <w:szCs w:val="13"/>
          <w:color w:val="auto"/>
        </w:rPr>
        <w:t>We are not able to reasonably estimate in which future periods these amounts will ultimately be settled.</w:t>
      </w:r>
    </w:p>
    <w:p>
      <w:pPr>
        <w:spacing w:after="0" w:line="31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Critical Accounting Policies</w:t>
      </w:r>
    </w:p>
    <w:p>
      <w:pPr>
        <w:spacing w:after="0" w:line="179" w:lineRule="exact"/>
        <w:rPr>
          <w:sz w:val="20"/>
          <w:szCs w:val="20"/>
          <w:color w:val="auto"/>
        </w:rPr>
      </w:pPr>
    </w:p>
    <w:p>
      <w:pPr>
        <w:ind w:left="2"/>
        <w:spacing w:after="0" w:line="259" w:lineRule="auto"/>
        <w:rPr>
          <w:sz w:val="20"/>
          <w:szCs w:val="20"/>
          <w:color w:val="auto"/>
        </w:rPr>
      </w:pPr>
      <w:r>
        <w:rPr>
          <w:rFonts w:ascii="Arial" w:cs="Arial" w:eastAsia="Arial" w:hAnsi="Arial"/>
          <w:sz w:val="16"/>
          <w:szCs w:val="16"/>
          <w:color w:val="auto"/>
        </w:rPr>
        <w:t>Our financial stat ements are prepared in accordance with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330" w:lineRule="exact"/>
        <w:rPr>
          <w:sz w:val="20"/>
          <w:szCs w:val="20"/>
          <w:color w:val="auto"/>
        </w:rPr>
      </w:pPr>
    </w:p>
    <w:p>
      <w:pPr>
        <w:ind w:left="2" w:right="80"/>
        <w:spacing w:after="0" w:line="261" w:lineRule="auto"/>
        <w:rPr>
          <w:sz w:val="20"/>
          <w:szCs w:val="20"/>
          <w:color w:val="auto"/>
        </w:rPr>
      </w:pPr>
      <w:r>
        <w:rPr>
          <w:rFonts w:ascii="Arial" w:cs="Arial" w:eastAsia="Arial" w:hAnsi="Arial"/>
          <w:sz w:val="16"/>
          <w:szCs w:val="16"/>
          <w:color w:val="auto"/>
        </w:rPr>
        <w:t>Our signif icant accounting policies are discussed in Note 1.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31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Revenue Recognition</w:t>
      </w:r>
    </w:p>
    <w:p>
      <w:pPr>
        <w:spacing w:after="0" w:line="28" w:lineRule="exact"/>
        <w:rPr>
          <w:sz w:val="20"/>
          <w:szCs w:val="20"/>
          <w:color w:val="auto"/>
        </w:rPr>
      </w:pPr>
    </w:p>
    <w:p>
      <w:pPr>
        <w:ind w:left="2"/>
        <w:spacing w:after="0" w:line="256" w:lineRule="auto"/>
        <w:rPr>
          <w:sz w:val="20"/>
          <w:szCs w:val="20"/>
          <w:color w:val="auto"/>
        </w:rPr>
      </w:pPr>
      <w:r>
        <w:rPr>
          <w:rFonts w:ascii="Arial" w:cs="Arial" w:eastAsia="Arial" w:hAnsi="Arial"/>
          <w:sz w:val="16"/>
          <w:szCs w:val="16"/>
          <w:color w:val="auto"/>
        </w:rPr>
        <w:t>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ind w:left="2" w:right="600"/>
        <w:spacing w:after="0" w:line="271" w:lineRule="auto"/>
        <w:rPr>
          <w:sz w:val="20"/>
          <w:szCs w:val="20"/>
          <w:color w:val="auto"/>
        </w:rPr>
      </w:pPr>
      <w:r>
        <w:rPr>
          <w:rFonts w:ascii="Arial" w:cs="Arial" w:eastAsia="Arial" w:hAnsi="Arial"/>
          <w:sz w:val="16"/>
          <w:szCs w:val="16"/>
          <w:color w:val="auto"/>
        </w:rPr>
        <w:t>Revenues from the sales of our OEM and motor home related parts are recorded as the products are shipped from our location. The title of ownership transfers on these products as they leave our location due to the freight terms of F.O.B. - Forest City, Iowa.</w:t>
      </w:r>
    </w:p>
    <w:p>
      <w:pPr>
        <w:spacing w:after="0" w:line="308" w:lineRule="exact"/>
        <w:rPr>
          <w:sz w:val="20"/>
          <w:szCs w:val="20"/>
          <w:color w:val="auto"/>
        </w:rPr>
      </w:pPr>
    </w:p>
    <w:p>
      <w:pPr>
        <w:ind w:left="2" w:right="7140" w:hanging="2"/>
        <w:spacing w:after="0" w:line="239" w:lineRule="auto"/>
        <w:tabs>
          <w:tab w:leader="none" w:pos="1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 name="sC56A1FD398DBD8A4196E5D59D9C3893D"&gt; </w:t>
      </w:r>
      <w:r>
        <w:rPr>
          <w:rFonts w:ascii="Arial" w:cs="Arial" w:eastAsia="Arial" w:hAnsi="Arial"/>
          <w:sz w:val="16"/>
          <w:szCs w:val="16"/>
          <w:i w:val="1"/>
          <w:iCs w:val="1"/>
          <w:color w:val="auto"/>
        </w:rPr>
        <w:t>Sales Promotions and Incentives</w:t>
      </w:r>
    </w:p>
    <w:p>
      <w:pPr>
        <w:spacing w:after="0" w:line="1" w:lineRule="exact"/>
        <w:rPr>
          <w:rFonts w:ascii="Arial" w:cs="Arial" w:eastAsia="Arial" w:hAnsi="Arial"/>
          <w:sz w:val="16"/>
          <w:szCs w:val="16"/>
          <w:color w:val="auto"/>
        </w:rPr>
      </w:pPr>
    </w:p>
    <w:p>
      <w:pPr>
        <w:ind w:left="2" w:right="100"/>
        <w:spacing w:after="0" w:line="259" w:lineRule="auto"/>
        <w:rPr>
          <w:rFonts w:ascii="Arial" w:cs="Arial" w:eastAsia="Arial" w:hAnsi="Arial"/>
          <w:sz w:val="16"/>
          <w:szCs w:val="16"/>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w:t>
      </w:r>
    </w:p>
    <w:p>
      <w:pPr>
        <w:sectPr>
          <w:pgSz w:w="11900" w:h="16838" w:orient="portrait"/>
          <w:cols w:equalWidth="0" w:num="1">
            <w:col w:w="11422"/>
          </w:cols>
          <w:pgMar w:left="238" w:top="153" w:right="239" w:bottom="982" w:gutter="0" w:footer="0" w:header="0"/>
        </w:sectPr>
      </w:pPr>
    </w:p>
    <w:p>
      <w:pPr>
        <w:spacing w:after="0" w:line="16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2"/>
          </w:cols>
          <w:pgMar w:left="238" w:top="153" w:right="239" w:bottom="982" w:gutter="0" w:footer="0" w:header="0"/>
          <w:type w:val="continuous"/>
        </w:sectPr>
      </w:pPr>
    </w:p>
    <w:bookmarkStart w:id="23" w:name="page24"/>
    <w:bookmarkEnd w:id="2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and differences have not been material.</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provide with the purchase of any new motor home, a comprehensive 12-month/15,000-mile warranty on Class A, B and C motor homes and a 3-year/36,000-mile warranty on Class A and C 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 imated costs are accrued at the time the service action is implemented and are based upon past claim rate experiences and the estimated cost of the repairs. Further discussion of our warranty costs and associated accruals is included in Note 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28"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We only recognize tax benefits for filing positions that are considered more likely than not of being sustained under audit by the relevant taxing authority, without regard to t 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40" w:lineRule="exact"/>
        <w:rPr>
          <w:sz w:val="20"/>
          <w:szCs w:val="20"/>
          <w:color w:val="auto"/>
        </w:rPr>
      </w:pPr>
    </w:p>
    <w:p>
      <w:pPr>
        <w:jc w:val="both"/>
        <w:ind w:right="100"/>
        <w:spacing w:after="0" w:line="263" w:lineRule="auto"/>
        <w:rPr>
          <w:sz w:val="20"/>
          <w:szCs w:val="20"/>
          <w:color w:val="auto"/>
        </w:rPr>
      </w:pPr>
      <w:r>
        <w:rPr>
          <w:rFonts w:ascii="Arial" w:cs="Arial" w:eastAsia="Arial" w:hAnsi="Arial"/>
          <w:sz w:val="16"/>
          <w:szCs w:val="16"/>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 es.</w:t>
      </w:r>
      <w:r>
        <w:rPr>
          <w:rFonts w:ascii="Arial" w:cs="Arial" w:eastAsia="Arial" w:hAnsi="Arial"/>
          <w:sz w:val="16"/>
          <w:szCs w:val="16"/>
          <w:color w:val="auto"/>
        </w:rPr>
        <w:t xml:space="preserve"> As part of the process of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full valuation allowance was appropriate as of August 28, 2010.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Obligations and Costs</w:t>
      </w:r>
    </w:p>
    <w:p>
      <w:pPr>
        <w:spacing w:after="0" w:line="16" w:lineRule="exact"/>
        <w:rPr>
          <w:sz w:val="20"/>
          <w:szCs w:val="20"/>
          <w:color w:val="auto"/>
        </w:rPr>
      </w:pPr>
    </w:p>
    <w:p>
      <w:pPr>
        <w:ind w:right="60"/>
        <w:spacing w:after="0" w:line="215"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Assumed health care cost trend rates do not have a significant effect on the amounts reported for our health care plan due to the fact that in, Fiscal 2004, caps were placed on the amount we are required to pay for postretirement health care benefits per retiree on an annual basis. However, a significant increase or decrease in interest rates could have a significant impact on our operating results. Further discussion of our postretirement benefit plan and related assumptions is included in Note 8</w:t>
      </w:r>
      <w:r>
        <w:rPr>
          <w:rFonts w:ascii="Arial" w:cs="Arial" w:eastAsia="Arial" w:hAnsi="Arial"/>
          <w:sz w:val="16"/>
          <w:szCs w:val="16"/>
          <w:b w:val="1"/>
          <w:bCs w:val="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20"/>
          </w:cols>
          <w:pgMar w:left="240" w:top="153" w:right="239" w:bottom="1440" w:gutter="0" w:footer="0" w:header="0"/>
        </w:sectPr>
      </w:pPr>
    </w:p>
    <w:bookmarkStart w:id="24" w:name="page25"/>
    <w:bookmarkEnd w:id="24"/>
    <w:p>
      <w:pPr>
        <w:ind w:left="20"/>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Other</w:t>
      </w:r>
    </w:p>
    <w:p>
      <w:pPr>
        <w:spacing w:after="0" w:line="28" w:lineRule="exact"/>
        <w:rPr>
          <w:sz w:val="20"/>
          <w:szCs w:val="20"/>
          <w:color w:val="auto"/>
        </w:rPr>
      </w:pPr>
    </w:p>
    <w:p>
      <w:pPr>
        <w:ind w:left="20" w:right="60"/>
        <w:spacing w:after="0" w:line="261" w:lineRule="auto"/>
        <w:rPr>
          <w:sz w:val="20"/>
          <w:szCs w:val="20"/>
          <w:color w:val="auto"/>
        </w:rPr>
      </w:pPr>
      <w:r>
        <w:rPr>
          <w:rFonts w:ascii="Arial" w:cs="Arial" w:eastAsia="Arial" w:hAnsi="Arial"/>
          <w:sz w:val="16"/>
          <w:szCs w:val="16"/>
          <w:color w:val="auto"/>
        </w:rPr>
        <w:t>We have reserves for other loss exposures, such as litigation, product liability, repurchase commitments, worker's compensation, inventory and accounts 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assets or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Note 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color w:val="auto"/>
        </w:rPr>
        <w:t>Quantitative and Qualitative Disclosures About Market Risk</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market risk exposure to our ARS, which is described in further detail in Note 3.</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840" w:type="dxa"/>
            <w:vAlign w:val="bottom"/>
            <w:gridSpan w:val="9"/>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color w:val="auto"/>
              </w:rPr>
              <w:t>Financial Statements and Supplementary Data</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55"/>
        </w:trPr>
        <w:tc>
          <w:tcPr>
            <w:tcW w:w="20" w:type="dxa"/>
            <w:vAlign w:val="bottom"/>
          </w:tcPr>
          <w:p>
            <w:pPr>
              <w:spacing w:after="0"/>
              <w:rPr>
                <w:sz w:val="24"/>
                <w:szCs w:val="24"/>
                <w:color w:val="auto"/>
              </w:rPr>
            </w:pPr>
          </w:p>
        </w:tc>
        <w:tc>
          <w:tcPr>
            <w:tcW w:w="10820" w:type="dxa"/>
            <w:vAlign w:val="bottom"/>
            <w:gridSpan w:val="8"/>
          </w:tcPr>
          <w:p>
            <w:pPr>
              <w:spacing w:after="0"/>
              <w:rPr>
                <w:sz w:val="20"/>
                <w:szCs w:val="20"/>
                <w:color w:val="auto"/>
              </w:rPr>
            </w:pPr>
            <w:r>
              <w:rPr>
                <w:rFonts w:ascii="Arial" w:cs="Arial" w:eastAsia="Arial" w:hAnsi="Arial"/>
                <w:sz w:val="16"/>
                <w:szCs w:val="16"/>
                <w:b w:val="1"/>
                <w:bCs w:val="1"/>
                <w:color w:val="auto"/>
              </w:rPr>
              <w:t>Index to Financial Statements</w:t>
            </w:r>
          </w:p>
        </w:tc>
        <w:tc>
          <w:tcPr>
            <w:tcW w:w="560" w:type="dxa"/>
            <w:vAlign w:val="bottom"/>
            <w:gridSpan w:val="2"/>
          </w:tcPr>
          <w:p>
            <w:pPr>
              <w:jc w:val="right"/>
              <w:ind w:right="98"/>
              <w:spacing w:after="0"/>
              <w:rPr>
                <w:sz w:val="20"/>
                <w:szCs w:val="20"/>
                <w:color w:val="auto"/>
              </w:rPr>
            </w:pPr>
            <w:r>
              <w:rPr>
                <w:rFonts w:ascii="Arial" w:cs="Arial" w:eastAsia="Arial" w:hAnsi="Arial"/>
                <w:sz w:val="16"/>
                <w:szCs w:val="16"/>
                <w:color w:val="auto"/>
                <w:w w:val="96"/>
              </w:rPr>
              <w:t>Page</w:t>
            </w:r>
          </w:p>
        </w:tc>
      </w:tr>
      <w:tr>
        <w:trPr>
          <w:trHeight w:val="483"/>
        </w:trPr>
        <w:tc>
          <w:tcPr>
            <w:tcW w:w="20" w:type="dxa"/>
            <w:vAlign w:val="bottom"/>
          </w:tcPr>
          <w:p>
            <w:pPr>
              <w:spacing w:after="0"/>
              <w:rPr>
                <w:sz w:val="24"/>
                <w:szCs w:val="24"/>
                <w:color w:val="auto"/>
              </w:rPr>
            </w:pPr>
          </w:p>
        </w:tc>
        <w:tc>
          <w:tcPr>
            <w:tcW w:w="10820" w:type="dxa"/>
            <w:vAlign w:val="bottom"/>
            <w:gridSpan w:val="8"/>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Management's Report on Internal Control Over Financial Reporting</w:t>
              </w:r>
            </w:hyperlink>
          </w:p>
        </w:tc>
        <w:tc>
          <w:tcPr>
            <w:tcW w:w="380" w:type="dxa"/>
            <w:vAlign w:val="bottom"/>
            <w:tcBorders>
              <w:top w:val="single" w:sz="8" w:color="auto"/>
            </w:tcBorders>
          </w:tcPr>
          <w:p>
            <w:pPr>
              <w:spacing w:after="0"/>
              <w:rPr>
                <w:sz w:val="24"/>
                <w:szCs w:val="24"/>
                <w:color w:val="auto"/>
              </w:rPr>
            </w:pPr>
          </w:p>
        </w:tc>
        <w:tc>
          <w:tcPr>
            <w:tcW w:w="180" w:type="dxa"/>
            <w:vAlign w:val="bottom"/>
          </w:tcPr>
          <w:p>
            <w:pPr>
              <w:jc w:val="right"/>
              <w:spacing w:after="0"/>
              <w:rPr>
                <w:rFonts w:ascii="Arial" w:cs="Arial" w:eastAsia="Arial" w:hAnsi="Arial"/>
                <w:sz w:val="16"/>
                <w:szCs w:val="16"/>
                <w:color w:val="0000FF"/>
                <w:w w:val="89"/>
              </w:rPr>
            </w:pPr>
            <w:hyperlink w:anchor="page25">
              <w:r>
                <w:rPr>
                  <w:rFonts w:ascii="Arial" w:cs="Arial" w:eastAsia="Arial" w:hAnsi="Arial"/>
                  <w:sz w:val="16"/>
                  <w:szCs w:val="16"/>
                  <w:color w:val="0000FF"/>
                  <w:w w:val="89"/>
                </w:rPr>
                <w:t>24</w:t>
              </w:r>
            </w:hyperlink>
          </w:p>
        </w:tc>
      </w:tr>
      <w:tr>
        <w:trPr>
          <w:trHeight w:val="213"/>
        </w:trPr>
        <w:tc>
          <w:tcPr>
            <w:tcW w:w="20" w:type="dxa"/>
            <w:vAlign w:val="bottom"/>
          </w:tcPr>
          <w:p>
            <w:pPr>
              <w:spacing w:after="0"/>
              <w:rPr>
                <w:sz w:val="18"/>
                <w:szCs w:val="18"/>
                <w:color w:val="auto"/>
              </w:rPr>
            </w:pPr>
          </w:p>
        </w:tc>
        <w:tc>
          <w:tcPr>
            <w:tcW w:w="4840" w:type="dxa"/>
            <w:vAlign w:val="bottom"/>
            <w:tcBorders>
              <w:top w:val="single" w:sz="8" w:color="0000FF"/>
            </w:tcBorders>
            <w:gridSpan w:val="4"/>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Reports of Independent Registered Public Accounting Firm</w:t>
              </w:r>
            </w:hyperlink>
          </w:p>
        </w:tc>
        <w:tc>
          <w:tcPr>
            <w:tcW w:w="598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25</w:t>
              </w:r>
            </w:hyperlink>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bottom w:val="single" w:sz="8" w:color="0000FF"/>
            </w:tcBorders>
            <w:gridSpan w:val="5"/>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Statements of Operations for the Years Ended August 28, 2010, August 29, 2009 and August 30, 2008</w:t>
              </w:r>
            </w:hyperlink>
          </w:p>
        </w:tc>
        <w:tc>
          <w:tcPr>
            <w:tcW w:w="340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27</w:t>
              </w:r>
            </w:hyperlink>
          </w:p>
        </w:tc>
      </w:tr>
      <w:tr>
        <w:trPr>
          <w:trHeight w:val="213"/>
        </w:trPr>
        <w:tc>
          <w:tcPr>
            <w:tcW w:w="20" w:type="dxa"/>
            <w:vAlign w:val="bottom"/>
          </w:tcPr>
          <w:p>
            <w:pPr>
              <w:spacing w:after="0"/>
              <w:rPr>
                <w:sz w:val="18"/>
                <w:szCs w:val="18"/>
                <w:color w:val="auto"/>
              </w:rPr>
            </w:pPr>
          </w:p>
        </w:tc>
        <w:tc>
          <w:tcPr>
            <w:tcW w:w="10820" w:type="dxa"/>
            <w:vAlign w:val="bottom"/>
            <w:gridSpan w:val="8"/>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Balance Sheets as of Au gust 28, 2010 and August 29, 2009</w:t>
              </w:r>
            </w:hyperlink>
          </w:p>
        </w:tc>
        <w:tc>
          <w:tcPr>
            <w:tcW w:w="560" w:type="dxa"/>
            <w:vAlign w:val="bottom"/>
            <w:gridSpan w:val="2"/>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820" w:type="dxa"/>
            <w:vAlign w:val="bottom"/>
            <w:gridSpan w:val="8"/>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Statements of Changes in Stockholders' Equity for the Years Ended August 28, 2010, August 29, 2009 and August 30, 2008</w:t>
              </w:r>
            </w:hyperlink>
          </w:p>
        </w:tc>
        <w:tc>
          <w:tcPr>
            <w:tcW w:w="560" w:type="dxa"/>
            <w:vAlign w:val="bottom"/>
            <w:gridSpan w:val="2"/>
          </w:tcPr>
          <w:p>
            <w:pPr>
              <w:jc w:val="right"/>
              <w:spacing w:after="0"/>
              <w:rPr>
                <w:rFonts w:ascii="Arial" w:cs="Arial" w:eastAsia="Arial" w:hAnsi="Arial"/>
                <w:sz w:val="16"/>
                <w:szCs w:val="16"/>
                <w:color w:val="0000EE"/>
              </w:rPr>
            </w:pPr>
            <w:hyperlink w:anchor="page30">
              <w:r>
                <w:rPr>
                  <w:rFonts w:ascii="Arial" w:cs="Arial" w:eastAsia="Arial" w:hAnsi="Arial"/>
                  <w:sz w:val="16"/>
                  <w:szCs w:val="16"/>
                  <w:color w:val="0000EE"/>
                </w:rPr>
                <w:t>29</w:t>
              </w:r>
            </w:hyperlink>
          </w:p>
        </w:tc>
      </w:tr>
      <w:tr>
        <w:trPr>
          <w:trHeight w:val="213"/>
        </w:trPr>
        <w:tc>
          <w:tcPr>
            <w:tcW w:w="20" w:type="dxa"/>
            <w:vAlign w:val="bottom"/>
          </w:tcPr>
          <w:p>
            <w:pPr>
              <w:spacing w:after="0"/>
              <w:rPr>
                <w:sz w:val="18"/>
                <w:szCs w:val="18"/>
                <w:color w:val="auto"/>
              </w:rPr>
            </w:pPr>
          </w:p>
        </w:tc>
        <w:tc>
          <w:tcPr>
            <w:tcW w:w="8960" w:type="dxa"/>
            <w:vAlign w:val="bottom"/>
            <w:tcBorders>
              <w:top w:val="single" w:sz="8" w:color="0000FF"/>
            </w:tcBorders>
            <w:gridSpan w:val="7"/>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Statements of Cash Flows for the Years Ended August 28, 2010, August 29, 2009 and August 30, 2008</w:t>
              </w:r>
            </w:hyperlink>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EE"/>
            </w:tcBorders>
          </w:tcPr>
          <w:p>
            <w:pPr>
              <w:jc w:val="right"/>
              <w:spacing w:after="0"/>
              <w:rPr>
                <w:rFonts w:ascii="Arial" w:cs="Arial" w:eastAsia="Arial" w:hAnsi="Arial"/>
                <w:sz w:val="16"/>
                <w:szCs w:val="16"/>
                <w:color w:val="0000FF"/>
                <w:w w:val="89"/>
              </w:rPr>
            </w:pPr>
            <w:hyperlink w:anchor="page31">
              <w:r>
                <w:rPr>
                  <w:rFonts w:ascii="Arial" w:cs="Arial" w:eastAsia="Arial" w:hAnsi="Arial"/>
                  <w:sz w:val="16"/>
                  <w:szCs w:val="16"/>
                  <w:color w:val="0000FF"/>
                  <w:w w:val="89"/>
                </w:rPr>
                <w:t>30</w:t>
              </w:r>
            </w:hyperlink>
          </w:p>
        </w:tc>
      </w:tr>
      <w:tr>
        <w:trPr>
          <w:trHeight w:val="225"/>
        </w:trPr>
        <w:tc>
          <w:tcPr>
            <w:tcW w:w="20" w:type="dxa"/>
            <w:vAlign w:val="bottom"/>
          </w:tcPr>
          <w:p>
            <w:pPr>
              <w:spacing w:after="0"/>
              <w:rPr>
                <w:sz w:val="19"/>
                <w:szCs w:val="19"/>
                <w:color w:val="auto"/>
              </w:rPr>
            </w:pPr>
          </w:p>
        </w:tc>
        <w:tc>
          <w:tcPr>
            <w:tcW w:w="7460" w:type="dxa"/>
            <w:vAlign w:val="bottom"/>
            <w:tcBorders>
              <w:top w:val="single" w:sz="8" w:color="0000FF"/>
            </w:tcBorders>
            <w:gridSpan w:val="6"/>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Notes to Financial Statements</w:t>
              </w:r>
            </w:hyperlink>
          </w:p>
        </w:tc>
        <w:tc>
          <w:tcPr>
            <w:tcW w:w="336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0000FF"/>
            </w:tcBorders>
          </w:tcPr>
          <w:p>
            <w:pPr>
              <w:jc w:val="right"/>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31</w:t>
              </w:r>
            </w:hyperlink>
          </w:p>
        </w:tc>
      </w:tr>
      <w:tr>
        <w:trPr>
          <w:trHeight w:val="870"/>
        </w:trPr>
        <w:tc>
          <w:tcPr>
            <w:tcW w:w="20" w:type="dxa"/>
            <w:vAlign w:val="bottom"/>
          </w:tcPr>
          <w:p>
            <w:pPr>
              <w:spacing w:after="0"/>
              <w:rPr>
                <w:sz w:val="24"/>
                <w:szCs w:val="24"/>
                <w:color w:val="auto"/>
              </w:rPr>
            </w:pPr>
          </w:p>
        </w:tc>
        <w:tc>
          <w:tcPr>
            <w:tcW w:w="2180" w:type="dxa"/>
            <w:vAlign w:val="bottom"/>
            <w:tcBorders>
              <w:top w:val="single" w:sz="8" w:color="0000FF"/>
            </w:tcBorders>
          </w:tcPr>
          <w:p>
            <w:pPr>
              <w:spacing w:after="0"/>
              <w:rPr>
                <w:sz w:val="24"/>
                <w:szCs w:val="24"/>
                <w:color w:val="auto"/>
              </w:rPr>
            </w:pPr>
          </w:p>
        </w:tc>
        <w:tc>
          <w:tcPr>
            <w:tcW w:w="5240" w:type="dxa"/>
            <w:vAlign w:val="bottom"/>
            <w:gridSpan w:val="4"/>
          </w:tcPr>
          <w:p>
            <w:pPr>
              <w:jc w:val="right"/>
              <w:ind w:right="1640"/>
              <w:spacing w:after="0"/>
              <w:rPr>
                <w:sz w:val="20"/>
                <w:szCs w:val="20"/>
                <w:color w:val="auto"/>
              </w:rPr>
            </w:pPr>
            <w:r>
              <w:rPr>
                <w:rFonts w:ascii="Arial" w:cs="Arial" w:eastAsia="Arial" w:hAnsi="Arial"/>
                <w:sz w:val="15"/>
                <w:szCs w:val="15"/>
                <w:color w:val="auto"/>
              </w:rPr>
              <w:t>23</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bl>
    <w:p>
      <w:pPr>
        <w:sectPr>
          <w:pgSz w:w="11900" w:h="16838" w:orient="portrait"/>
          <w:cols w:equalWidth="0" w:num="1">
            <w:col w:w="11420"/>
          </w:cols>
          <w:pgMar w:left="220" w:top="153" w:right="259" w:bottom="1440" w:gutter="0" w:footer="0" w:header="0"/>
        </w:sectPr>
      </w:pPr>
    </w:p>
    <w:bookmarkStart w:id="25" w:name="page26"/>
    <w:bookmarkEnd w:id="25"/>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79" w:lineRule="exact"/>
        <w:rPr>
          <w:sz w:val="20"/>
          <w:szCs w:val="20"/>
          <w:color w:val="auto"/>
        </w:rPr>
      </w:pPr>
    </w:p>
    <w:p>
      <w:pPr>
        <w:ind w:left="2" w:right="140"/>
        <w:spacing w:after="0" w:line="261" w:lineRule="auto"/>
        <w:rPr>
          <w:sz w:val="20"/>
          <w:szCs w:val="20"/>
          <w:color w:val="auto"/>
        </w:rPr>
      </w:pPr>
      <w:r>
        <w:rPr>
          <w:rFonts w:ascii="Arial" w:cs="Arial" w:eastAsia="Arial" w:hAnsi="Arial"/>
          <w:sz w:val="16"/>
          <w:szCs w:val="16"/>
          <w:color w:val="auto"/>
        </w:rPr>
        <w:t>Management of Winnebago Industries, Inc. (the "Company") is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 ded, to provide reasonable assurance regarding the reliability of financial reporting and the preparation of financial statements for external purposes in accordance with generally accepted accounting principles.</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59" w:lineRule="exact"/>
        <w:rPr>
          <w:sz w:val="20"/>
          <w:szCs w:val="20"/>
          <w:color w:val="auto"/>
        </w:rPr>
      </w:pPr>
    </w:p>
    <w:p>
      <w:pPr>
        <w:ind w:left="322" w:hanging="322"/>
        <w:spacing w:after="0"/>
        <w:tabs>
          <w:tab w:leader="none" w:pos="322"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59" w:lineRule="exact"/>
        <w:rPr>
          <w:rFonts w:ascii="Arial" w:cs="Arial" w:eastAsia="Arial" w:hAnsi="Arial"/>
          <w:sz w:val="16"/>
          <w:szCs w:val="16"/>
          <w:color w:val="auto"/>
        </w:rPr>
      </w:pPr>
    </w:p>
    <w:p>
      <w:pPr>
        <w:ind w:left="322" w:right="360" w:hanging="322"/>
        <w:spacing w:after="0" w:line="263" w:lineRule="auto"/>
        <w:tabs>
          <w:tab w:leader="none" w:pos="322"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31" w:lineRule="exact"/>
        <w:rPr>
          <w:rFonts w:ascii="Arial" w:cs="Arial" w:eastAsia="Arial" w:hAnsi="Arial"/>
          <w:sz w:val="16"/>
          <w:szCs w:val="16"/>
          <w:color w:val="auto"/>
        </w:rPr>
      </w:pPr>
    </w:p>
    <w:p>
      <w:pPr>
        <w:ind w:left="322" w:right="60" w:hanging="322"/>
        <w:spacing w:after="0" w:line="256" w:lineRule="auto"/>
        <w:tabs>
          <w:tab w:leader="none" w:pos="322"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ind w:left="2" w:right="240"/>
        <w:spacing w:after="0" w:line="26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 nting controls, audit results and accounting principles and practices and annually selects the independent registered public accounting firm.</w:t>
      </w:r>
    </w:p>
    <w:p>
      <w:pPr>
        <w:spacing w:after="0" w:line="131" w:lineRule="exact"/>
        <w:rPr>
          <w:sz w:val="20"/>
          <w:szCs w:val="20"/>
          <w:color w:val="auto"/>
        </w:rPr>
      </w:pPr>
    </w:p>
    <w:p>
      <w:pPr>
        <w:ind w:left="2" w:right="20"/>
        <w:spacing w:after="0" w:line="26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left="2" w:right="120"/>
        <w:spacing w:after="0" w:line="26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28, 2010.</w:t>
      </w:r>
    </w:p>
    <w:p>
      <w:pPr>
        <w:spacing w:after="0" w:line="159" w:lineRule="exact"/>
        <w:rPr>
          <w:sz w:val="20"/>
          <w:szCs w:val="20"/>
          <w:color w:val="auto"/>
        </w:rPr>
      </w:pPr>
    </w:p>
    <w:p>
      <w:pPr>
        <w:ind w:left="2" w:right="200"/>
        <w:spacing w:after="0" w:line="271"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280" w:lineRule="exact"/>
        <w:rPr>
          <w:sz w:val="20"/>
          <w:szCs w:val="20"/>
          <w:color w:val="auto"/>
        </w:rPr>
      </w:pPr>
    </w:p>
    <w:tbl>
      <w:tblPr>
        <w:tblLayout w:type="fixed"/>
        <w:tblInd w:w="2" w:type="dxa"/>
        <w:tblCellMar>
          <w:top w:w="0" w:type="dxa"/>
          <w:left w:w="0" w:type="dxa"/>
          <w:bottom w:w="0" w:type="dxa"/>
          <w:right w:w="0" w:type="dxa"/>
        </w:tblCellMar>
      </w:tblPr>
      <w:tr>
        <w:trPr>
          <w:trHeight w:val="20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J. Olson</w:t>
            </w:r>
          </w:p>
        </w:tc>
        <w:tc>
          <w:tcPr>
            <w:tcW w:w="1600" w:type="dxa"/>
            <w:vAlign w:val="bottom"/>
          </w:tcPr>
          <w:p>
            <w:pPr>
              <w:spacing w:after="0"/>
              <w:rPr>
                <w:sz w:val="17"/>
                <w:szCs w:val="17"/>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Sarah N. Nielsen</w:t>
            </w:r>
          </w:p>
        </w:tc>
      </w:tr>
      <w:tr>
        <w:trPr>
          <w:trHeight w:val="231"/>
        </w:trPr>
        <w:tc>
          <w:tcPr>
            <w:tcW w:w="4920" w:type="dxa"/>
            <w:vAlign w:val="bottom"/>
          </w:tcPr>
          <w:p>
            <w:pPr>
              <w:ind w:left="20"/>
              <w:spacing w:after="0"/>
              <w:rPr>
                <w:sz w:val="20"/>
                <w:szCs w:val="20"/>
                <w:color w:val="auto"/>
              </w:rPr>
            </w:pPr>
            <w:r>
              <w:rPr>
                <w:rFonts w:ascii="Arial" w:cs="Arial" w:eastAsia="Arial" w:hAnsi="Arial"/>
                <w:sz w:val="16"/>
                <w:szCs w:val="16"/>
                <w:color w:val="auto"/>
              </w:rPr>
              <w:t>Robert J. Olson</w:t>
            </w:r>
          </w:p>
        </w:tc>
        <w:tc>
          <w:tcPr>
            <w:tcW w:w="16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Sarah N. Nielsen</w:t>
            </w:r>
          </w:p>
        </w:tc>
      </w:tr>
      <w:tr>
        <w:trPr>
          <w:trHeight w:val="245"/>
        </w:trPr>
        <w:tc>
          <w:tcPr>
            <w:tcW w:w="4920" w:type="dxa"/>
            <w:vAlign w:val="bottom"/>
          </w:tcPr>
          <w:p>
            <w:pPr>
              <w:ind w:left="20"/>
              <w:spacing w:after="0"/>
              <w:rPr>
                <w:sz w:val="20"/>
                <w:szCs w:val="20"/>
                <w:color w:val="auto"/>
              </w:rPr>
            </w:pPr>
            <w:r>
              <w:rPr>
                <w:rFonts w:ascii="Arial" w:cs="Arial" w:eastAsia="Arial" w:hAnsi="Arial"/>
                <w:sz w:val="16"/>
                <w:szCs w:val="16"/>
                <w:color w:val="auto"/>
              </w:rPr>
              <w:t>Chairman of the Board, Chief Executive Officer and President</w:t>
            </w:r>
          </w:p>
        </w:tc>
        <w:tc>
          <w:tcPr>
            <w:tcW w:w="160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491"/>
        </w:trPr>
        <w:tc>
          <w:tcPr>
            <w:tcW w:w="4920" w:type="dxa"/>
            <w:vAlign w:val="bottom"/>
          </w:tcPr>
          <w:p>
            <w:pPr>
              <w:ind w:left="20"/>
              <w:spacing w:after="0"/>
              <w:rPr>
                <w:sz w:val="20"/>
                <w:szCs w:val="20"/>
                <w:color w:val="auto"/>
              </w:rPr>
            </w:pPr>
            <w:r>
              <w:rPr>
                <w:rFonts w:ascii="Arial" w:cs="Arial" w:eastAsia="Arial" w:hAnsi="Arial"/>
                <w:sz w:val="16"/>
                <w:szCs w:val="16"/>
                <w:color w:val="auto"/>
              </w:rPr>
              <w:t>October 26, 2010</w:t>
            </w:r>
          </w:p>
        </w:tc>
        <w:tc>
          <w:tcPr>
            <w:tcW w:w="160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October 26, 2010</w:t>
            </w:r>
          </w:p>
        </w:tc>
      </w:tr>
      <w:tr>
        <w:trPr>
          <w:trHeight w:val="560"/>
        </w:trPr>
        <w:tc>
          <w:tcPr>
            <w:tcW w:w="4920" w:type="dxa"/>
            <w:vAlign w:val="bottom"/>
          </w:tcPr>
          <w:p>
            <w:pPr>
              <w:spacing w:after="0"/>
              <w:rPr>
                <w:sz w:val="24"/>
                <w:szCs w:val="24"/>
                <w:color w:val="auto"/>
              </w:rPr>
            </w:pPr>
          </w:p>
        </w:tc>
        <w:tc>
          <w:tcPr>
            <w:tcW w:w="1600" w:type="dxa"/>
            <w:vAlign w:val="bottom"/>
          </w:tcPr>
          <w:p>
            <w:pPr>
              <w:jc w:val="right"/>
              <w:ind w:right="646"/>
              <w:spacing w:after="0"/>
              <w:rPr>
                <w:sz w:val="20"/>
                <w:szCs w:val="20"/>
                <w:color w:val="auto"/>
              </w:rPr>
            </w:pPr>
            <w:r>
              <w:rPr>
                <w:rFonts w:ascii="Arial" w:cs="Arial" w:eastAsia="Arial" w:hAnsi="Arial"/>
                <w:sz w:val="15"/>
                <w:szCs w:val="15"/>
                <w:color w:val="auto"/>
              </w:rPr>
              <w:t>24</w:t>
            </w:r>
          </w:p>
        </w:tc>
        <w:tc>
          <w:tcPr>
            <w:tcW w:w="4900" w:type="dxa"/>
            <w:vAlign w:val="bottom"/>
          </w:tcPr>
          <w:p>
            <w:pPr>
              <w:spacing w:after="0"/>
              <w:rPr>
                <w:sz w:val="24"/>
                <w:szCs w:val="24"/>
                <w:color w:val="auto"/>
              </w:rPr>
            </w:pPr>
          </w:p>
        </w:tc>
      </w:tr>
    </w:tbl>
    <w:p>
      <w:pPr>
        <w:sectPr>
          <w:pgSz w:w="11900" w:h="16838" w:orient="portrait"/>
          <w:cols w:equalWidth="0" w:num="1">
            <w:col w:w="11422"/>
          </w:cols>
          <w:pgMar w:left="238" w:top="153" w:right="239" w:bottom="1440" w:gutter="0" w:footer="0" w:header="0"/>
        </w:sectPr>
      </w:pPr>
    </w:p>
    <w:bookmarkStart w:id="26" w:name="page27"/>
    <w:bookmarkEnd w:id="26"/>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6"/>
          <w:szCs w:val="16"/>
          <w:color w:val="auto"/>
        </w:rPr>
        <w:t>To the Board of Directors and Stockholders of</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Winnebago Industries, Inc.</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Forest City, Iowa</w:t>
      </w:r>
    </w:p>
    <w:p>
      <w:pPr>
        <w:spacing w:after="0" w:line="172" w:lineRule="exact"/>
        <w:rPr>
          <w:sz w:val="20"/>
          <w:szCs w:val="20"/>
          <w:color w:val="auto"/>
        </w:rPr>
      </w:pPr>
    </w:p>
    <w:p>
      <w:pPr>
        <w:ind w:left="2" w:hanging="2"/>
        <w:spacing w:after="0" w:line="259" w:lineRule="auto"/>
        <w:tabs>
          <w:tab w:leader="none" w:pos="1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font style="font-family:Arial;font-size:10pt;"&gt;We have audited the internal control over financial reporting of Winnebago Industries, Inc. (the "Company") as of August 28, 2010,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8" w:lineRule="exact"/>
        <w:rPr>
          <w:sz w:val="20"/>
          <w:szCs w:val="20"/>
          <w:color w:val="auto"/>
        </w:rPr>
      </w:pPr>
    </w:p>
    <w:p>
      <w:pPr>
        <w:ind w:left="2" w:right="20"/>
        <w:spacing w:after="0" w:line="259" w:lineRule="auto"/>
        <w:rPr>
          <w:sz w:val="20"/>
          <w:szCs w:val="20"/>
          <w:color w:val="auto"/>
        </w:rPr>
      </w:pPr>
      <w:r>
        <w:rPr>
          <w:rFonts w:ascii="Arial" w:cs="Arial" w:eastAsia="Arial" w:hAnsi="Arial"/>
          <w:sz w:val="16"/>
          <w:szCs w:val="16"/>
          <w:color w:val="auto"/>
        </w:rPr>
        <w:t>W 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8" w:lineRule="exact"/>
        <w:rPr>
          <w:sz w:val="20"/>
          <w:szCs w:val="20"/>
          <w:color w:val="auto"/>
        </w:rPr>
      </w:pPr>
    </w:p>
    <w:p>
      <w:pPr>
        <w:ind w:left="2" w:right="220"/>
        <w:spacing w:after="0" w:line="257"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 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 tion of unauthorized acquisition, use, or disposition of the company's assets that could have a material effect on the financial statements.</w:t>
      </w:r>
    </w:p>
    <w:p>
      <w:pPr>
        <w:spacing w:after="0" w:line="153" w:lineRule="exact"/>
        <w:rPr>
          <w:sz w:val="20"/>
          <w:szCs w:val="20"/>
          <w:color w:val="auto"/>
        </w:rPr>
      </w:pPr>
    </w:p>
    <w:p>
      <w:pPr>
        <w:ind w:left="2" w:right="480"/>
        <w:spacing w:after="0" w:line="26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4" w:lineRule="exact"/>
        <w:rPr>
          <w:sz w:val="20"/>
          <w:szCs w:val="20"/>
          <w:color w:val="auto"/>
        </w:rPr>
      </w:pPr>
    </w:p>
    <w:p>
      <w:pPr>
        <w:ind w:left="2" w:right="40"/>
        <w:spacing w:after="0" w:line="271" w:lineRule="auto"/>
        <w:rPr>
          <w:sz w:val="20"/>
          <w:szCs w:val="20"/>
          <w:color w:val="auto"/>
        </w:rPr>
      </w:pPr>
      <w:r>
        <w:rPr>
          <w:rFonts w:ascii="Arial" w:cs="Arial" w:eastAsia="Arial" w:hAnsi="Arial"/>
          <w:sz w:val="16"/>
          <w:szCs w:val="16"/>
          <w:color w:val="auto"/>
        </w:rPr>
        <w:t xml:space="preserve">In our opinion, the Company ma intained, in all material respects, effective internal control over financial reporting as of August 28, 2010,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36" w:lineRule="exact"/>
        <w:rPr>
          <w:sz w:val="20"/>
          <w:szCs w:val="20"/>
          <w:color w:val="auto"/>
        </w:rPr>
      </w:pPr>
    </w:p>
    <w:p>
      <w:pPr>
        <w:ind w:left="2" w:right="260"/>
        <w:spacing w:after="0" w:line="26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financial statements as of and for the year ended August 28, 2010 of the Company and our report dated October 26, 2010 expressed an unqualified opinion on those financial statements.</w:t>
      </w:r>
    </w:p>
    <w:p>
      <w:pPr>
        <w:spacing w:after="0" w:line="200" w:lineRule="exact"/>
        <w:rPr>
          <w:sz w:val="20"/>
          <w:szCs w:val="20"/>
          <w:color w:val="auto"/>
        </w:rPr>
      </w:pPr>
    </w:p>
    <w:p>
      <w:pPr>
        <w:spacing w:after="0" w:line="299" w:lineRule="exact"/>
        <w:rPr>
          <w:sz w:val="20"/>
          <w:szCs w:val="20"/>
          <w:color w:val="auto"/>
        </w:rPr>
      </w:pPr>
    </w:p>
    <w:p>
      <w:pPr>
        <w:ind w:left="2"/>
        <w:spacing w:after="0"/>
        <w:rPr>
          <w:sz w:val="20"/>
          <w:szCs w:val="20"/>
          <w:color w:val="auto"/>
        </w:rPr>
      </w:pPr>
      <w:r>
        <w:rPr>
          <w:rFonts w:ascii="Arial" w:cs="Arial" w:eastAsia="Arial" w:hAnsi="Arial"/>
          <w:sz w:val="16"/>
          <w:szCs w:val="16"/>
          <w:color w:val="auto"/>
        </w:rPr>
        <w:t>/s/ DELOITTE &amp; TOUCHE LLP</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Minneapolis, Minnesota</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October 26,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1"/>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22"/>
          </w:cols>
          <w:pgMar w:left="238" w:top="153" w:right="239" w:bottom="1440" w:gutter="0" w:footer="0" w:header="0"/>
        </w:sectPr>
      </w:pPr>
    </w:p>
    <w:bookmarkStart w:id="27" w:name="page28"/>
    <w:bookmarkEnd w:id="2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72" w:lineRule="exact"/>
        <w:rPr>
          <w:sz w:val="20"/>
          <w:szCs w:val="20"/>
          <w:color w:val="auto"/>
        </w:rPr>
      </w:pPr>
    </w:p>
    <w:p>
      <w:pPr>
        <w:ind w:right="420"/>
        <w:spacing w:after="0" w:line="261" w:lineRule="auto"/>
        <w:rPr>
          <w:sz w:val="20"/>
          <w:szCs w:val="20"/>
          <w:color w:val="auto"/>
        </w:rPr>
      </w:pPr>
      <w:r>
        <w:rPr>
          <w:rFonts w:ascii="Arial" w:cs="Arial" w:eastAsia="Arial" w:hAnsi="Arial"/>
          <w:sz w:val="16"/>
          <w:szCs w:val="16"/>
          <w:color w:val="auto"/>
        </w:rPr>
        <w:t>We have audited the accompanying balance sheets of Winnebago Industries, Inc. (the "Company") as of August 28, 2010 and August 29, 2009, and the related statements of operations, stockholders' equity, and cash flows for each of the three years in the period ended August 28, 2010. These financial statements are the responsibility of the Company's management. Our responsibility is to express an opinion on these financial statements based on our audits.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 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our opinion, such financial statements present fairly, in all material respects, the financial position of the Company at August 28, 2010 and August 29, 2009, and the results of its operations and its cash flows for each of the three years in the period ended August 28, 2010, in conformity with accounting principles generally accepted in the United States of America.</w:t>
      </w:r>
    </w:p>
    <w:p>
      <w:pPr>
        <w:spacing w:after="0" w:line="143"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Company's internal control over financial reporting as of August 28, 2010,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October 26, 2010 expressed an unqualified opinion on the Company's internal control over financial reporting.</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rPr>
          <w:sz w:val="20"/>
          <w:szCs w:val="20"/>
          <w:color w:val="auto"/>
        </w:rPr>
      </w:pPr>
      <w:r>
        <w:rPr>
          <w:rFonts w:ascii="Arial" w:cs="Arial" w:eastAsia="Arial" w:hAnsi="Arial"/>
          <w:sz w:val="16"/>
          <w:szCs w:val="16"/>
          <w:color w:val="auto"/>
        </w:rPr>
        <w:t>October 26, 2010</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00"/>
          </w:cols>
          <w:pgMar w:left="240" w:top="153" w:right="259" w:bottom="1440" w:gutter="0" w:footer="0" w:header="0"/>
        </w:sectPr>
      </w:pPr>
    </w:p>
    <w:bookmarkStart w:id="28" w:name="page29"/>
    <w:bookmarkEnd w:id="28"/>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1" w:lineRule="exact"/>
        <w:rPr>
          <w:sz w:val="20"/>
          <w:szCs w:val="20"/>
          <w:color w:val="auto"/>
        </w:rPr>
      </w:pPr>
    </w:p>
    <w:p>
      <w:pPr>
        <w:ind w:left="2"/>
        <w:spacing w:after="0"/>
        <w:rPr>
          <w:sz w:val="20"/>
          <w:szCs w:val="20"/>
          <w:color w:val="auto"/>
        </w:rPr>
      </w:pPr>
      <w:r>
        <w:rPr>
          <w:rFonts w:ascii="Arial" w:cs="Arial" w:eastAsia="Arial" w:hAnsi="Arial"/>
          <w:sz w:val="23"/>
          <w:szCs w:val="23"/>
          <w:color w:val="auto"/>
        </w:rPr>
        <w:t>Winnebago Industries, Inc.</w:t>
      </w:r>
    </w:p>
    <w:p>
      <w:pPr>
        <w:spacing w:after="0" w:line="5"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auto"/>
        </w:rPr>
        <w:t>Statements of Operations</w:t>
      </w:r>
      <w:r>
        <w:rPr>
          <w:rFonts w:ascii="Arial" w:cs="Arial" w:eastAsia="Arial" w:hAnsi="Arial"/>
          <w:sz w:val="13"/>
          <w:szCs w:val="13"/>
          <w:b w:val="1"/>
          <w:bCs w:val="1"/>
          <w:color w:val="auto"/>
        </w:rPr>
        <w:t>(1)</w:t>
      </w:r>
    </w:p>
    <w:p>
      <w:pPr>
        <w:spacing w:after="0" w:line="322" w:lineRule="exact"/>
        <w:rPr>
          <w:sz w:val="20"/>
          <w:szCs w:val="20"/>
          <w:color w:val="auto"/>
        </w:rPr>
      </w:pPr>
    </w:p>
    <w:p>
      <w:pPr>
        <w:ind w:left="2" w:right="920" w:firstLine="925"/>
        <w:spacing w:after="0" w:line="271" w:lineRule="auto"/>
        <w:tabs>
          <w:tab w:leader="none" w:pos="10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td style="vertical-align:bottom;background-color:#cceeff;padding-left:2px;padding-top:2px;padding-bottom:2px;padding-right:2px;"&gt; Weighted average common shares outstanding:</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4220" w:type="dxa"/>
            <w:vAlign w:val="bottom"/>
          </w:tcPr>
          <w:p>
            <w:pPr>
              <w:ind w:left="280"/>
              <w:spacing w:after="0"/>
              <w:rPr>
                <w:sz w:val="20"/>
                <w:szCs w:val="20"/>
                <w:color w:val="auto"/>
              </w:rPr>
            </w:pPr>
            <w:r>
              <w:rPr>
                <w:rFonts w:ascii="Arial" w:cs="Arial" w:eastAsia="Arial" w:hAnsi="Arial"/>
                <w:sz w:val="16"/>
                <w:szCs w:val="16"/>
                <w:color w:val="auto"/>
              </w:rPr>
              <w:t>Basic</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3"/>
        </w:trPr>
        <w:tc>
          <w:tcPr>
            <w:tcW w:w="4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19"/>
                <w:szCs w:val="19"/>
                <w:b w:val="1"/>
                <w:bCs w:val="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August 28, 2010</w:t>
            </w:r>
          </w:p>
        </w:tc>
        <w:tc>
          <w:tcPr>
            <w:tcW w:w="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August 29, 2009</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August 30, 2008</w:t>
            </w:r>
          </w:p>
        </w:tc>
      </w:tr>
      <w:tr>
        <w:trPr>
          <w:trHeight w:val="195"/>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/td&gt;</w:t>
            </w:r>
          </w:p>
        </w:tc>
        <w:tc>
          <w:tcPr>
            <w:tcW w:w="19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449,484</w:t>
            </w:r>
          </w:p>
        </w:tc>
        <w:tc>
          <w:tcPr>
            <w:tcW w:w="5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211, 519</w:t>
            </w:r>
          </w:p>
        </w:tc>
        <w:tc>
          <w:tcPr>
            <w:tcW w:w="2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604,352</w:t>
            </w:r>
          </w:p>
        </w:tc>
      </w:tr>
      <w:tr>
        <w:trPr>
          <w:trHeight w:val="226"/>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423,217</w:t>
            </w:r>
          </w:p>
        </w:tc>
        <w:tc>
          <w:tcPr>
            <w:tcW w:w="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242,265</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569,580</w:t>
            </w:r>
          </w:p>
        </w:tc>
      </w:tr>
      <w:tr>
        <w:trPr>
          <w:trHeight w:val="225"/>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(deficit)</w:t>
            </w:r>
          </w:p>
        </w:tc>
        <w:tc>
          <w:tcPr>
            <w:tcW w:w="17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26,267</w:t>
            </w:r>
          </w:p>
        </w:tc>
        <w:tc>
          <w:tcPr>
            <w:tcW w:w="5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(30,746)</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34,772</w:t>
            </w:r>
          </w:p>
        </w:tc>
      </w:tr>
      <w:tr>
        <w:trPr>
          <w:trHeight w:val="269"/>
        </w:trPr>
        <w:tc>
          <w:tcPr>
            <w:tcW w:w="4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5"/>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6"/>
        </w:trPr>
        <w:tc>
          <w:tcPr>
            <w:tcW w:w="4220" w:type="dxa"/>
            <w:vAlign w:val="bottom"/>
          </w:tcPr>
          <w:p>
            <w:pPr>
              <w:ind w:left="300"/>
              <w:spacing w:after="0"/>
              <w:rPr>
                <w:sz w:val="20"/>
                <w:szCs w:val="20"/>
                <w:color w:val="auto"/>
              </w:rPr>
            </w:pPr>
            <w:r>
              <w:rPr>
                <w:rFonts w:ascii="Arial" w:cs="Arial" w:eastAsia="Arial" w:hAnsi="Arial"/>
                <w:sz w:val="16"/>
                <w:szCs w:val="16"/>
                <w:color w:val="auto"/>
              </w:rPr>
              <w:t>Selling</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12,724</w:t>
            </w:r>
          </w:p>
        </w:tc>
        <w:tc>
          <w:tcPr>
            <w:tcW w:w="560" w:type="dxa"/>
            <w:vAlign w:val="bottom"/>
          </w:tcPr>
          <w:p>
            <w:pPr>
              <w:spacing w:after="0"/>
              <w:rPr>
                <w:sz w:val="19"/>
                <w:szCs w:val="19"/>
                <w:color w:val="auto"/>
              </w:rPr>
            </w:pPr>
          </w:p>
        </w:tc>
        <w:tc>
          <w:tcPr>
            <w:tcW w:w="1620" w:type="dxa"/>
            <w:vAlign w:val="bottom"/>
          </w:tcPr>
          <w:p>
            <w:pPr>
              <w:jc w:val="right"/>
              <w:ind w:right="158"/>
              <w:spacing w:after="0"/>
              <w:rPr>
                <w:sz w:val="20"/>
                <w:szCs w:val="20"/>
                <w:color w:val="auto"/>
              </w:rPr>
            </w:pPr>
            <w:r>
              <w:rPr>
                <w:rFonts w:ascii="Arial" w:cs="Arial" w:eastAsia="Arial" w:hAnsi="Arial"/>
                <w:sz w:val="16"/>
                <w:szCs w:val="16"/>
                <w:color w:val="auto"/>
              </w:rPr>
              <w:t>12,616</w:t>
            </w:r>
          </w:p>
        </w:tc>
        <w:tc>
          <w:tcPr>
            <w:tcW w:w="2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18,482</w:t>
            </w:r>
          </w:p>
        </w:tc>
      </w:tr>
      <w:tr>
        <w:trPr>
          <w:trHeight w:val="240"/>
        </w:trPr>
        <w:tc>
          <w:tcPr>
            <w:tcW w:w="4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13,023</w:t>
            </w:r>
          </w:p>
        </w:tc>
        <w:tc>
          <w:tcPr>
            <w:tcW w:w="5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15,298</w:t>
            </w:r>
          </w:p>
        </w:tc>
        <w:tc>
          <w:tcPr>
            <w:tcW w:w="2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21,359</w:t>
            </w:r>
          </w:p>
        </w:tc>
      </w:tr>
      <w:tr>
        <w:trPr>
          <w:trHeight w:val="226"/>
        </w:trPr>
        <w:tc>
          <w:tcPr>
            <w:tcW w:w="42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Asset impairment</w:t>
            </w:r>
          </w:p>
        </w:tc>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855</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4,686</w:t>
            </w:r>
          </w:p>
        </w:tc>
      </w:tr>
      <w:tr>
        <w:trPr>
          <w:trHeight w:val="225"/>
        </w:trPr>
        <w:tc>
          <w:tcPr>
            <w:tcW w:w="4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17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25,747</w:t>
            </w:r>
          </w:p>
        </w:tc>
        <w:tc>
          <w:tcPr>
            <w:tcW w:w="5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28,769</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44,527</w:t>
            </w:r>
          </w:p>
        </w:tc>
      </w:tr>
      <w:tr>
        <w:trPr>
          <w:trHeight w:val="269"/>
        </w:trPr>
        <w:tc>
          <w:tcPr>
            <w:tcW w:w="4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5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(59,515)</w:t>
            </w:r>
          </w:p>
        </w:tc>
        <w:tc>
          <w:tcPr>
            <w:tcW w:w="2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(9,755)</w:t>
            </w:r>
          </w:p>
        </w:tc>
      </w:tr>
      <w:tr>
        <w:trPr>
          <w:trHeight w:val="270"/>
        </w:trPr>
        <w:tc>
          <w:tcPr>
            <w:tcW w:w="4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income</w:t>
            </w:r>
          </w:p>
        </w:tc>
        <w:tc>
          <w:tcPr>
            <w:tcW w:w="17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5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1,452</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4,314</w:t>
            </w:r>
          </w:p>
        </w:tc>
      </w:tr>
      <w:tr>
        <w:trPr>
          <w:trHeight w:val="225"/>
        </w:trPr>
        <w:tc>
          <w:tcPr>
            <w:tcW w:w="42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742</w:t>
            </w:r>
          </w:p>
        </w:tc>
        <w:tc>
          <w:tcPr>
            <w:tcW w:w="560" w:type="dxa"/>
            <w:vAlign w:val="bottom"/>
          </w:tcPr>
          <w:p>
            <w:pPr>
              <w:spacing w:after="0"/>
              <w:rPr>
                <w:sz w:val="19"/>
                <w:szCs w:val="19"/>
                <w:color w:val="auto"/>
              </w:rPr>
            </w:pPr>
          </w:p>
        </w:tc>
        <w:tc>
          <w:tcPr>
            <w:tcW w:w="1620" w:type="dxa"/>
            <w:vAlign w:val="bottom"/>
          </w:tcPr>
          <w:p>
            <w:pPr>
              <w:jc w:val="right"/>
              <w:ind w:right="118"/>
              <w:spacing w:after="0"/>
              <w:rPr>
                <w:sz w:val="20"/>
                <w:szCs w:val="20"/>
                <w:color w:val="auto"/>
              </w:rPr>
            </w:pPr>
            <w:r>
              <w:rPr>
                <w:rFonts w:ascii="Arial" w:cs="Arial" w:eastAsia="Arial" w:hAnsi="Arial"/>
                <w:sz w:val="16"/>
                <w:szCs w:val="16"/>
                <w:color w:val="auto"/>
              </w:rPr>
              <w:t>(58,063)</w:t>
            </w:r>
          </w:p>
        </w:tc>
        <w:tc>
          <w:tcPr>
            <w:tcW w:w="2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(5,441)</w:t>
            </w:r>
          </w:p>
        </w:tc>
      </w:tr>
      <w:tr>
        <w:trPr>
          <w:trHeight w:val="277"/>
        </w:trPr>
        <w:tc>
          <w:tcPr>
            <w:tcW w:w="4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26"/>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taxes</w:t>
            </w:r>
          </w:p>
        </w:tc>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418"/>
              <w:spacing w:after="0"/>
              <w:rPr>
                <w:sz w:val="20"/>
                <w:szCs w:val="20"/>
                <w:color w:val="auto"/>
              </w:rPr>
            </w:pPr>
            <w:r>
              <w:rPr>
                <w:rFonts w:ascii="Arial" w:cs="Arial" w:eastAsia="Arial" w:hAnsi="Arial"/>
                <w:sz w:val="16"/>
                <w:szCs w:val="16"/>
                <w:color w:val="auto"/>
              </w:rPr>
              <w:t>(9,505)</w:t>
            </w:r>
          </w:p>
        </w:tc>
        <w:tc>
          <w:tcPr>
            <w:tcW w:w="16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20,703</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(8,225)</w:t>
            </w:r>
          </w:p>
        </w:tc>
      </w:tr>
      <w:tr>
        <w:trPr>
          <w:trHeight w:val="231"/>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9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5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(78,766)</w:t>
            </w:r>
          </w:p>
        </w:tc>
        <w:tc>
          <w:tcPr>
            <w:tcW w:w="2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2,784</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4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5"/>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per common share:</w:t>
            </w:r>
          </w:p>
        </w:tc>
        <w:tc>
          <w:tcPr>
            <w:tcW w:w="1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3"/>
        </w:trPr>
        <w:tc>
          <w:tcPr>
            <w:tcW w:w="42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Basic</w:t>
            </w:r>
          </w:p>
        </w:tc>
        <w:tc>
          <w:tcPr>
            <w:tcW w:w="17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(2.71)</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0.10</w:t>
            </w:r>
          </w:p>
        </w:tc>
      </w:tr>
      <w:tr>
        <w:trPr>
          <w:trHeight w:val="210"/>
        </w:trPr>
        <w:tc>
          <w:tcPr>
            <w:tcW w:w="4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1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5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(2.71)</w:t>
            </w:r>
          </w:p>
        </w:tc>
        <w:tc>
          <w:tcPr>
            <w:tcW w:w="2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0.10</w:t>
            </w:r>
          </w:p>
        </w:tc>
      </w:tr>
      <w:tr>
        <w:trPr>
          <w:trHeight w:val="20"/>
        </w:trPr>
        <w:tc>
          <w:tcPr>
            <w:tcW w:w="4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4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45"/>
        </w:trPr>
        <w:tc>
          <w:tcPr>
            <w:tcW w:w="4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26"/>
        </w:trPr>
        <w:tc>
          <w:tcPr>
            <w:tcW w:w="42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29,091</w:t>
            </w: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29,040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29,093</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0"/>
        </w:trPr>
        <w:tc>
          <w:tcPr>
            <w:tcW w:w="4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29,101</w:t>
            </w:r>
          </w:p>
        </w:tc>
        <w:tc>
          <w:tcPr>
            <w:tcW w:w="5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29,051</w:t>
            </w:r>
          </w:p>
        </w:tc>
        <w:tc>
          <w:tcPr>
            <w:tcW w:w="2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29,144</w:t>
            </w:r>
          </w:p>
        </w:tc>
      </w:tr>
    </w:tbl>
    <w:p>
      <w:pPr>
        <w:spacing w:after="0" w:line="2" w:lineRule="exact"/>
        <w:rPr>
          <w:sz w:val="20"/>
          <w:szCs w:val="20"/>
          <w:color w:val="auto"/>
        </w:rPr>
      </w:pPr>
    </w:p>
    <w:p>
      <w:pPr>
        <w:ind w:left="242" w:hanging="242"/>
        <w:spacing w:after="0"/>
        <w:tabs>
          <w:tab w:leader="none" w:pos="242" w:val="left"/>
        </w:tabs>
        <w:numPr>
          <w:ilvl w:val="0"/>
          <w:numId w:val="25"/>
        </w:numPr>
        <w:rPr>
          <w:rFonts w:ascii="Arial" w:cs="Arial" w:eastAsia="Arial" w:hAnsi="Arial"/>
          <w:sz w:val="8"/>
          <w:szCs w:val="8"/>
          <w:color w:val="auto"/>
        </w:rPr>
      </w:pPr>
      <w:r>
        <w:rPr>
          <w:rFonts w:ascii="Arial" w:cs="Arial" w:eastAsia="Arial" w:hAnsi="Arial"/>
          <w:sz w:val="13"/>
          <w:szCs w:val="13"/>
          <w:color w:val="auto"/>
        </w:rPr>
        <w:t>See notes to financial statements.</w:t>
      </w:r>
    </w:p>
    <w:p>
      <w:pPr>
        <w:ind w:left="182" w:hanging="182"/>
        <w:spacing w:after="0"/>
        <w:tabs>
          <w:tab w:leader="none" w:pos="182" w:val="left"/>
        </w:tabs>
        <w:numPr>
          <w:ilvl w:val="0"/>
          <w:numId w:val="25"/>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339"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22"/>
          </w:cols>
          <w:pgMar w:left="238" w:top="153" w:right="239" w:bottom="1440" w:gutter="0" w:footer="0" w:header="0"/>
        </w:sectPr>
      </w:pPr>
    </w:p>
    <w:bookmarkStart w:id="29" w:name="page30"/>
    <w:bookmarkEnd w:id="29"/>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05"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auto"/>
        </w:rPr>
        <w:t>Winnebago Industries, Inc.</w:t>
      </w:r>
    </w:p>
    <w:p>
      <w:pPr>
        <w:spacing w:after="0" w:line="33"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auto"/>
        </w:rPr>
        <w:t>Balance Sheets</w:t>
      </w:r>
      <w:r>
        <w:rPr>
          <w:rFonts w:ascii="Arial" w:cs="Arial" w:eastAsia="Arial" w:hAnsi="Arial"/>
          <w:sz w:val="13"/>
          <w:szCs w:val="13"/>
          <w:b w:val="1"/>
          <w:bCs w:val="1"/>
          <w:color w:val="auto"/>
        </w:rPr>
        <w:t>(1)</w:t>
      </w:r>
    </w:p>
    <w:p>
      <w:pPr>
        <w:spacing w:after="0" w:line="135" w:lineRule="exact"/>
        <w:rPr>
          <w:sz w:val="20"/>
          <w:szCs w:val="20"/>
          <w:color w:val="auto"/>
        </w:rPr>
      </w:pPr>
    </w:p>
    <w:tbl>
      <w:tblPr>
        <w:tblLayout w:type="fixed"/>
        <w:tblInd w:w="2" w:type="dxa"/>
        <w:tblCellMar>
          <w:top w:w="0" w:type="dxa"/>
          <w:left w:w="0" w:type="dxa"/>
          <w:bottom w:w="0" w:type="dxa"/>
          <w:right w:w="0" w:type="dxa"/>
        </w:tblCellMar>
      </w:tblPr>
      <w:tr>
        <w:trPr>
          <w:trHeight w:val="231"/>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August 28, 2010</w:t>
            </w: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w w:val="93"/>
              </w:rPr>
              <w:t>August 29, 2009</w:t>
            </w:r>
          </w:p>
        </w:tc>
        <w:tc>
          <w:tcPr>
            <w:tcW w:w="0" w:type="dxa"/>
            <w:vAlign w:val="bottom"/>
          </w:tcPr>
          <w:p>
            <w:pPr>
              <w:spacing w:after="0"/>
              <w:rPr>
                <w:sz w:val="1"/>
                <w:szCs w:val="1"/>
                <w:color w:val="auto"/>
              </w:rPr>
            </w:pPr>
          </w:p>
        </w:tc>
      </w:tr>
      <w:tr>
        <w:trPr>
          <w:trHeight w:val="269"/>
        </w:trPr>
        <w:tc>
          <w:tcPr>
            <w:tcW w:w="7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24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74,691</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36,566</w:t>
            </w:r>
          </w:p>
        </w:tc>
        <w:tc>
          <w:tcPr>
            <w:tcW w:w="0" w:type="dxa"/>
            <w:vAlign w:val="bottom"/>
          </w:tcPr>
          <w:p>
            <w:pPr>
              <w:spacing w:after="0"/>
              <w:rPr>
                <w:sz w:val="1"/>
                <w:szCs w:val="1"/>
                <w:color w:val="auto"/>
              </w:rPr>
            </w:pPr>
          </w:p>
        </w:tc>
      </w:tr>
      <w:tr>
        <w:trPr>
          <w:trHeight w:val="240"/>
        </w:trPr>
        <w:tc>
          <w:tcPr>
            <w:tcW w:w="7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13,500</w:t>
            </w:r>
          </w:p>
        </w:tc>
        <w:tc>
          <w:tcPr>
            <w:tcW w:w="0" w:type="dxa"/>
            <w:vAlign w:val="bottom"/>
          </w:tcPr>
          <w:p>
            <w:pPr>
              <w:spacing w:after="0"/>
              <w:rPr>
                <w:sz w:val="1"/>
                <w:szCs w:val="1"/>
                <w:color w:val="auto"/>
              </w:rPr>
            </w:pPr>
          </w:p>
        </w:tc>
      </w:tr>
      <w:tr>
        <w:trPr>
          <w:trHeight w:val="208"/>
        </w:trPr>
        <w:tc>
          <w:tcPr>
            <w:tcW w:w="7240" w:type="dxa"/>
            <w:vAlign w:val="bottom"/>
          </w:tcPr>
          <w:p>
            <w:pPr>
              <w:ind w:left="320"/>
              <w:spacing w:after="0"/>
              <w:rPr>
                <w:sz w:val="20"/>
                <w:szCs w:val="20"/>
                <w:color w:val="auto"/>
              </w:rPr>
            </w:pPr>
            <w:r>
              <w:rPr>
                <w:rFonts w:ascii="Arial" w:cs="Arial" w:eastAsia="Arial" w:hAnsi="Arial"/>
                <w:sz w:val="16"/>
                <w:szCs w:val="16"/>
                <w:color w:val="auto"/>
              </w:rPr>
              <w:t>Receivables, less allowance for doubtful accounts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320"/>
              <w:spacing w:after="0"/>
              <w:rPr>
                <w:sz w:val="20"/>
                <w:szCs w:val="20"/>
                <w:color w:val="auto"/>
              </w:rPr>
            </w:pPr>
            <w:r>
              <w:rPr>
                <w:rFonts w:ascii="Arial" w:cs="Arial" w:eastAsia="Arial" w:hAnsi="Arial"/>
                <w:sz w:val="16"/>
                <w:szCs w:val="16"/>
                <w:color w:val="auto"/>
              </w:rPr>
              <w:t>($91 and $185, respectively)</w:t>
            </w:r>
          </w:p>
        </w:tc>
        <w:tc>
          <w:tcPr>
            <w:tcW w:w="260" w:type="dxa"/>
            <w:vAlign w:val="bottom"/>
          </w:tcPr>
          <w:p>
            <w:pPr>
              <w:spacing w:after="0"/>
              <w:rPr>
                <w:sz w:val="17"/>
                <w:szCs w:val="17"/>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18,798</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11,717</w:t>
            </w:r>
          </w:p>
        </w:tc>
        <w:tc>
          <w:tcPr>
            <w:tcW w:w="0" w:type="dxa"/>
            <w:vAlign w:val="bottom"/>
          </w:tcPr>
          <w:p>
            <w:pPr>
              <w:spacing w:after="0"/>
              <w:rPr>
                <w:sz w:val="1"/>
                <w:szCs w:val="1"/>
                <w:color w:val="auto"/>
              </w:rPr>
            </w:pPr>
          </w:p>
        </w:tc>
      </w:tr>
      <w:tr>
        <w:trPr>
          <w:trHeight w:val="240"/>
        </w:trPr>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&amp; nbsp; Inventories</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43,526</w:t>
            </w: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46,850</w:t>
            </w:r>
          </w:p>
        </w:tc>
        <w:tc>
          <w:tcPr>
            <w:tcW w:w="0" w:type="dxa"/>
            <w:vAlign w:val="bottom"/>
          </w:tcPr>
          <w:p>
            <w:pPr>
              <w:spacing w:after="0"/>
              <w:rPr>
                <w:sz w:val="1"/>
                <w:szCs w:val="1"/>
                <w:color w:val="auto"/>
              </w:rPr>
            </w:pPr>
          </w:p>
        </w:tc>
      </w:tr>
      <w:tr>
        <w:trPr>
          <w:trHeight w:val="226"/>
        </w:trPr>
        <w:tc>
          <w:tcPr>
            <w:tcW w:w="7240" w:type="dxa"/>
            <w:vAlign w:val="bottom"/>
          </w:tcPr>
          <w:p>
            <w:pPr>
              <w:ind w:left="30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4,570</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3,425</w:t>
            </w:r>
          </w:p>
        </w:tc>
        <w:tc>
          <w:tcPr>
            <w:tcW w:w="0" w:type="dxa"/>
            <w:vAlign w:val="bottom"/>
          </w:tcPr>
          <w:p>
            <w:pPr>
              <w:spacing w:after="0"/>
              <w:rPr>
                <w:sz w:val="1"/>
                <w:szCs w:val="1"/>
                <w:color w:val="auto"/>
              </w:rPr>
            </w:pPr>
          </w:p>
        </w:tc>
      </w:tr>
      <w:tr>
        <w:trPr>
          <w:trHeight w:val="233"/>
        </w:trPr>
        <w:tc>
          <w:tcPr>
            <w:tcW w:w="7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receivable</w:t>
            </w:r>
          </w:p>
        </w:tc>
        <w:tc>
          <w:tcPr>
            <w:tcW w:w="2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132</w:t>
            </w:r>
          </w:p>
        </w:tc>
        <w:tc>
          <w:tcPr>
            <w:tcW w:w="5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141,717</w:t>
            </w: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129,414</w:t>
            </w:r>
          </w:p>
        </w:tc>
        <w:tc>
          <w:tcPr>
            <w:tcW w:w="0" w:type="dxa"/>
            <w:vAlign w:val="bottom"/>
          </w:tcPr>
          <w:p>
            <w:pPr>
              <w:spacing w:after="0"/>
              <w:rPr>
                <w:sz w:val="1"/>
                <w:szCs w:val="1"/>
                <w:color w:val="auto"/>
              </w:rPr>
            </w:pPr>
          </w:p>
        </w:tc>
      </w:tr>
      <w:tr>
        <w:trPr>
          <w:trHeight w:val="23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25,677</w:t>
            </w: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28,040</w:t>
            </w:r>
          </w:p>
        </w:tc>
        <w:tc>
          <w:tcPr>
            <w:tcW w:w="0" w:type="dxa"/>
            <w:vAlign w:val="bottom"/>
          </w:tcPr>
          <w:p>
            <w:pPr>
              <w:spacing w:after="0"/>
              <w:rPr>
                <w:sz w:val="1"/>
                <w:szCs w:val="1"/>
                <w:color w:val="auto"/>
              </w:rPr>
            </w:pPr>
          </w:p>
        </w:tc>
      </w:tr>
      <w:tr>
        <w:trPr>
          <w:trHeight w:val="226"/>
        </w:trPr>
        <w:tc>
          <w:tcPr>
            <w:tcW w:w="7240" w:type="dxa"/>
            <w:vAlign w:val="bottom"/>
          </w:tcPr>
          <w:p>
            <w:pPr>
              <w:ind w:left="20"/>
              <w:spacing w:after="0"/>
              <w:rPr>
                <w:sz w:val="20"/>
                <w:szCs w:val="20"/>
                <w:color w:val="auto"/>
              </w:rPr>
            </w:pPr>
            <w:r>
              <w:rPr>
                <w:rFonts w:ascii="Arial" w:cs="Arial" w:eastAsia="Arial" w:hAnsi="Arial"/>
                <w:sz w:val="16"/>
                <w:szCs w:val="16"/>
                <w:color w:val="auto"/>
              </w:rPr>
              <w:t>Assets held for sale</w:t>
            </w:r>
          </w:p>
        </w:tc>
        <w:tc>
          <w:tcPr>
            <w:tcW w:w="26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4,254</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6,515</w:t>
            </w:r>
          </w:p>
        </w:tc>
        <w:tc>
          <w:tcPr>
            <w:tcW w:w="0" w:type="dxa"/>
            <w:vAlign w:val="bottom"/>
          </w:tcPr>
          <w:p>
            <w:pPr>
              <w:spacing w:after="0"/>
              <w:rPr>
                <w:sz w:val="1"/>
                <w:szCs w:val="1"/>
                <w:color w:val="auto"/>
              </w:rPr>
            </w:pPr>
          </w:p>
        </w:tc>
      </w:tr>
      <w:tr>
        <w:trPr>
          <w:trHeight w:val="24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17,785</w:t>
            </w: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19,794</w:t>
            </w:r>
          </w:p>
        </w:tc>
        <w:tc>
          <w:tcPr>
            <w:tcW w:w="0" w:type="dxa"/>
            <w:vAlign w:val="bottom"/>
          </w:tcPr>
          <w:p>
            <w:pPr>
              <w:spacing w:after="0"/>
              <w:rPr>
                <w:sz w:val="1"/>
                <w:szCs w:val="1"/>
                <w:color w:val="auto"/>
              </w:rPr>
            </w:pPr>
          </w:p>
        </w:tc>
      </w:tr>
      <w:tr>
        <w:trPr>
          <w:trHeight w:val="226"/>
        </w:trPr>
        <w:tc>
          <w:tcPr>
            <w:tcW w:w="7240" w:type="dxa"/>
            <w:vAlign w:val="bottom"/>
          </w:tcPr>
          <w:p>
            <w:pPr>
              <w:ind w:left="20"/>
              <w:spacing w:after="0"/>
              <w:rPr>
                <w:sz w:val="20"/>
                <w:szCs w:val="20"/>
                <w:color w:val="auto"/>
              </w:rPr>
            </w:pPr>
            <w:r>
              <w:rPr>
                <w:rFonts w:ascii="Arial" w:cs="Arial" w:eastAsia="Arial" w:hAnsi="Arial"/>
                <w:sz w:val="16"/>
                <w:szCs w:val="16"/>
                <w:color w:val="auto"/>
              </w:rPr>
              <w:t>Investment in life insurance</w:t>
            </w:r>
          </w:p>
        </w:tc>
        <w:tc>
          <w:tcPr>
            <w:tcW w:w="26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23,250</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22,451</w:t>
            </w:r>
          </w:p>
        </w:tc>
        <w:tc>
          <w:tcPr>
            <w:tcW w:w="0" w:type="dxa"/>
            <w:vAlign w:val="bottom"/>
          </w:tcPr>
          <w:p>
            <w:pPr>
              <w:spacing w:after="0"/>
              <w:rPr>
                <w:sz w:val="1"/>
                <w:szCs w:val="1"/>
                <w:color w:val="auto"/>
              </w:rPr>
            </w:pPr>
          </w:p>
        </w:tc>
      </w:tr>
      <w:tr>
        <w:trPr>
          <w:trHeight w:val="23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14,674</w:t>
            </w:r>
          </w:p>
        </w:tc>
        <w:tc>
          <w:tcPr>
            <w:tcW w:w="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14,252</w:t>
            </w:r>
          </w:p>
        </w:tc>
        <w:tc>
          <w:tcPr>
            <w:tcW w:w="16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7240" w:type="dxa"/>
            <w:vAlign w:val="bottom"/>
            <w:tcBorders>
              <w:bottom w:val="single" w:sz="8" w:color="CCEEFF"/>
            </w:tcBorders>
          </w:tcPr>
          <w:p>
            <w:pPr>
              <w:ind w:left="10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227,357</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220,466</w:t>
            </w:r>
          </w:p>
        </w:tc>
        <w:tc>
          <w:tcPr>
            <w:tcW w:w="0" w:type="dxa"/>
            <w:vAlign w:val="bottom"/>
          </w:tcPr>
          <w:p>
            <w:pPr>
              <w:spacing w:after="0"/>
              <w:rPr>
                <w:sz w:val="1"/>
                <w:szCs w:val="1"/>
                <w:color w:val="auto"/>
              </w:rPr>
            </w:pPr>
          </w:p>
        </w:tc>
      </w:tr>
      <w:tr>
        <w:trPr>
          <w:trHeight w:val="247"/>
        </w:trPr>
        <w:tc>
          <w:tcPr>
            <w:tcW w:w="7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2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19,725</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10,370</w:t>
            </w:r>
          </w:p>
        </w:tc>
        <w:tc>
          <w:tcPr>
            <w:tcW w:w="0" w:type="dxa"/>
            <w:vAlign w:val="bottom"/>
          </w:tcPr>
          <w:p>
            <w:pPr>
              <w:spacing w:after="0"/>
              <w:rPr>
                <w:sz w:val="1"/>
                <w:szCs w:val="1"/>
                <w:color w:val="auto"/>
              </w:rPr>
            </w:pPr>
          </w:p>
        </w:tc>
      </w:tr>
      <w:tr>
        <w:trPr>
          <w:trHeight w:val="240"/>
        </w:trPr>
        <w:tc>
          <w:tcPr>
            <w:tcW w:w="7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&amp; nbsp;  Short-term ARS borrowings</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9,100</w:t>
            </w:r>
          </w:p>
        </w:tc>
        <w:tc>
          <w:tcPr>
            <w:tcW w:w="0" w:type="dxa"/>
            <w:vAlign w:val="bottom"/>
          </w:tcPr>
          <w:p>
            <w:pPr>
              <w:spacing w:after="0"/>
              <w:rPr>
                <w:sz w:val="1"/>
                <w:szCs w:val="1"/>
                <w:color w:val="auto"/>
              </w:rPr>
            </w:pPr>
          </w:p>
        </w:tc>
      </w:tr>
      <w:tr>
        <w:trPr>
          <w:trHeight w:val="226"/>
        </w:trPr>
        <w:tc>
          <w:tcPr>
            <w:tcW w:w="7240" w:type="dxa"/>
            <w:vAlign w:val="bottom"/>
          </w:tcPr>
          <w:p>
            <w:pPr>
              <w:ind w:left="30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99</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5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40" w:type="dxa"/>
            <w:vAlign w:val="bottom"/>
          </w:tcPr>
          <w:p>
            <w:pPr>
              <w:ind w:left="28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0"/>
                <w:szCs w:val="20"/>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10,529</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10,204</w:t>
            </w:r>
          </w:p>
        </w:tc>
        <w:tc>
          <w:tcPr>
            <w:tcW w:w="0" w:type="dxa"/>
            <w:vAlign w:val="bottom"/>
          </w:tcPr>
          <w:p>
            <w:pPr>
              <w:spacing w:after="0"/>
              <w:rPr>
                <w:sz w:val="1"/>
                <w:szCs w:val="1"/>
                <w:color w:val="auto"/>
              </w:rPr>
            </w:pPr>
          </w:p>
        </w:tc>
      </w:tr>
      <w:tr>
        <w:trPr>
          <w:trHeight w:val="240"/>
        </w:trPr>
        <w:tc>
          <w:tcPr>
            <w:tcW w:w="7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warranties</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7,634</w:t>
            </w: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226"/>
        </w:trPr>
        <w:tc>
          <w:tcPr>
            <w:tcW w:w="7240" w:type="dxa"/>
            <w:vAlign w:val="bottom"/>
          </w:tcPr>
          <w:p>
            <w:pPr>
              <w:ind w:left="300"/>
              <w:spacing w:after="0"/>
              <w:rPr>
                <w:sz w:val="20"/>
                <w:szCs w:val="20"/>
                <w:color w:val="auto"/>
              </w:rPr>
            </w:pPr>
            <w:r>
              <w:rPr>
                <w:rFonts w:ascii="Arial" w:cs="Arial" w:eastAsia="Arial" w:hAnsi="Arial"/>
                <w:sz w:val="16"/>
                <w:szCs w:val="16"/>
                <w:color w:val="auto"/>
              </w:rPr>
              <w:t>Self-insurance</w:t>
            </w:r>
          </w:p>
        </w:tc>
        <w:tc>
          <w:tcPr>
            <w:tcW w:w="26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4,409</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5,356</w:t>
            </w:r>
          </w:p>
        </w:tc>
        <w:tc>
          <w:tcPr>
            <w:tcW w:w="0" w:type="dxa"/>
            <w:vAlign w:val="bottom"/>
          </w:tcPr>
          <w:p>
            <w:pPr>
              <w:spacing w:after="0"/>
              <w:rPr>
                <w:sz w:val="1"/>
                <w:szCs w:val="1"/>
                <w:color w:val="auto"/>
              </w:rPr>
            </w:pPr>
          </w:p>
        </w:tc>
      </w:tr>
      <w:tr>
        <w:trPr>
          <w:trHeight w:val="240"/>
        </w:trPr>
        <w:tc>
          <w:tcPr>
            <w:tcW w:w="7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1,362</w:t>
            </w: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26"/>
        </w:trPr>
        <w:tc>
          <w:tcPr>
            <w:tcW w:w="7240" w:type="dxa"/>
            <w:vAlign w:val="bottom"/>
          </w:tcPr>
          <w:p>
            <w:pPr>
              <w:ind w:left="300"/>
              <w:spacing w:after="0"/>
              <w:rPr>
                <w:sz w:val="20"/>
                <w:szCs w:val="20"/>
                <w:color w:val="auto"/>
              </w:rPr>
            </w:pPr>
            <w:r>
              <w:rPr>
                <w:rFonts w:ascii="Arial" w:cs="Arial" w:eastAsia="Arial" w:hAnsi="Arial"/>
                <w:sz w:val="16"/>
                <w:szCs w:val="16"/>
                <w:color w:val="auto"/>
              </w:rPr>
              <w:t>Promotional</w:t>
            </w:r>
          </w:p>
        </w:tc>
        <w:tc>
          <w:tcPr>
            <w:tcW w:w="26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1,817</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233"/>
        </w:trPr>
        <w:tc>
          <w:tcPr>
            <w:tcW w:w="7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4,797</w:t>
            </w:r>
          </w:p>
        </w:tc>
        <w:tc>
          <w:tcPr>
            <w:tcW w:w="5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4,748</w:t>
            </w: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50,372</w:t>
            </w: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49,954</w:t>
            </w:r>
          </w:p>
        </w:tc>
        <w:tc>
          <w:tcPr>
            <w:tcW w:w="0" w:type="dxa"/>
            <w:vAlign w:val="bottom"/>
          </w:tcPr>
          <w:p>
            <w:pPr>
              <w:spacing w:after="0"/>
              <w:rPr>
                <w:sz w:val="1"/>
                <w:szCs w:val="1"/>
                <w:color w:val="auto"/>
              </w:rPr>
            </w:pPr>
          </w:p>
        </w:tc>
      </w:tr>
      <w:tr>
        <w:trPr>
          <w:trHeight w:val="244"/>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liabilities: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240" w:type="dxa"/>
            <w:vAlign w:val="bottom"/>
          </w:tcPr>
          <w:p>
            <w:pPr>
              <w:ind w:left="300"/>
              <w:spacing w:after="0"/>
              <w:rPr>
                <w:sz w:val="20"/>
                <w:szCs w:val="20"/>
                <w:color w:val="auto"/>
              </w:rPr>
            </w:pPr>
            <w:r>
              <w:rPr>
                <w:rFonts w:ascii="Arial" w:cs="Arial" w:eastAsia="Arial" w:hAnsi="Arial"/>
                <w:sz w:val="16"/>
                <w:szCs w:val="16"/>
                <w:color w:val="auto"/>
              </w:rPr>
              <w:t>Unrecognized tax benefits</w:t>
            </w:r>
          </w:p>
        </w:tc>
        <w:tc>
          <w:tcPr>
            <w:tcW w:w="260" w:type="dxa"/>
            <w:vAlign w:val="bottom"/>
          </w:tcPr>
          <w:p>
            <w:pPr>
              <w:spacing w:after="0"/>
              <w:rPr>
                <w:sz w:val="20"/>
                <w:szCs w:val="20"/>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5,877</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9,012</w:t>
            </w:r>
          </w:p>
        </w:tc>
        <w:tc>
          <w:tcPr>
            <w:tcW w:w="0" w:type="dxa"/>
            <w:vAlign w:val="bottom"/>
          </w:tcPr>
          <w:p>
            <w:pPr>
              <w:spacing w:after="0"/>
              <w:rPr>
                <w:sz w:val="1"/>
                <w:szCs w:val="1"/>
                <w:color w:val="auto"/>
              </w:rPr>
            </w:pPr>
          </w:p>
        </w:tc>
      </w:tr>
      <w:tr>
        <w:trPr>
          <w:trHeight w:val="226"/>
        </w:trPr>
        <w:tc>
          <w:tcPr>
            <w:tcW w:w="7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Postretirement health care and deferred compensations benefits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73,581</w:t>
            </w:r>
          </w:p>
        </w:tc>
        <w:tc>
          <w:tcPr>
            <w:tcW w:w="5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69,169</w:t>
            </w: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79,458</w:t>
            </w: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78,181</w:t>
            </w:r>
          </w:p>
        </w:tc>
        <w:tc>
          <w:tcPr>
            <w:tcW w:w="0" w:type="dxa"/>
            <w:vAlign w:val="bottom"/>
          </w:tcPr>
          <w:p>
            <w:pPr>
              <w:spacing w:after="0"/>
              <w:rPr>
                <w:sz w:val="1"/>
                <w:szCs w:val="1"/>
                <w:color w:val="auto"/>
              </w:rPr>
            </w:pPr>
          </w:p>
        </w:tc>
      </w:tr>
      <w:tr>
        <w:trPr>
          <w:trHeight w:val="244"/>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liabilities and commitments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Capital stock common, par value $0.50; authorized</w:t>
            </w:r>
          </w:p>
        </w:tc>
        <w:tc>
          <w:tcPr>
            <w:tcW w:w="26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25,888</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25,888</w:t>
            </w:r>
          </w:p>
        </w:tc>
        <w:tc>
          <w:tcPr>
            <w:tcW w:w="0" w:type="dxa"/>
            <w:vAlign w:val="bottom"/>
          </w:tcPr>
          <w:p>
            <w:pPr>
              <w:spacing w:after="0"/>
              <w:rPr>
                <w:sz w:val="1"/>
                <w:szCs w:val="1"/>
                <w:color w:val="auto"/>
              </w:rPr>
            </w:pPr>
          </w:p>
        </w:tc>
      </w:tr>
      <w:tr>
        <w:trPr>
          <w:trHeight w:val="185"/>
        </w:trPr>
        <w:tc>
          <w:tcPr>
            <w:tcW w:w="72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60,000 shares, issued 51,776 shares</w:t>
            </w:r>
          </w:p>
        </w:tc>
        <w:tc>
          <w:tcPr>
            <w:tcW w:w="260" w:type="dxa"/>
            <w:vAlign w:val="bottom"/>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7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24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29,464</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29,726</w:t>
            </w:r>
          </w:p>
        </w:tc>
        <w:tc>
          <w:tcPr>
            <w:tcW w:w="0" w:type="dxa"/>
            <w:vAlign w:val="bottom"/>
          </w:tcPr>
          <w:p>
            <w:pPr>
              <w:spacing w:after="0"/>
              <w:rPr>
                <w:sz w:val="1"/>
                <w:szCs w:val="1"/>
                <w:color w:val="auto"/>
              </w:rPr>
            </w:pPr>
          </w:p>
        </w:tc>
      </w:tr>
      <w:tr>
        <w:trPr>
          <w:trHeight w:val="252"/>
        </w:trPr>
        <w:tc>
          <w:tcPr>
            <w:tcW w:w="7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420,675</w:t>
            </w: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410,428</w:t>
            </w:r>
          </w:p>
        </w:tc>
        <w:tc>
          <w:tcPr>
            <w:tcW w:w="0" w:type="dxa"/>
            <w:vAlign w:val="bottom"/>
          </w:tcPr>
          <w:p>
            <w:pPr>
              <w:spacing w:after="0"/>
              <w:rPr>
                <w:sz w:val="1"/>
                <w:szCs w:val="1"/>
                <w:color w:val="auto"/>
              </w:rPr>
            </w:pPr>
          </w:p>
        </w:tc>
      </w:tr>
      <w:tr>
        <w:trPr>
          <w:trHeight w:val="226"/>
        </w:trPr>
        <w:tc>
          <w:tcPr>
            <w:tcW w:w="7240" w:type="dxa"/>
            <w:vAlign w:val="bottom"/>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6"/>
                <w:szCs w:val="16"/>
                <w:color w:val="auto"/>
              </w:rPr>
              <w:t>1,242</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33"/>
        </w:trPr>
        <w:tc>
          <w:tcPr>
            <w:tcW w:w="7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Treasury stock, at cost (22,661 and 22,690 shares, respectively)</w:t>
            </w:r>
          </w:p>
        </w:tc>
        <w:tc>
          <w:tcPr>
            <w:tcW w:w="2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(379,742)</w:t>
            </w:r>
          </w:p>
        </w:tc>
        <w:tc>
          <w:tcPr>
            <w:tcW w:w="5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(380,251)</w:t>
            </w:r>
          </w:p>
        </w:tc>
        <w:tc>
          <w:tcPr>
            <w:tcW w:w="0" w:type="dxa"/>
            <w:vAlign w:val="bottom"/>
          </w:tcPr>
          <w:p>
            <w:pPr>
              <w:spacing w:after="0"/>
              <w:rPr>
                <w:sz w:val="1"/>
                <w:szCs w:val="1"/>
                <w:color w:val="auto"/>
              </w:rPr>
            </w:pPr>
          </w:p>
        </w:tc>
      </w:tr>
      <w:tr>
        <w:trPr>
          <w:trHeight w:val="232"/>
        </w:trPr>
        <w:tc>
          <w:tcPr>
            <w:tcW w:w="7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97,527</w:t>
            </w: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92,331</w:t>
            </w: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227,357</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220,466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22" w:hanging="122"/>
        <w:spacing w:after="0"/>
        <w:tabs>
          <w:tab w:leader="none" w:pos="122" w:val="left"/>
        </w:tabs>
        <w:numPr>
          <w:ilvl w:val="0"/>
          <w:numId w:val="26"/>
        </w:numPr>
        <w:rPr>
          <w:rFonts w:ascii="Arial" w:cs="Arial" w:eastAsia="Arial" w:hAnsi="Arial"/>
          <w:sz w:val="8"/>
          <w:szCs w:val="8"/>
          <w:color w:val="auto"/>
        </w:rPr>
      </w:pPr>
      <w:r>
        <w:rPr>
          <w:rFonts w:ascii="Arial" w:cs="Arial" w:eastAsia="Arial" w:hAnsi="Arial"/>
          <w:sz w:val="13"/>
          <w:szCs w:val="13"/>
          <w:color w:val="auto"/>
        </w:rPr>
        <w:t>See notes to financial statements.</w:t>
      </w:r>
    </w:p>
    <w:p>
      <w:pPr>
        <w:spacing w:after="0" w:line="105"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2"/>
          </w:cols>
          <w:pgMar w:left="238" w:top="105" w:right="239" w:bottom="1440" w:gutter="0" w:footer="0" w:header="0"/>
        </w:sectPr>
      </w:pPr>
    </w:p>
    <w:bookmarkStart w:id="30" w:name="page31"/>
    <w:bookmarkEnd w:id="30"/>
    <w:p>
      <w:pPr>
        <w:ind w:left="20"/>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Winnebago Industries, Inc.</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auto"/>
        </w:rPr>
        <w:t>Statements of Changes in Stockholders' Equity</w:t>
      </w:r>
      <w:r>
        <w:rPr>
          <w:rFonts w:ascii="Arial" w:cs="Arial" w:eastAsia="Arial" w:hAnsi="Arial"/>
          <w:sz w:val="13"/>
          <w:szCs w:val="13"/>
          <w:b w:val="1"/>
          <w:bCs w:val="1"/>
          <w:color w:val="auto"/>
        </w:rPr>
        <w:t>(1)</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7"/>
              </w:rPr>
              <w:t>Additional</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180"/>
              <w:spacing w:after="0" w:line="148" w:lineRule="exact"/>
              <w:rPr>
                <w:sz w:val="20"/>
                <w:szCs w:val="20"/>
                <w:color w:val="auto"/>
              </w:rPr>
            </w:pPr>
            <w:r>
              <w:rPr>
                <w:rFonts w:ascii="Arial" w:cs="Arial" w:eastAsia="Arial" w:hAnsi="Arial"/>
                <w:sz w:val="13"/>
                <w:szCs w:val="13"/>
                <w:b w:val="1"/>
                <w:bCs w:val="1"/>
                <w:color w:val="auto"/>
                <w:w w:val="97"/>
              </w:rPr>
              <w:t>Other</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960" w:type="dxa"/>
            <w:vAlign w:val="bottom"/>
            <w:gridSpan w:val="4"/>
          </w:tcPr>
          <w:p>
            <w:pPr>
              <w:ind w:left="480"/>
              <w:spacing w:after="0" w:line="148" w:lineRule="exact"/>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2"/>
                <w:szCs w:val="12"/>
                <w:color w:val="auto"/>
              </w:rPr>
            </w:pP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6"/>
              </w:rPr>
              <w:t>Paid-In</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180"/>
              <w:spacing w:after="0" w:line="148" w:lineRule="exact"/>
              <w:rPr>
                <w:sz w:val="20"/>
                <w:szCs w:val="20"/>
                <w:color w:val="auto"/>
              </w:rPr>
            </w:pPr>
            <w:r>
              <w:rPr>
                <w:rFonts w:ascii="Arial" w:cs="Arial" w:eastAsia="Arial" w:hAnsi="Arial"/>
                <w:sz w:val="13"/>
                <w:szCs w:val="13"/>
                <w:b w:val="1"/>
                <w:bCs w:val="1"/>
                <w:color w:val="auto"/>
              </w:rPr>
              <w:t>Compre-</w:t>
            </w:r>
          </w:p>
        </w:tc>
        <w:tc>
          <w:tcPr>
            <w:tcW w:w="480" w:type="dxa"/>
            <w:vAlign w:val="bottom"/>
          </w:tcPr>
          <w:p>
            <w:pPr>
              <w:spacing w:after="0"/>
              <w:rPr>
                <w:sz w:val="12"/>
                <w:szCs w:val="12"/>
                <w:color w:val="auto"/>
              </w:rPr>
            </w:pPr>
          </w:p>
        </w:tc>
        <w:tc>
          <w:tcPr>
            <w:tcW w:w="1460" w:type="dxa"/>
            <w:vAlign w:val="bottom"/>
            <w:gridSpan w:val="5"/>
          </w:tcPr>
          <w:p>
            <w:pPr>
              <w:jc w:val="right"/>
              <w:ind w:right="500"/>
              <w:spacing w:after="0" w:line="148" w:lineRule="exact"/>
              <w:rPr>
                <w:sz w:val="20"/>
                <w:szCs w:val="20"/>
                <w:color w:val="auto"/>
              </w:rPr>
            </w:pPr>
            <w:r>
              <w:rPr>
                <w:rFonts w:ascii="Arial" w:cs="Arial" w:eastAsia="Arial" w:hAnsi="Arial"/>
                <w:sz w:val="13"/>
                <w:szCs w:val="13"/>
                <w:b w:val="1"/>
                <w:bCs w:val="1"/>
                <w:color w:val="auto"/>
              </w:rPr>
              <w:t>Treasury Stock</w:t>
            </w:r>
          </w:p>
        </w:tc>
        <w:tc>
          <w:tcPr>
            <w:tcW w:w="300" w:type="dxa"/>
            <w:vAlign w:val="bottom"/>
          </w:tcPr>
          <w:p>
            <w:pPr>
              <w:spacing w:after="0"/>
              <w:rPr>
                <w:sz w:val="12"/>
                <w:szCs w:val="12"/>
                <w:color w:val="auto"/>
              </w:rPr>
            </w:pPr>
          </w:p>
        </w:tc>
        <w:tc>
          <w:tcPr>
            <w:tcW w:w="6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8"/>
        </w:trPr>
        <w:tc>
          <w:tcPr>
            <w:tcW w:w="30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restart"/>
          </w:tcPr>
          <w:p>
            <w:pPr>
              <w:jc w:val="center"/>
              <w:ind w:right="140"/>
              <w:spacing w:after="0" w:line="148" w:lineRule="exact"/>
              <w:rPr>
                <w:sz w:val="20"/>
                <w:szCs w:val="20"/>
                <w:color w:val="auto"/>
              </w:rPr>
            </w:pPr>
            <w:r>
              <w:rPr>
                <w:rFonts w:ascii="Arial" w:cs="Arial" w:eastAsia="Arial" w:hAnsi="Arial"/>
                <w:sz w:val="13"/>
                <w:szCs w:val="13"/>
                <w:b w:val="1"/>
                <w:bCs w:val="1"/>
                <w:color w:val="auto"/>
                <w:w w:val="96"/>
              </w:rPr>
              <w:t>Capital</w:t>
            </w: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gridSpan w:val="2"/>
            <w:vMerge w:val="restart"/>
          </w:tcPr>
          <w:p>
            <w:pPr>
              <w:jc w:val="center"/>
              <w:ind w:right="95"/>
              <w:spacing w:after="0" w:line="148" w:lineRule="exact"/>
              <w:rPr>
                <w:sz w:val="20"/>
                <w:szCs w:val="20"/>
                <w:color w:val="auto"/>
              </w:rPr>
            </w:pPr>
            <w:r>
              <w:rPr>
                <w:rFonts w:ascii="Arial" w:cs="Arial" w:eastAsia="Arial" w:hAnsi="Arial"/>
                <w:sz w:val="13"/>
                <w:szCs w:val="13"/>
                <w:b w:val="1"/>
                <w:bCs w:val="1"/>
                <w:color w:val="auto"/>
              </w:rPr>
              <w:t>hensive</w:t>
            </w: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gridSpan w:val="3"/>
            <w:vMerge w:val="restart"/>
          </w:tcPr>
          <w:p>
            <w:pPr>
              <w:jc w:val="center"/>
              <w:spacing w:after="0" w:line="148" w:lineRule="exact"/>
              <w:rPr>
                <w:sz w:val="20"/>
                <w:szCs w:val="20"/>
                <w:color w:val="auto"/>
              </w:rPr>
            </w:pPr>
            <w:r>
              <w:rPr>
                <w:rFonts w:ascii="Arial" w:cs="Arial" w:eastAsia="Arial" w:hAnsi="Arial"/>
                <w:sz w:val="13"/>
                <w:szCs w:val="13"/>
                <w:b w:val="1"/>
                <w:bCs w:val="1"/>
                <w:color w:val="auto"/>
              </w:rPr>
              <w:t>Stock- holders'</w:t>
            </w:r>
          </w:p>
        </w:tc>
        <w:tc>
          <w:tcPr>
            <w:tcW w:w="0" w:type="dxa"/>
            <w:vAlign w:val="bottom"/>
          </w:tcPr>
          <w:p>
            <w:pPr>
              <w:spacing w:after="0"/>
              <w:rPr>
                <w:sz w:val="1"/>
                <w:szCs w:val="1"/>
                <w:color w:val="auto"/>
              </w:rPr>
            </w:pPr>
          </w:p>
        </w:tc>
      </w:tr>
      <w:tr>
        <w:trPr>
          <w:trHeight w:val="79"/>
        </w:trPr>
        <w:tc>
          <w:tcPr>
            <w:tcW w:w="3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rPr>
              <w:t>(APIC)</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Retained Earnings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rPr>
              <w:t>Income</w:t>
            </w:r>
          </w:p>
        </w:tc>
        <w:tc>
          <w:tcPr>
            <w:tcW w:w="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Number</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August 25, 2007</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51,776</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25,888</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28,646</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509,056</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11,090</w:t>
            </w: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(22,223)</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(366,326)</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208,354</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(159)</w:t>
            </w:r>
          </w:p>
        </w:tc>
        <w:tc>
          <w:tcPr>
            <w:tcW w:w="62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59</w:t>
            </w:r>
          </w:p>
        </w:tc>
        <w:tc>
          <w:tcPr>
            <w:tcW w:w="3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992</w:t>
            </w:r>
          </w:p>
        </w:tc>
        <w:tc>
          <w:tcPr>
            <w:tcW w:w="3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stock to directors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383</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3"/>
                <w:szCs w:val="13"/>
                <w:color w:val="auto"/>
              </w:rPr>
              <w:t>Utilization of APIC pool due to stock award</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(268)</w:t>
            </w:r>
          </w:p>
        </w:tc>
        <w:tc>
          <w:tcPr>
            <w:tcW w:w="62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 net of forfeitures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(2,119)</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128</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2,119</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&amp;n</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bsp;</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3,472</w:t>
            </w:r>
          </w:p>
        </w:tc>
        <w:tc>
          <w:tcPr>
            <w:tcW w:w="6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3,472</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the purchase of common stock</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(693)</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(17,771)</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(17,771)</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Arial" w:cs="Arial" w:eastAsia="Arial" w:hAnsi="Arial"/>
                <w:sz w:val="13"/>
                <w:szCs w:val="13"/>
                <w:color w:val="auto"/>
              </w:rPr>
              <w:t>Cash dividends paid and accrued on common</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Arial" w:cs="Arial" w:eastAsia="Arial" w:hAnsi="Arial"/>
                <w:sz w:val="13"/>
                <w:szCs w:val="13"/>
                <w:color w:val="auto"/>
              </w:rPr>
              <w:t>stock - $0.48 per share</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ind w:left="20"/>
              <w:spacing w:after="0"/>
              <w:rPr>
                <w:sz w:val="20"/>
                <w:szCs w:val="20"/>
                <w:color w:val="auto"/>
              </w:rPr>
            </w:pPr>
            <w:r>
              <w:rPr>
                <w:rFonts w:ascii="Arial" w:cs="Arial" w:eastAsia="Arial" w:hAnsi="Arial"/>
                <w:sz w:val="13"/>
                <w:szCs w:val="13"/>
                <w:color w:val="auto"/>
              </w:rPr>
              <w:t>(13,940)</w:t>
            </w:r>
          </w:p>
        </w:tc>
        <w:tc>
          <w:tcPr>
            <w:tcW w:w="68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3"/>
                <w:szCs w:val="13"/>
                <w:color w:val="auto"/>
                <w:w w:val="91"/>
              </w:rPr>
              <w: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(13,940)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initially apply new accounting</w:t>
            </w: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standards, net of $1,111 tax</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(8,706)</w:t>
            </w:r>
          </w:p>
        </w:tc>
        <w:tc>
          <w:tcPr>
            <w:tcW w:w="20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(8,706)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Arial" w:cs="Arial" w:eastAsia="Arial" w:hAnsi="Arial"/>
                <w:sz w:val="13"/>
                <w:szCs w:val="13"/>
                <w:color w:val="auto"/>
              </w:rPr>
              <w:t>Prior service cost and actuarial loss, net of $180</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Arial" w:cs="Arial" w:eastAsia="Arial" w:hAnsi="Arial"/>
                <w:sz w:val="13"/>
                <w:szCs w:val="13"/>
                <w:color w:val="auto"/>
              </w:rPr>
              <w:t>tax</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3"/>
                <w:szCs w:val="13"/>
                <w:color w:val="auto"/>
              </w:rPr>
              <w:t>(53)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8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depreciation of investments, net of</w:t>
            </w:r>
          </w:p>
        </w:tc>
        <w:tc>
          <w:tcPr>
            <w:tcW w:w="9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$738 tax</w:t>
            </w:r>
          </w:p>
        </w:tc>
        <w:tc>
          <w:tcPr>
            <w:tcW w:w="9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(1,224)</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(1,224)</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2,784</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2,784</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Balance, August 30, 2008 </w:t>
            </w:r>
            <w:r>
              <w:rPr>
                <w:rFonts w:ascii="Arial" w:cs="Arial" w:eastAsia="Arial" w:hAnsi="Arial"/>
                <w:sz w:val="16"/>
                <w:szCs w:val="16"/>
                <w:color w:val="auto"/>
                <w:vertAlign w:val="superscript"/>
              </w:rPr>
              <w:t>(2)</w:t>
            </w:r>
          </w:p>
        </w:tc>
        <w:tc>
          <w:tcPr>
            <w:tcW w:w="600" w:type="dxa"/>
            <w:vAlign w:val="bottom"/>
          </w:tcPr>
          <w:p>
            <w:pPr>
              <w:jc w:val="right"/>
              <w:spacing w:after="0"/>
              <w:rPr>
                <w:sz w:val="20"/>
                <w:szCs w:val="20"/>
                <w:color w:val="auto"/>
              </w:rPr>
            </w:pPr>
            <w:r>
              <w:rPr>
                <w:rFonts w:ascii="Arial" w:cs="Arial" w:eastAsia="Arial" w:hAnsi="Arial"/>
                <w:sz w:val="13"/>
                <w:szCs w:val="13"/>
                <w:color w:val="auto"/>
              </w:rPr>
              <w:t>51,776</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25,888</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29,632</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489,194</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9,813</w:t>
            </w: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(22,706)</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(380,603)</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173,924</w:t>
            </w:r>
          </w:p>
        </w:tc>
        <w:tc>
          <w:tcPr>
            <w:tcW w:w="0" w:type="dxa"/>
            <w:vAlign w:val="bottom"/>
          </w:tcPr>
          <w:p>
            <w:pPr>
              <w:spacing w:after="0"/>
              <w:rPr>
                <w:sz w:val="1"/>
                <w:szCs w:val="1"/>
                <w:color w:val="auto"/>
              </w:rPr>
            </w:pPr>
          </w:p>
        </w:tc>
      </w:tr>
      <w:tr>
        <w:trPr>
          <w:trHeight w:val="191"/>
        </w:trPr>
        <w:tc>
          <w:tcPr>
            <w:tcW w:w="3000" w:type="dxa"/>
            <w:vAlign w:val="bottom"/>
          </w:tcPr>
          <w:p>
            <w:pPr>
              <w:spacing w:after="0"/>
              <w:rPr>
                <w:sz w:val="20"/>
                <w:szCs w:val="20"/>
                <w:color w:val="auto"/>
              </w:rPr>
            </w:pPr>
            <w:r>
              <w:rPr>
                <w:rFonts w:ascii="Arial" w:cs="Arial" w:eastAsia="Arial" w:hAnsi="Arial"/>
                <w:sz w:val="13"/>
                <w:szCs w:val="13"/>
                <w:color w:val="auto"/>
              </w:rPr>
              <w:t>Stock option exercises</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w w:val="86"/>
              </w:rPr>
              <w:t>(7</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17</w:t>
            </w:r>
          </w:p>
        </w:tc>
        <w:tc>
          <w:tcPr>
            <w:tcW w:w="3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Utilization of APIC pool due to stock award</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(411)</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3"/>
                <w:szCs w:val="13"/>
                <w:color w:val="auto"/>
              </w:rPr>
              <w:t>Issuance of stock to directors</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(312)</w:t>
            </w:r>
          </w:p>
        </w:tc>
        <w:tc>
          <w:tcPr>
            <w:tcW w:w="62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3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518</w:t>
            </w:r>
          </w:p>
        </w:tc>
        <w:tc>
          <w:tcPr>
            <w:tcW w:w="3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251"/>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w:t>
            </w: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804</w:t>
            </w:r>
          </w:p>
        </w:tc>
        <w:tc>
          <w:tcPr>
            <w:tcW w:w="62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the purchase of common stock</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(163)</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Arial" w:cs="Arial" w:eastAsia="Arial" w:hAnsi="Arial"/>
                <w:sz w:val="13"/>
                <w:szCs w:val="13"/>
                <w:color w:val="auto"/>
              </w:rPr>
              <w:t>Prior service cost and actuarial loss, net of $2,263</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Arial" w:cs="Arial" w:eastAsia="Arial" w:hAnsi="Arial"/>
                <w:sz w:val="13"/>
                <w:szCs w:val="13"/>
                <w:color w:val="auto"/>
              </w:rPr>
              <w:t>tax</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3"/>
                <w:szCs w:val="13"/>
                <w:color w:val="auto"/>
              </w:rPr>
              <w:t>(4,243)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(4,243)</w:t>
            </w:r>
          </w:p>
        </w:tc>
        <w:tc>
          <w:tcPr>
            <w:tcW w:w="0" w:type="dxa"/>
            <w:vAlign w:val="bottom"/>
          </w:tcPr>
          <w:p>
            <w:pPr>
              <w:spacing w:after="0"/>
              <w:rPr>
                <w:sz w:val="1"/>
                <w:szCs w:val="1"/>
                <w:color w:val="auto"/>
              </w:rPr>
            </w:pPr>
          </w:p>
        </w:tc>
      </w:tr>
      <w:tr>
        <w:trPr>
          <w:trHeight w:val="18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appreciation of investments, net of</w:t>
            </w:r>
          </w:p>
        </w:tc>
        <w:tc>
          <w:tcPr>
            <w:tcW w:w="60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$586 tax</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970</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970</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(78,766)</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w w:val="91"/>
              </w:rPr>
              <w:t>—</w:t>
            </w: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(78,766)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0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 xml:space="preserve">Balance, August 29, 2009 </w:t>
            </w:r>
            <w:r>
              <w:rPr>
                <w:rFonts w:ascii="Arial" w:cs="Arial" w:eastAsia="Arial" w:hAnsi="Arial"/>
                <w:sz w:val="16"/>
                <w:szCs w:val="16"/>
                <w:color w:val="auto"/>
                <w:vertAlign w:val="superscript"/>
              </w:rPr>
              <w:t>(2)</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3"/>
                <w:szCs w:val="13"/>
                <w:color w:val="auto"/>
              </w:rPr>
              <w:t>51,776</w:t>
            </w:r>
          </w:p>
        </w:tc>
        <w:tc>
          <w:tcPr>
            <w:tcW w:w="180" w:type="dxa"/>
            <w:vAlign w:val="bottom"/>
            <w:shd w:val="clear" w:color="auto" w:fill="CCEEFF"/>
          </w:tcPr>
          <w:p>
            <w:pPr>
              <w:jc w:val="right"/>
              <w:ind w:right="15"/>
              <w:spacing w:after="0" w:line="14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4"/>
              <w:spacing w:after="0" w:line="145" w:lineRule="exact"/>
              <w:rPr>
                <w:sz w:val="20"/>
                <w:szCs w:val="20"/>
                <w:color w:val="auto"/>
              </w:rPr>
            </w:pPr>
            <w:r>
              <w:rPr>
                <w:rFonts w:ascii="Arial" w:cs="Arial" w:eastAsia="Arial" w:hAnsi="Arial"/>
                <w:sz w:val="13"/>
                <w:szCs w:val="13"/>
                <w:color w:val="auto"/>
              </w:rPr>
              <w:t>25,888</w:t>
            </w:r>
          </w:p>
        </w:tc>
        <w:tc>
          <w:tcPr>
            <w:tcW w:w="16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29,726</w:t>
            </w:r>
          </w:p>
        </w:tc>
        <w:tc>
          <w:tcPr>
            <w:tcW w:w="62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5"/>
              <w:spacing w:after="0" w:line="145" w:lineRule="exact"/>
              <w:rPr>
                <w:sz w:val="20"/>
                <w:szCs w:val="20"/>
                <w:color w:val="auto"/>
              </w:rPr>
            </w:pPr>
            <w:r>
              <w:rPr>
                <w:rFonts w:ascii="Arial" w:cs="Arial" w:eastAsia="Arial" w:hAnsi="Arial"/>
                <w:sz w:val="13"/>
                <w:szCs w:val="13"/>
                <w:color w:val="auto"/>
              </w:rPr>
              <w:t>410,428</w:t>
            </w:r>
          </w:p>
        </w:tc>
        <w:tc>
          <w:tcPr>
            <w:tcW w:w="2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95"/>
              <w:spacing w:after="0" w:line="145" w:lineRule="exact"/>
              <w:rPr>
                <w:sz w:val="20"/>
                <w:szCs w:val="20"/>
                <w:color w:val="auto"/>
              </w:rPr>
            </w:pPr>
            <w:r>
              <w:rPr>
                <w:rFonts w:ascii="Arial" w:cs="Arial" w:eastAsia="Arial" w:hAnsi="Arial"/>
                <w:sz w:val="13"/>
                <w:szCs w:val="13"/>
                <w:color w:val="auto"/>
              </w:rPr>
              <w:t>6,540</w:t>
            </w: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(22,690)</w:t>
            </w:r>
          </w:p>
        </w:tc>
        <w:tc>
          <w:tcPr>
            <w:tcW w:w="30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92,331</w:t>
            </w:r>
          </w:p>
        </w:tc>
        <w:tc>
          <w:tcPr>
            <w:tcW w:w="0" w:type="dxa"/>
            <w:vAlign w:val="bottom"/>
          </w:tcPr>
          <w:p>
            <w:pPr>
              <w:spacing w:after="0"/>
              <w:rPr>
                <w:sz w:val="1"/>
                <w:szCs w:val="1"/>
                <w:color w:val="auto"/>
              </w:rPr>
            </w:pPr>
          </w:p>
        </w:tc>
      </w:tr>
      <w:tr>
        <w:trPr>
          <w:trHeight w:val="49"/>
        </w:trPr>
        <w:tc>
          <w:tcPr>
            <w:tcW w:w="30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40" w:type="dxa"/>
            <w:vAlign w:val="bottom"/>
            <w:gridSpan w:val="2"/>
            <w:shd w:val="clear" w:color="auto" w:fill="CCEEFF"/>
          </w:tcPr>
          <w:p>
            <w:pPr>
              <w:jc w:val="right"/>
              <w:ind w:right="240"/>
              <w:spacing w:after="0" w:line="49" w:lineRule="exact"/>
              <w:rPr>
                <w:sz w:val="20"/>
                <w:szCs w:val="20"/>
                <w:color w:val="auto"/>
              </w:rPr>
            </w:pPr>
            <w:r>
              <w:rPr>
                <w:rFonts w:ascii="Arial" w:cs="Arial" w:eastAsia="Arial" w:hAnsi="Arial"/>
                <w:sz w:val="5"/>
                <w:szCs w:val="5"/>
                <w:color w:val="auto"/>
              </w:rPr>
              <w:t>(380,251</w:t>
            </w:r>
          </w:p>
        </w:tc>
        <w:tc>
          <w:tcPr>
            <w:tcW w:w="3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(171)</w:t>
            </w:r>
          </w:p>
        </w:tc>
        <w:tc>
          <w:tcPr>
            <w:tcW w:w="62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3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511</w:t>
            </w:r>
          </w:p>
        </w:tc>
        <w:tc>
          <w:tcPr>
            <w:tcW w:w="3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Utilization of APIC pool due to stock award</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(327)</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3"/>
                <w:szCs w:val="13"/>
                <w:color w:val="auto"/>
              </w:rPr>
              <w:t>Issuance of stock to directors</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(75)</w:t>
            </w:r>
          </w:p>
        </w:tc>
        <w:tc>
          <w:tcPr>
            <w:tcW w:w="62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300" w:type="dxa"/>
            <w:vAlign w:val="bottom"/>
          </w:tcPr>
          <w:p>
            <w:pPr>
              <w:ind w:left="40"/>
              <w:spacing w:after="0"/>
              <w:rPr>
                <w:sz w:val="20"/>
                <w:szCs w:val="20"/>
                <w:color w:val="auto"/>
              </w:rPr>
            </w:pPr>
            <w:r>
              <w:rPr>
                <w:rFonts w:ascii="Arial" w:cs="Arial" w:eastAsia="Arial" w:hAnsi="Arial"/>
                <w:sz w:val="13"/>
                <w:szCs w:val="13"/>
                <w:color w:val="auto"/>
              </w:rPr>
              <w:t>251</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176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2"/>
                <w:szCs w:val="12"/>
                <w:color w:val="auto"/>
              </w:rPr>
              <w:t>(58</w:t>
            </w:r>
            <w:r>
              <w:rPr>
                <w:rFonts w:ascii="Arial" w:cs="Arial" w:eastAsia="Arial" w:hAnsi="Arial"/>
                <w:sz w:val="23"/>
                <w:szCs w:val="23"/>
                <w:color w:val="auto"/>
                <w:vertAlign w:val="subscript"/>
              </w:rPr>
              <w:t>)</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( 61)</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369</w:t>
            </w:r>
          </w:p>
        </w:tc>
        <w:tc>
          <w:tcPr>
            <w:tcW w:w="62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the purchase of common stock</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(250)</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Arial" w:cs="Arial" w:eastAsia="Arial" w:hAnsi="Arial"/>
                <w:sz w:val="13"/>
                <w:szCs w:val="13"/>
                <w:color w:val="auto"/>
              </w:rPr>
              <w:t>Prior service cost and actuarial loss, net of $1,260</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00" w:type="dxa"/>
            <w:vAlign w:val="bottom"/>
          </w:tcPr>
          <w:p>
            <w:pPr>
              <w:ind w:left="20"/>
              <w:spacing w:after="0"/>
              <w:rPr>
                <w:sz w:val="20"/>
                <w:szCs w:val="20"/>
                <w:color w:val="auto"/>
              </w:rPr>
            </w:pPr>
            <w:r>
              <w:rPr>
                <w:rFonts w:ascii="Arial" w:cs="Arial" w:eastAsia="Arial" w:hAnsi="Arial"/>
                <w:sz w:val="13"/>
                <w:szCs w:val="13"/>
                <w:color w:val="auto"/>
              </w:rPr>
              <w:t>tax</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3"/>
                <w:szCs w:val="13"/>
                <w:color w:val="auto"/>
              </w:rPr>
              <w:t>(5,511)</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(5,511)</w:t>
            </w:r>
          </w:p>
        </w:tc>
        <w:tc>
          <w:tcPr>
            <w:tcW w:w="0" w:type="dxa"/>
            <w:vAlign w:val="bottom"/>
          </w:tcPr>
          <w:p>
            <w:pPr>
              <w:spacing w:after="0"/>
              <w:rPr>
                <w:sz w:val="1"/>
                <w:szCs w:val="1"/>
                <w:color w:val="auto"/>
              </w:rPr>
            </w:pPr>
          </w:p>
        </w:tc>
      </w:tr>
      <w:tr>
        <w:trPr>
          <w:trHeight w:val="187"/>
        </w:trPr>
        <w:tc>
          <w:tcPr>
            <w:tcW w:w="3000" w:type="dxa"/>
            <w:vAlign w:val="bottom"/>
          </w:tcPr>
          <w:p>
            <w:pPr>
              <w:ind w:left="20"/>
              <w:spacing w:after="0"/>
              <w:rPr>
                <w:sz w:val="20"/>
                <w:szCs w:val="20"/>
                <w:color w:val="auto"/>
              </w:rPr>
            </w:pPr>
            <w:r>
              <w:rPr>
                <w:rFonts w:ascii="Arial" w:cs="Arial" w:eastAsia="Arial" w:hAnsi="Arial"/>
                <w:sz w:val="13"/>
                <w:szCs w:val="13"/>
                <w:color w:val="auto"/>
              </w:rPr>
              <w:t>Unrealized appreciation of investments, net of</w:t>
            </w: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Arial" w:cs="Arial" w:eastAsia="Arial" w:hAnsi="Arial"/>
                <w:sz w:val="13"/>
                <w:szCs w:val="13"/>
                <w:color w:val="auto"/>
              </w:rPr>
              <w:t>$128 tax</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213</w:t>
            </w:r>
          </w:p>
        </w:tc>
        <w:tc>
          <w:tcPr>
            <w:tcW w:w="5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&lt;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color w:val="auto"/>
                <w:w w:val="97"/>
              </w:rPr>
              <w:t>—</w:t>
            </w:r>
            <w:r>
              <w:rPr>
                <w:rFonts w:ascii="Arial" w:cs="Arial" w:eastAsia="Arial" w:hAnsi="Arial"/>
                <w:sz w:val="16"/>
                <w:szCs w:val="16"/>
                <w:color w:val="auto"/>
                <w:w w:val="97"/>
              </w:rPr>
              <w:t>/div&gt;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10,247</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10,247</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div style="font-family:Arial;font-</w:t>
            </w: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size:8pt;"&gt;</w:t>
            </w:r>
            <w:r>
              <w:rPr>
                <w:rFonts w:ascii="Arial" w:cs="Arial" w:eastAsia="Arial" w:hAnsi="Arial"/>
                <w:sz w:val="13"/>
                <w:szCs w:val="13"/>
                <w:color w:val="auto"/>
              </w:rPr>
              <w:t>Balance, August 28, 2010</w:t>
            </w:r>
            <w:r>
              <w:rPr>
                <w:rFonts w:ascii="Arial" w:cs="Arial" w:eastAsia="Arial" w:hAnsi="Arial"/>
                <w:sz w:val="16"/>
                <w:szCs w:val="16"/>
                <w:color w:val="auto"/>
                <w:vertAlign w:val="superscript"/>
              </w:rPr>
              <w:t>(2)</w:t>
            </w:r>
          </w:p>
        </w:tc>
        <w:tc>
          <w:tcPr>
            <w:tcW w:w="9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51,776</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rPr>
              <w:t>25,888</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29,464</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420,675</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1,242</w:t>
            </w: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9"/>
              </w:rPr>
              <w:t>(22,661</w:t>
            </w:r>
          </w:p>
        </w:tc>
        <w:tc>
          <w:tcPr>
            <w:tcW w:w="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(379,742)</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97,527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60" w:hanging="242"/>
        <w:spacing w:after="0"/>
        <w:tabs>
          <w:tab w:leader="none" w:pos="260" w:val="left"/>
        </w:tabs>
        <w:numPr>
          <w:ilvl w:val="0"/>
          <w:numId w:val="27"/>
        </w:numPr>
        <w:rPr>
          <w:rFonts w:ascii="Arial" w:cs="Arial" w:eastAsia="Arial" w:hAnsi="Arial"/>
          <w:sz w:val="8"/>
          <w:szCs w:val="8"/>
          <w:color w:val="auto"/>
        </w:rPr>
      </w:pPr>
      <w:r>
        <w:rPr>
          <w:rFonts w:ascii="Arial" w:cs="Arial" w:eastAsia="Arial" w:hAnsi="Arial"/>
          <w:sz w:val="13"/>
          <w:szCs w:val="13"/>
          <w:color w:val="auto"/>
        </w:rPr>
        <w:t>See notes to financial statements.</w:t>
      </w:r>
    </w:p>
    <w:p>
      <w:pPr>
        <w:ind w:left="260" w:hanging="242"/>
        <w:spacing w:after="0"/>
        <w:tabs>
          <w:tab w:leader="none" w:pos="260" w:val="left"/>
        </w:tabs>
        <w:numPr>
          <w:ilvl w:val="0"/>
          <w:numId w:val="27"/>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40"/>
          </w:cols>
          <w:pgMar w:left="220" w:top="105" w:right="239" w:bottom="1440" w:gutter="0" w:footer="0" w:header="0"/>
        </w:sectPr>
      </w:pPr>
    </w:p>
    <w:bookmarkStart w:id="31" w:name="page32"/>
    <w:bookmarkEnd w:id="31"/>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05"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auto"/>
        </w:rPr>
        <w:t>Winnebago Industries, Inc.</w:t>
      </w:r>
    </w:p>
    <w:p>
      <w:pPr>
        <w:spacing w:after="0" w:line="33"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auto"/>
        </w:rPr>
        <w:t>Statements of Cash Flows</w:t>
      </w:r>
      <w:r>
        <w:rPr>
          <w:rFonts w:ascii="Arial" w:cs="Arial" w:eastAsia="Arial" w:hAnsi="Arial"/>
          <w:sz w:val="13"/>
          <w:szCs w:val="13"/>
          <w:b w:val="1"/>
          <w:bCs w:val="1"/>
          <w:color w:val="auto"/>
        </w:rPr>
        <w:t>(1)</w: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229"/>
        </w:trPr>
        <w:tc>
          <w:tcPr>
            <w:tcW w:w="7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w w:val="98"/>
              </w:rPr>
              <w:t xml:space="preserve">Year Ended </w:t>
            </w:r>
            <w:r>
              <w:rPr>
                <w:rFonts w:ascii="Arial" w:cs="Arial" w:eastAsia="Arial" w:hAnsi="Arial"/>
                <w:sz w:val="19"/>
                <w:szCs w:val="19"/>
                <w:b w:val="1"/>
                <w:bCs w:val="1"/>
                <w:color w:val="auto"/>
                <w:w w:val="98"/>
                <w:vertAlign w:val="superscript"/>
              </w:rPr>
              <w:t>(2)</w:t>
            </w: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A ugust 28,</w:t>
            </w:r>
          </w:p>
        </w:tc>
        <w:tc>
          <w:tcPr>
            <w:tcW w:w="28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Arial" w:cs="Arial" w:eastAsia="Arial" w:hAnsi="Arial"/>
                <w:sz w:val="16"/>
                <w:szCs w:val="16"/>
                <w:b w:val="1"/>
                <w:bCs w:val="1"/>
                <w:color w:val="auto"/>
              </w:rPr>
              <w:t>August 29,</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2009</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August 30, 2008</w:t>
            </w:r>
          </w:p>
        </w:tc>
        <w:tc>
          <w:tcPr>
            <w:tcW w:w="0" w:type="dxa"/>
            <w:vAlign w:val="bottom"/>
          </w:tcPr>
          <w:p>
            <w:pPr>
              <w:spacing w:after="0"/>
              <w:rPr>
                <w:sz w:val="1"/>
                <w:szCs w:val="1"/>
                <w:color w:val="auto"/>
              </w:rPr>
            </w:pPr>
          </w:p>
        </w:tc>
      </w:tr>
      <w:tr>
        <w:trPr>
          <w:trHeight w:val="244"/>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10,247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(78,766)</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52"/>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6,340</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7,834</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9,907</w:t>
            </w: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impairment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855</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4,686</w:t>
            </w: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546</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1,010</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 including valuation allowance</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37,440</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3,490</w:t>
            </w:r>
          </w:p>
        </w:tc>
        <w:tc>
          <w:tcPr>
            <w:tcW w:w="0" w:type="dxa"/>
            <w:vAlign w:val="bottom"/>
          </w:tcPr>
          <w:p>
            <w:pPr>
              <w:spacing w:after="0"/>
              <w:rPr>
                <w:sz w:val="1"/>
                <w:szCs w:val="1"/>
                <w:color w:val="auto"/>
              </w:rPr>
            </w:pPr>
          </w:p>
        </w:tc>
      </w:tr>
      <w:tr>
        <w:trPr>
          <w:trHeight w:val="233"/>
        </w:trPr>
        <w:tc>
          <w:tcPr>
            <w:tcW w:w="7180" w:type="dxa"/>
            <w:vAlign w:val="bottom"/>
          </w:tcPr>
          <w:p>
            <w:pPr>
              <w:ind w:left="140"/>
              <w:spacing w:after="0"/>
              <w:rPr>
                <w:sz w:val="20"/>
                <w:szCs w:val="20"/>
                <w:color w:val="auto"/>
              </w:rPr>
            </w:pPr>
            <w:r>
              <w:rPr>
                <w:rFonts w:ascii="Arial" w:cs="Arial" w:eastAsia="Arial" w:hAnsi="Arial"/>
                <w:sz w:val="16"/>
                <w:szCs w:val="16"/>
                <w:color w:val="auto"/>
              </w:rPr>
              <w:t>Postretirement benefit income and deferred compensation expense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1,275</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1,252</w:t>
            </w:r>
          </w:p>
        </w:tc>
        <w:tc>
          <w:tcPr>
            <w:tcW w:w="2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3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(Reduction) provision for doubtful accounts</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Loss on disposal of property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Excess tax benefit from stock-based compensation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cash surrender value of life insurance policies</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(1,090)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(858)</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Arial" w:cs="Arial" w:eastAsia="Arial" w:hAnsi="Arial"/>
                <w:sz w:val="16"/>
                <w:szCs w:val="16"/>
                <w:color w:val="auto"/>
              </w:rPr>
              <w:t>Change in assets and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63,746</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(9,388)</w:t>
            </w: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Receivables and prepaid assets</w:t>
            </w:r>
          </w:p>
        </w:tc>
        <w:tc>
          <w:tcPr>
            <w:tcW w:w="120" w:type="dxa"/>
            <w:vAlign w:val="bottom"/>
          </w:tcPr>
          <w:p>
            <w:pPr>
              <w:spacing w:after="0"/>
              <w:rPr>
                <w:sz w:val="19"/>
                <w:szCs w:val="19"/>
                <w:color w:val="auto"/>
              </w:rPr>
            </w:pPr>
          </w:p>
        </w:tc>
        <w:tc>
          <w:tcPr>
            <w:tcW w:w="1280" w:type="dxa"/>
            <w:vAlign w:val="bottom"/>
            <w:gridSpan w:val="2"/>
          </w:tcPr>
          <w:p>
            <w:pPr>
              <w:jc w:val="right"/>
              <w:ind w:right="138"/>
              <w:spacing w:after="0"/>
              <w:rPr>
                <w:sz w:val="20"/>
                <w:szCs w:val="20"/>
                <w:color w:val="auto"/>
              </w:rPr>
            </w:pPr>
            <w:r>
              <w:rPr>
                <w:rFonts w:ascii="Arial" w:cs="Arial" w:eastAsia="Arial" w:hAnsi="Arial"/>
                <w:sz w:val="16"/>
                <w:szCs w:val="16"/>
                <w:color w:val="auto"/>
              </w:rPr>
              <w:t>(8,550)</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(2,074)</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21,022</w:t>
            </w: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and unrecognized tax benefits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14,692</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(8,708)</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(17,665)</w:t>
            </w: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9,756</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(10,567)</w:t>
            </w:r>
          </w:p>
        </w:tc>
        <w:tc>
          <w:tcPr>
            <w:tcW w:w="2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(31,301)</w:t>
            </w:r>
          </w:p>
        </w:tc>
        <w:tc>
          <w:tcPr>
            <w:tcW w:w="0" w:type="dxa"/>
            <w:vAlign w:val="bottom"/>
          </w:tcPr>
          <w:p>
            <w:pPr>
              <w:spacing w:after="0"/>
              <w:rPr>
                <w:sz w:val="1"/>
                <w:szCs w:val="1"/>
                <w:color w:val="auto"/>
              </w:rPr>
            </w:pPr>
          </w:p>
        </w:tc>
      </w:tr>
      <w:tr>
        <w:trPr>
          <w:trHeight w:val="23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Postretirement and deferred compensation benefits</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(3,600)</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(3,172)</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33,039</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8,272</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(14,378)</w:t>
            </w:r>
          </w:p>
        </w:tc>
        <w:tc>
          <w:tcPr>
            <w:tcW w:w="0" w:type="dxa"/>
            <w:vAlign w:val="bottom"/>
          </w:tcPr>
          <w:p>
            <w:pPr>
              <w:spacing w:after="0"/>
              <w:rPr>
                <w:sz w:val="1"/>
                <w:szCs w:val="1"/>
                <w:color w:val="auto"/>
              </w:rPr>
            </w:pPr>
          </w:p>
        </w:tc>
      </w:tr>
      <w:tr>
        <w:trPr>
          <w:trHeight w:val="258"/>
        </w:trPr>
        <w:tc>
          <w:tcPr>
            <w:tcW w:w="7180" w:type="dxa"/>
            <w:vAlign w:val="bottom"/>
            <w:vMerge w:val="restart"/>
          </w:tcPr>
          <w:p>
            <w:pPr>
              <w:ind w:left="20"/>
              <w:spacing w:after="0"/>
              <w:rPr>
                <w:sz w:val="20"/>
                <w:szCs w:val="20"/>
                <w:color w:val="auto"/>
              </w:rPr>
            </w:pPr>
            <w:r>
              <w:rPr>
                <w:rFonts w:ascii="Arial" w:cs="Arial" w:eastAsia="Arial" w:hAnsi="Arial"/>
                <w:sz w:val="16"/>
                <w:szCs w:val="16"/>
                <w:color w:val="auto"/>
              </w:rPr>
              <w:t>Investing activities:</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Purchases of investments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(228,069)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Proceeds from the sale of investments, at par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15,850</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8,900</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288,119</w:t>
            </w: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 roperty and equipment</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(1,874)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(3,473)</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Proceeds from the sale of property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296</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3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(737)</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25"/>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14,334</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4,986</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56,373</w:t>
            </w:r>
          </w:p>
        </w:tc>
        <w:tc>
          <w:tcPr>
            <w:tcW w:w="0" w:type="dxa"/>
            <w:vAlign w:val="bottom"/>
          </w:tcPr>
          <w:p>
            <w:pPr>
              <w:spacing w:after="0"/>
              <w:rPr>
                <w:sz w:val="1"/>
                <w:szCs w:val="1"/>
                <w:color w:val="auto"/>
              </w:rPr>
            </w:pPr>
          </w:p>
        </w:tc>
      </w:tr>
      <w:tr>
        <w:trPr>
          <w:trHeight w:val="257"/>
        </w:trPr>
        <w:tc>
          <w:tcPr>
            <w:tcW w:w="7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purchases of common stock</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(250)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(163)</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(17,771)</w:t>
            </w:r>
          </w:p>
        </w:tc>
        <w:tc>
          <w:tcPr>
            <w:tcW w:w="0" w:type="dxa"/>
            <w:vAlign w:val="bottom"/>
          </w:tcPr>
          <w:p>
            <w:pPr>
              <w:spacing w:after="0"/>
              <w:rPr>
                <w:sz w:val="1"/>
                <w:szCs w:val="1"/>
                <w:color w:val="auto"/>
              </w:rPr>
            </w:pPr>
          </w:p>
        </w:tc>
      </w:tr>
      <w:tr>
        <w:trPr>
          <w:trHeight w:val="233"/>
        </w:trPr>
        <w:tc>
          <w:tcPr>
            <w:tcW w:w="7180" w:type="dxa"/>
            <w:vAlign w:val="bottom"/>
          </w:tcPr>
          <w:p>
            <w:pPr>
              <w:ind w:left="140"/>
              <w:spacing w:after="0"/>
              <w:rPr>
                <w:sz w:val="20"/>
                <w:szCs w:val="20"/>
                <w:color w:val="auto"/>
              </w:rPr>
            </w:pPr>
            <w:r>
              <w:rPr>
                <w:rFonts w:ascii="Arial" w:cs="Arial" w:eastAsia="Arial" w:hAnsi="Arial"/>
                <w:sz w:val="16"/>
                <w:szCs w:val="16"/>
                <w:color w:val="auto"/>
              </w:rPr>
              <w:t>Payments of cash dividends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(3,489)</w:t>
            </w:r>
          </w:p>
        </w:tc>
        <w:tc>
          <w:tcPr>
            <w:tcW w:w="22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(13,997)</w:t>
            </w:r>
          </w:p>
        </w:tc>
        <w:tc>
          <w:tcPr>
            <w:tcW w:w="0" w:type="dxa"/>
            <w:vAlign w:val="bottom"/>
          </w:tcPr>
          <w:p>
            <w:pPr>
              <w:spacing w:after="0"/>
              <w:rPr>
                <w:sz w:val="1"/>
                <w:szCs w:val="1"/>
                <w:color w:val="auto"/>
              </w:rPr>
            </w:pPr>
          </w:p>
        </w:tc>
      </w:tr>
      <w:tr>
        <w:trPr>
          <w:trHeight w:val="23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borrowings on ARS portfolio</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(9,100)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9,100</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40"/>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Excess tax benefit of stock-based compensation</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26"/>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6"/>
                <w:szCs w:val="16"/>
                <w:color w:val="auto"/>
              </w:rPr>
              <w:t>(178)</w:t>
            </w: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(9,248)</w:t>
            </w: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5,457</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(31,033)</w:t>
            </w:r>
          </w:p>
        </w:tc>
        <w:tc>
          <w:tcPr>
            <w:tcW w:w="0" w:type="dxa"/>
            <w:vAlign w:val="bottom"/>
          </w:tcPr>
          <w:p>
            <w:pPr>
              <w:spacing w:after="0"/>
              <w:rPr>
                <w:sz w:val="1"/>
                <w:szCs w:val="1"/>
                <w:color w:val="auto"/>
              </w:rPr>
            </w:pPr>
          </w:p>
        </w:tc>
      </w:tr>
      <w:tr>
        <w:trPr>
          <w:trHeight w:val="257"/>
        </w:trPr>
        <w:tc>
          <w:tcPr>
            <w:tcW w:w="7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38,125</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18,715</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10,962</w:t>
            </w:r>
          </w:p>
        </w:tc>
        <w:tc>
          <w:tcPr>
            <w:tcW w:w="0" w:type="dxa"/>
            <w:vAlign w:val="bottom"/>
          </w:tcPr>
          <w:p>
            <w:pPr>
              <w:spacing w:after="0"/>
              <w:rPr>
                <w:sz w:val="1"/>
                <w:szCs w:val="1"/>
                <w:color w:val="auto"/>
              </w:rPr>
            </w:pPr>
          </w:p>
        </w:tc>
      </w:tr>
      <w:tr>
        <w:trPr>
          <w:trHeight w:val="22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36,566</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17,851</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6,889</w:t>
            </w:r>
          </w:p>
        </w:tc>
        <w:tc>
          <w:tcPr>
            <w:tcW w:w="0" w:type="dxa"/>
            <w:vAlign w:val="bottom"/>
          </w:tcPr>
          <w:p>
            <w:pPr>
              <w:spacing w:after="0"/>
              <w:rPr>
                <w:sz w:val="1"/>
                <w:szCs w:val="1"/>
                <w:color w:val="auto"/>
              </w:rPr>
            </w:pPr>
          </w:p>
        </w:tc>
      </w:tr>
      <w:tr>
        <w:trPr>
          <w:trHeight w:val="232"/>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74,691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36,566</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17,851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 cash flow disclosure:</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180" w:type="dxa"/>
            <w:vAlign w:val="bottom"/>
          </w:tcPr>
          <w:p>
            <w:pPr>
              <w:ind w:left="140"/>
              <w:spacing w:after="0"/>
              <w:rPr>
                <w:sz w:val="20"/>
                <w:szCs w:val="20"/>
                <w:color w:val="auto"/>
              </w:rPr>
            </w:pPr>
            <w:r>
              <w:rPr>
                <w:rFonts w:ascii="Arial" w:cs="Arial" w:eastAsia="Arial" w:hAnsi="Arial"/>
                <w:sz w:val="16"/>
                <w:szCs w:val="16"/>
                <w:color w:val="auto"/>
              </w:rPr>
              <w:t>Income taxes (refunded) paid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58"/>
              <w:spacing w:after="0"/>
              <w:rPr>
                <w:sz w:val="20"/>
                <w:szCs w:val="20"/>
                <w:color w:val="auto"/>
              </w:rPr>
            </w:pPr>
            <w:r>
              <w:rPr>
                <w:rFonts w:ascii="Arial" w:cs="Arial" w:eastAsia="Arial" w:hAnsi="Arial"/>
                <w:sz w:val="16"/>
                <w:szCs w:val="16"/>
                <w:color w:val="auto"/>
                <w:w w:val="99"/>
              </w:rPr>
              <w:t>(24,356</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191</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8,487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82" w:hanging="182"/>
        <w:spacing w:after="0"/>
        <w:tabs>
          <w:tab w:leader="none" w:pos="182" w:val="left"/>
        </w:tabs>
        <w:numPr>
          <w:ilvl w:val="0"/>
          <w:numId w:val="28"/>
        </w:numPr>
        <w:rPr>
          <w:rFonts w:ascii="Arial" w:cs="Arial" w:eastAsia="Arial" w:hAnsi="Arial"/>
          <w:sz w:val="8"/>
          <w:szCs w:val="8"/>
          <w:color w:val="auto"/>
        </w:rPr>
      </w:pPr>
      <w:r>
        <w:rPr>
          <w:rFonts w:ascii="Arial" w:cs="Arial" w:eastAsia="Arial" w:hAnsi="Arial"/>
          <w:sz w:val="13"/>
          <w:szCs w:val="13"/>
          <w:color w:val="auto"/>
        </w:rPr>
        <w:t>See notes to financial statements.</w:t>
      </w:r>
    </w:p>
    <w:p>
      <w:pPr>
        <w:ind w:left="222" w:hanging="222"/>
        <w:spacing w:after="0"/>
        <w:tabs>
          <w:tab w:leader="none" w:pos="222" w:val="left"/>
        </w:tabs>
        <w:numPr>
          <w:ilvl w:val="0"/>
          <w:numId w:val="28"/>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118"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22"/>
          </w:cols>
          <w:pgMar w:left="238" w:top="105" w:right="239" w:bottom="1440" w:gutter="0" w:footer="0" w:header="0"/>
        </w:sectPr>
      </w:pPr>
    </w:p>
    <w:bookmarkStart w:id="32" w:name="page33"/>
    <w:bookmarkEnd w:id="32"/>
    <w:p>
      <w:pPr>
        <w:spacing w:after="0" w:line="73" w:lineRule="exact"/>
        <w:rPr>
          <w:sz w:val="20"/>
          <w:szCs w:val="20"/>
          <w:color w:val="auto"/>
        </w:rPr>
      </w:pPr>
    </w:p>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1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Winnebago Industries, Inc.</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Notes to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3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United States manufacturers of motor homes. We sell motor homes through independent dealers, primarily throughout the United States and Canada, under the Winnebago, Itasca and ERA brand names. Other products manufactured by us consist primarily of original equipment manufacturing parts, including extruded aluminum and other component products for other manufacturers and commercial vehicles.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32"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follow a 52-/53-week fiscal year, ending the last Saturday in August. The financial statements for Fiscal 2010 and 2009 contained 52 weeks; Fiscal 2008 contained 53 weeks.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32" w:lineRule="exact"/>
        <w:rPr>
          <w:sz w:val="20"/>
          <w:szCs w:val="20"/>
          <w:color w:val="auto"/>
        </w:rPr>
      </w:pPr>
    </w:p>
    <w:p>
      <w:pPr>
        <w:jc w:val="both"/>
        <w:ind w:right="120"/>
        <w:spacing w:after="0" w:line="26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32"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Disclosures of Financial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financial instruments are carried at amounts believed to approximate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32"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All contracts that contain provisions meeting the definition of a derivative also meet the requirements of, and have been designated as, normal purchases or sales. Our policy is to not enter into contracts with terms that cannot be designated as normal purchases or sales.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32"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32" w:lineRule="exact"/>
        <w:rPr>
          <w:sz w:val="20"/>
          <w:szCs w:val="20"/>
          <w:color w:val="auto"/>
        </w:rPr>
      </w:pPr>
    </w:p>
    <w:p>
      <w:pPr>
        <w:ind w:right="640"/>
        <w:spacing w:after="0" w:line="271" w:lineRule="auto"/>
        <w:rPr>
          <w:sz w:val="20"/>
          <w:szCs w:val="20"/>
          <w:color w:val="auto"/>
        </w:rPr>
      </w:pPr>
      <w:r>
        <w:rPr>
          <w:rFonts w:ascii="Arial" w:cs="Arial" w:eastAsia="Arial" w:hAnsi="Arial"/>
          <w:sz w:val="16"/>
          <w:szCs w:val="16"/>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0" w:lineRule="exact"/>
        <w:rPr>
          <w:sz w:val="20"/>
          <w:szCs w:val="20"/>
          <w:color w:val="auto"/>
        </w:rPr>
      </w:pPr>
    </w:p>
    <w:p>
      <w:pPr>
        <w:ind w:right="680"/>
        <w:spacing w:after="0" w:line="231" w:lineRule="auto"/>
        <w:rPr>
          <w:sz w:val="20"/>
          <w:szCs w:val="20"/>
          <w:color w:val="auto"/>
        </w:rPr>
      </w:pPr>
      <w:r>
        <w:rPr>
          <w:rFonts w:ascii="Arial" w:cs="Arial" w:eastAsia="Arial" w:hAnsi="Arial"/>
          <w:sz w:val="16"/>
          <w:szCs w:val="16"/>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540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Asset Life</w:t>
            </w:r>
          </w:p>
        </w:tc>
      </w:tr>
      <w:tr>
        <w:trPr>
          <w:trHeight w:val="232"/>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540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10-30 yrs.</w:t>
            </w:r>
          </w:p>
        </w:tc>
      </w:tr>
      <w:tr>
        <w:trPr>
          <w:trHeight w:val="233"/>
        </w:trPr>
        <w:tc>
          <w:tcPr>
            <w:tcW w:w="602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5400" w:type="dxa"/>
            <w:vAlign w:val="bottom"/>
          </w:tcPr>
          <w:p>
            <w:pPr>
              <w:jc w:val="right"/>
              <w:ind w:right="258"/>
              <w:spacing w:after="0"/>
              <w:rPr>
                <w:sz w:val="20"/>
                <w:szCs w:val="20"/>
                <w:color w:val="auto"/>
              </w:rPr>
            </w:pPr>
            <w:r>
              <w:rPr>
                <w:rFonts w:ascii="Arial" w:cs="Arial" w:eastAsia="Arial" w:hAnsi="Arial"/>
                <w:sz w:val="16"/>
                <w:szCs w:val="16"/>
                <w:color w:val="auto"/>
              </w:rPr>
              <w:t>3-10 yrs.</w:t>
            </w:r>
          </w:p>
        </w:tc>
      </w:tr>
      <w:tr>
        <w:trPr>
          <w:trHeight w:val="23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 equipment</w:t>
            </w:r>
          </w:p>
        </w:tc>
        <w:tc>
          <w:tcPr>
            <w:tcW w:w="540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4-6 yrs.</w:t>
            </w:r>
          </w:p>
        </w:tc>
      </w:tr>
    </w:tbl>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We review our long-lived depreciable assets for impairment annually or whenever events or changes in circumstances indicate that the carrying value of an asset may not be recoverable from future cash flows. If the carrying value of a long-lived asset is impaired, an impairment charge is recorded for the amount by which the carrying value of the long-lived asset exceeds its fair value. We assess the potential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assessed the fair value of certain properties which were idled and are listed for sale (see Note 5). We also reviewed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long-lived depreciable assets for impairment, noting no impairment.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4" w:lineRule="exact"/>
        <w:rPr>
          <w:sz w:val="20"/>
          <w:szCs w:val="20"/>
          <w:color w:val="auto"/>
        </w:rPr>
      </w:pPr>
    </w:p>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3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 part of the process of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Statements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32" w:lineRule="exact"/>
        <w:rPr>
          <w:sz w:val="20"/>
          <w:szCs w:val="20"/>
          <w:color w:val="auto"/>
        </w:rPr>
      </w:pPr>
    </w:p>
    <w:p>
      <w:pPr>
        <w:ind w:right="600"/>
        <w:spacing w:after="0" w:line="271" w:lineRule="auto"/>
        <w:rPr>
          <w:sz w:val="20"/>
          <w:szCs w:val="20"/>
          <w:color w:val="auto"/>
        </w:rPr>
      </w:pPr>
      <w:r>
        <w:rPr>
          <w:rFonts w:ascii="Arial" w:cs="Arial" w:eastAsia="Arial" w:hAnsi="Arial"/>
          <w:sz w:val="16"/>
          <w:szCs w:val="16"/>
          <w:color w:val="auto"/>
        </w:rPr>
        <w:t>Our accounting policy regarding litigation expense is to accrue for probable exposure including estimated defense cost s if we are able to estimate the financial impact.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3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3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Revenues of our OEM components and motor home related parts are recorded as the products are shipped from our location. The title of ownership transfers on these products as they leave our location due to the freight terms of F.O.B. - Forest City, Iowa.</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3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ectPr>
          <w:pgSz w:w="11900" w:h="16912" w:orient="portrait"/>
          <w:cols w:equalWidth="0" w:num="1">
            <w:col w:w="11420"/>
          </w:cols>
          <w:pgMar w:left="240" w:top="105" w:right="239" w:bottom="0" w:gutter="0" w:footer="0" w:header="0"/>
        </w:sectPr>
      </w:pPr>
    </w:p>
    <w:bookmarkStart w:id="33" w:name="page34"/>
    <w:bookmarkEnd w:id="33"/>
    <w:p>
      <w:pPr>
        <w:ind w:left="2"/>
        <w:spacing w:after="0"/>
        <w:rPr>
          <w:sz w:val="20"/>
          <w:szCs w:val="20"/>
          <w:color w:val="auto"/>
        </w:rPr>
      </w:pPr>
      <w:r>
        <w:rPr>
          <w:rFonts w:ascii="Arial" w:cs="Arial" w:eastAsia="Arial" w:hAnsi="Arial"/>
          <w:sz w:val="16"/>
          <w:szCs w:val="16"/>
          <w:b w:val="1"/>
          <w:bCs w:val="1"/>
          <w:color w:val="auto"/>
        </w:rPr>
        <w:t>Repurchase Commitments</w:t>
      </w:r>
    </w:p>
    <w:p>
      <w:pPr>
        <w:spacing w:after="0" w:line="32" w:lineRule="exact"/>
        <w:rPr>
          <w:sz w:val="20"/>
          <w:szCs w:val="20"/>
          <w:color w:val="auto"/>
        </w:rPr>
      </w:pPr>
    </w:p>
    <w:p>
      <w:pPr>
        <w:ind w:left="2" w:right="160"/>
        <w:spacing w:after="0" w:line="259" w:lineRule="auto"/>
        <w:rPr>
          <w:sz w:val="20"/>
          <w:szCs w:val="20"/>
          <w:color w:val="auto"/>
        </w:rPr>
      </w:pPr>
      <w:r>
        <w:rPr>
          <w:rFonts w:ascii="Arial" w:cs="Arial" w:eastAsia="Arial" w:hAnsi="Arial"/>
          <w:sz w:val="16"/>
          <w:szCs w:val="16"/>
          <w:color w:val="auto"/>
        </w:rPr>
        <w:t>It is customary practice for companies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 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terminations.</w:t>
      </w:r>
    </w:p>
    <w:p>
      <w:pPr>
        <w:spacing w:after="0" w:line="133" w:lineRule="exact"/>
        <w:rPr>
          <w:sz w:val="20"/>
          <w:szCs w:val="20"/>
          <w:color w:val="auto"/>
        </w:rPr>
      </w:pPr>
    </w:p>
    <w:p>
      <w:pPr>
        <w:jc w:val="both"/>
        <w:ind w:left="2"/>
        <w:spacing w:after="0" w:line="256"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a revenue transaction, but the net difference between the original repurchase price and the resale price are recorded against the loss reserve, which is a deduction from gross revenue. There are two significant assumptions associat ed with establishing our loss reserve for repurchase commitments:</w:t>
      </w:r>
    </w:p>
    <w:p>
      <w:pPr>
        <w:ind w:left="2" w:right="160" w:hanging="2"/>
        <w:spacing w:after="0" w:line="263" w:lineRule="auto"/>
        <w:tabs>
          <w:tab w:leader="none" w:pos="24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percentage of dealer inventory that we will be required to repurchase as a result of defaults by the dealer, and (2) the loss that will be incurred, if any, when repurchased inventory is resold. The percentage of dealer inventory we estimate we will repurchase is based on historical information, current trends and an analysis of dealer inventory aging for all dealers with inventory subject to this obligation.</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Shipping Revenues and Expenses</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6"/>
          <w:szCs w:val="16"/>
          <w:color w:val="auto"/>
        </w:rPr>
        <w:t>Shipping revenues for products shipped are included within sales, while shipping expenses are included within cost of goods sold.</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Research and Development</w:t>
      </w:r>
    </w:p>
    <w:p>
      <w:pPr>
        <w:spacing w:after="0" w:line="8" w:lineRule="exact"/>
        <w:rPr>
          <w:sz w:val="20"/>
          <w:szCs w:val="20"/>
          <w:color w:val="auto"/>
        </w:rPr>
      </w:pPr>
    </w:p>
    <w:p>
      <w:pPr>
        <w:ind w:left="2" w:right="240"/>
        <w:spacing w:after="0" w:line="263" w:lineRule="auto"/>
        <w:rPr>
          <w:sz w:val="20"/>
          <w:szCs w:val="20"/>
          <w:color w:val="auto"/>
        </w:rPr>
      </w:pPr>
      <w:r>
        <w:rPr>
          <w:rFonts w:ascii="Arial" w:cs="Arial" w:eastAsia="Arial" w:hAnsi="Arial"/>
          <w:sz w:val="16"/>
          <w:szCs w:val="16"/>
          <w:color w:val="auto"/>
        </w:rPr>
        <w:t>Research and development expenditures are expensed as incurred. A portion of these expenditures qualify for state and federal tax benefits. Development activities generally relate to creating new products and improving or creating variations of existing products to meet new applications. During Fiscal 2010, 2009 and 2008, we spent approximately $3.2 million, $3.3 million and $4.1 million, respectively, on research and development activities.</w:t>
      </w:r>
    </w:p>
    <w:p>
      <w:pPr>
        <w:spacing w:after="0" w:line="305"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22"/>
          </w:cols>
          <w:pgMar w:left="238" w:top="254" w:right="239" w:bottom="1440" w:gutter="0" w:footer="0" w:header="0"/>
        </w:sectPr>
      </w:pPr>
    </w:p>
    <w:bookmarkStart w:id="34" w:name="page35"/>
    <w:bookmarkEnd w:id="3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Per Common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Basic income (loss) per common share is computed by dividing net income (loss) by the weighted average common shares outstanding during the period.</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Diluted income (loss) per common share is computed by dividing net income (loss) by the weighted average common shares outstanding plus the incremental shares that would have been outstanding upon the assumed exercise of dilutive stock options (see Note 14.)</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32"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We evaluated ev ents occurring between the end of our most recent fiscal year and the date the financial statements were issued. There were no material subsequent events, except those described in Note 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3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 xml:space="preserve">On January 21, 2010, the Financial Accounting Standards Board (FASB) issued Accounting Standards Update (ASU) 2010-06, amending ASC 820,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Measurements and Disclosures </w:t>
      </w:r>
      <w:r>
        <w:rPr>
          <w:rFonts w:ascii="Arial" w:cs="Arial" w:eastAsia="Arial" w:hAnsi="Arial"/>
          <w:sz w:val="16"/>
          <w:szCs w:val="16"/>
          <w:color w:val="auto"/>
        </w:rPr>
        <w:t>(formerly Statement of Financial Accounting Standards No. 157) to add new requirements. The new requirements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about transfers into and out of Levels 1 and 2 measurements (as defined in Note 2) and separate disclosures about purchases, sales, issuances, and settlements relating to Level 3 measurements (as defined in Note 2). ASU 2010-06 clarifies existing fair value disclosures about the level of disaggregation and about inputs and valuation techniques used to measure fair value. The new guidance became effective for our second quarter of Fiscal 2010, except for the requirement to provide Level 3 activity on a gross basis. That requirement will be effective starting in the first fiscal year beginning after December 15, 2010 (our Fiscal 2012).</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Fair Value Measurements</w:t>
      </w:r>
    </w:p>
    <w:p>
      <w:pPr>
        <w:spacing w:after="0" w:line="25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We adopted accounting guidance related to fair value measurements on August 31, 2008. Fair value is defined as the price that would be received to sell an asset or paid to transfer a liability (an exit price) in the principal or most advantageous market for the asset or liability in an order ly transaction between market participants on the measurement date. The fair value hierarchy contains three levels as follows: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8" w:lineRule="exact"/>
        <w:rPr>
          <w:sz w:val="20"/>
          <w:szCs w:val="20"/>
          <w:color w:val="auto"/>
        </w:rPr>
      </w:pPr>
    </w:p>
    <w:p>
      <w:pPr>
        <w:ind w:left="580" w:hanging="287"/>
        <w:spacing w:after="0"/>
        <w:tabs>
          <w:tab w:leader="none" w:pos="580" w:val="left"/>
        </w:tabs>
        <w:numPr>
          <w:ilvl w:val="0"/>
          <w:numId w:val="30"/>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12" w:lineRule="exact"/>
        <w:rPr>
          <w:rFonts w:ascii="Arial" w:cs="Arial" w:eastAsia="Arial" w:hAnsi="Arial"/>
          <w:sz w:val="16"/>
          <w:szCs w:val="16"/>
          <w:i w:val="1"/>
          <w:iCs w:val="1"/>
          <w:color w:val="auto"/>
        </w:rPr>
      </w:pPr>
    </w:p>
    <w:p>
      <w:pPr>
        <w:ind w:left="580" w:hanging="287"/>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Inputs that are deri ved principally from or corroborated by other observable market data.</w:t>
      </w:r>
    </w:p>
    <w:p>
      <w:pPr>
        <w:spacing w:after="0" w:line="7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9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i w:val="1"/>
          <w:iCs w:val="1"/>
          <w:color w:val="auto"/>
        </w:rPr>
        <w:t xml:space="preserve">Assets and Liabilities that are Measured at Fair Value on a Recurring Basis. </w:t>
      </w:r>
      <w:r>
        <w:rPr>
          <w:rFonts w:ascii="Arial" w:cs="Arial" w:eastAsia="Arial" w:hAnsi="Arial"/>
          <w:sz w:val="16"/>
          <w:szCs w:val="16"/>
          <w:color w:val="auto"/>
        </w:rPr>
        <w:t>The fair value hierarchy requires the use of observable market data when</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In instances in which the inputs used to measure f 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00"/>
          </w:cols>
          <w:pgMar w:left="240" w:top="153" w:right="259" w:bottom="1440" w:gutter="0" w:footer="0" w:header="0"/>
        </w:sectPr>
      </w:pPr>
    </w:p>
    <w:bookmarkStart w:id="35" w:name="page36"/>
    <w:bookmarkEnd w:id="3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following table sets forth by level within the fair value hierarchy our financial assets that were accounted for at fair value on a recurring basis at August 28, 2010 and August 29, 2009 according to the valuation techniques we used to determine their fair values: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center"/>
              <w:ind w:left="658"/>
              <w:spacing w:after="0"/>
              <w:rPr>
                <w:sz w:val="20"/>
                <w:szCs w:val="20"/>
                <w:color w:val="auto"/>
              </w:rPr>
            </w:pPr>
            <w:r>
              <w:rPr>
                <w:rFonts w:ascii="Arial" w:cs="Arial" w:eastAsia="Arial" w:hAnsi="Arial"/>
                <w:sz w:val="16"/>
                <w:szCs w:val="16"/>
                <w:b w:val="1"/>
                <w:bCs w:val="1"/>
                <w:color w:val="auto"/>
              </w:rPr>
              <w:t>Fair Value Measurements</w:t>
            </w:r>
          </w:p>
        </w:tc>
        <w:tc>
          <w:tcPr>
            <w:tcW w:w="940" w:type="dxa"/>
            <w:vAlign w:val="bottom"/>
          </w:tcPr>
          <w:p>
            <w:pPr>
              <w:spacing w:after="0"/>
              <w:rPr>
                <w:sz w:val="16"/>
                <w:szCs w:val="16"/>
                <w:color w:val="auto"/>
              </w:rPr>
            </w:pPr>
          </w:p>
        </w:tc>
      </w:tr>
      <w:tr>
        <w:trPr>
          <w:trHeight w:val="223"/>
        </w:trPr>
        <w:tc>
          <w:tcPr>
            <w:tcW w:w="5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right="178"/>
              <w:spacing w:after="0"/>
              <w:rPr>
                <w:sz w:val="20"/>
                <w:szCs w:val="20"/>
                <w:color w:val="auto"/>
              </w:rPr>
            </w:pPr>
            <w:r>
              <w:rPr>
                <w:rFonts w:ascii="Arial" w:cs="Arial" w:eastAsia="Arial" w:hAnsi="Arial"/>
                <w:sz w:val="16"/>
                <w:szCs w:val="16"/>
                <w:b w:val="1"/>
                <w:bCs w:val="1"/>
                <w:color w:val="auto"/>
              </w:rPr>
              <w:t>Fair Value at</w:t>
            </w:r>
          </w:p>
        </w:tc>
        <w:tc>
          <w:tcPr>
            <w:tcW w:w="24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5"/>
          </w:tcPr>
          <w:p>
            <w:pPr>
              <w:jc w:val="center"/>
              <w:ind w:right="138"/>
              <w:spacing w:after="0"/>
              <w:rPr>
                <w:sz w:val="20"/>
                <w:szCs w:val="20"/>
                <w:color w:val="auto"/>
              </w:rPr>
            </w:pPr>
            <w:r>
              <w:rPr>
                <w:rFonts w:ascii="Arial" w:cs="Arial" w:eastAsia="Arial" w:hAnsi="Arial"/>
                <w:sz w:val="16"/>
                <w:szCs w:val="16"/>
                <w:b w:val="1"/>
                <w:bCs w:val="1"/>
                <w:color w:val="auto"/>
              </w:rPr>
              <w:t>Using Inputs Considered As</w:t>
            </w:r>
          </w:p>
        </w:tc>
      </w:tr>
      <w:tr>
        <w:trPr>
          <w:trHeight w:val="238"/>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rPr>
              <w:t>August 28, 2010</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Level 3</w:t>
            </w:r>
          </w:p>
        </w:tc>
      </w:tr>
      <w:tr>
        <w:trPr>
          <w:trHeight w:val="24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17,785</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17,785</w:t>
            </w:r>
          </w:p>
        </w:tc>
      </w:tr>
      <w:tr>
        <w:trPr>
          <w:trHeight w:val="232"/>
        </w:trPr>
        <w:tc>
          <w:tcPr>
            <w:tcW w:w="5500" w:type="dxa"/>
            <w:vAlign w:val="bottom"/>
          </w:tcPr>
          <w:p>
            <w:pPr>
              <w:ind w:left="20"/>
              <w:spacing w:after="0"/>
              <w:rPr>
                <w:sz w:val="20"/>
                <w:szCs w:val="20"/>
                <w:color w:val="auto"/>
              </w:rPr>
            </w:pPr>
            <w:r>
              <w:rPr>
                <w:rFonts w:ascii="Arial" w:cs="Arial" w:eastAsia="Arial" w:hAnsi="Arial"/>
                <w:sz w:val="16"/>
                <w:szCs w:val="16"/>
                <w:color w:val="auto"/>
              </w:rPr>
              <w:t>Assets that fund deferred compensation</w:t>
            </w:r>
          </w:p>
        </w:tc>
        <w:tc>
          <w:tcPr>
            <w:tcW w:w="300" w:type="dxa"/>
            <w:vAlign w:val="bottom"/>
          </w:tcPr>
          <w:p>
            <w:pPr>
              <w:spacing w:after="0"/>
              <w:rPr>
                <w:sz w:val="20"/>
                <w:szCs w:val="20"/>
                <w:color w:val="auto"/>
              </w:rPr>
            </w:pPr>
          </w:p>
        </w:tc>
        <w:tc>
          <w:tcPr>
            <w:tcW w:w="1660" w:type="dxa"/>
            <w:vAlign w:val="bottom"/>
          </w:tcPr>
          <w:p>
            <w:pPr>
              <w:jc w:val="right"/>
              <w:ind w:right="138"/>
              <w:spacing w:after="0"/>
              <w:rPr>
                <w:sz w:val="20"/>
                <w:szCs w:val="20"/>
                <w:color w:val="auto"/>
              </w:rPr>
            </w:pPr>
            <w:r>
              <w:rPr>
                <w:rFonts w:ascii="Arial" w:cs="Arial" w:eastAsia="Arial" w:hAnsi="Arial"/>
                <w:sz w:val="16"/>
                <w:szCs w:val="16"/>
                <w:color w:val="auto"/>
              </w:rPr>
              <w:t>10,954</w:t>
            </w:r>
          </w:p>
        </w:tc>
        <w:tc>
          <w:tcPr>
            <w:tcW w:w="24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10,954</w:t>
            </w:r>
          </w:p>
        </w:tc>
        <w:tc>
          <w:tcPr>
            <w:tcW w:w="340" w:type="dxa"/>
            <w:vAlign w:val="bottom"/>
          </w:tcPr>
          <w:p>
            <w:pPr>
              <w:spacing w:after="0"/>
              <w:rPr>
                <w:sz w:val="20"/>
                <w:szCs w:val="20"/>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24"/>
        </w:trPr>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4"/>
          </w:tcPr>
          <w:p>
            <w:pPr>
              <w:jc w:val="center"/>
              <w:ind w:left="658"/>
              <w:spacing w:after="0"/>
              <w:rPr>
                <w:sz w:val="20"/>
                <w:szCs w:val="20"/>
                <w:color w:val="auto"/>
              </w:rPr>
            </w:pPr>
            <w:r>
              <w:rPr>
                <w:rFonts w:ascii="Arial" w:cs="Arial" w:eastAsia="Arial" w:hAnsi="Arial"/>
                <w:sz w:val="16"/>
                <w:szCs w:val="16"/>
                <w:b w:val="1"/>
                <w:bCs w:val="1"/>
                <w:color w:val="auto"/>
              </w:rPr>
              <w:t>Fair Value Measurements</w:t>
            </w:r>
          </w:p>
        </w:tc>
        <w:tc>
          <w:tcPr>
            <w:tcW w:w="940" w:type="dxa"/>
            <w:vAlign w:val="bottom"/>
          </w:tcPr>
          <w:p>
            <w:pPr>
              <w:spacing w:after="0"/>
              <w:rPr>
                <w:sz w:val="24"/>
                <w:szCs w:val="24"/>
                <w:color w:val="auto"/>
              </w:rPr>
            </w:pPr>
          </w:p>
        </w:tc>
      </w:tr>
      <w:tr>
        <w:trPr>
          <w:trHeight w:val="223"/>
        </w:trPr>
        <w:tc>
          <w:tcPr>
            <w:tcW w:w="5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right="178"/>
              <w:spacing w:after="0"/>
              <w:rPr>
                <w:sz w:val="20"/>
                <w:szCs w:val="20"/>
                <w:color w:val="auto"/>
              </w:rPr>
            </w:pPr>
            <w:r>
              <w:rPr>
                <w:rFonts w:ascii="Arial" w:cs="Arial" w:eastAsia="Arial" w:hAnsi="Arial"/>
                <w:sz w:val="16"/>
                <w:szCs w:val="16"/>
                <w:b w:val="1"/>
                <w:bCs w:val="1"/>
                <w:color w:val="auto"/>
              </w:rPr>
              <w:t>Fair Value at</w:t>
            </w:r>
          </w:p>
        </w:tc>
        <w:tc>
          <w:tcPr>
            <w:tcW w:w="24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5"/>
          </w:tcPr>
          <w:p>
            <w:pPr>
              <w:jc w:val="center"/>
              <w:ind w:right="138"/>
              <w:spacing w:after="0"/>
              <w:rPr>
                <w:sz w:val="20"/>
                <w:szCs w:val="20"/>
                <w:color w:val="auto"/>
              </w:rPr>
            </w:pPr>
            <w:r>
              <w:rPr>
                <w:rFonts w:ascii="Arial" w:cs="Arial" w:eastAsia="Arial" w:hAnsi="Arial"/>
                <w:sz w:val="16"/>
                <w:szCs w:val="16"/>
                <w:b w:val="1"/>
                <w:bCs w:val="1"/>
                <w:color w:val="auto"/>
              </w:rPr>
              <w:t>Using Inputs Considered As</w:t>
            </w:r>
          </w:p>
        </w:tc>
      </w:tr>
      <w:tr>
        <w:trPr>
          <w:trHeight w:val="238"/>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rPr>
              <w:t>August 29, 2009</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Level 3</w:t>
            </w:r>
          </w:p>
        </w:tc>
      </w:tr>
      <w:tr>
        <w:trPr>
          <w:trHeight w:val="24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 (includes Put Rights)</w:t>
            </w: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13,500</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13,500</w:t>
            </w:r>
          </w:p>
        </w:tc>
      </w:tr>
      <w:tr>
        <w:trPr>
          <w:trHeight w:val="239"/>
        </w:trPr>
        <w:tc>
          <w:tcPr>
            <w:tcW w:w="550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1960" w:type="dxa"/>
            <w:vAlign w:val="bottom"/>
            <w:gridSpan w:val="2"/>
          </w:tcPr>
          <w:p>
            <w:pPr>
              <w:ind w:left="140"/>
              <w:spacing w:after="0"/>
              <w:rPr>
                <w:sz w:val="20"/>
                <w:szCs w:val="20"/>
                <w:color w:val="auto"/>
              </w:rPr>
            </w:pPr>
            <w:r>
              <w:rPr>
                <w:rFonts w:ascii="Arial" w:cs="Arial" w:eastAsia="Arial" w:hAnsi="Arial"/>
                <w:sz w:val="16"/>
                <w:szCs w:val="16"/>
                <w:color w:val="auto"/>
              </w:rPr>
              <w:t>19,794</w:t>
            </w:r>
          </w:p>
        </w:tc>
        <w:tc>
          <w:tcPr>
            <w:tcW w:w="24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19,794</w:t>
            </w:r>
          </w:p>
        </w:tc>
      </w:tr>
      <w:tr>
        <w:trPr>
          <w:trHeight w:val="252"/>
        </w:trPr>
        <w:tc>
          <w:tcPr>
            <w:tcW w:w="5500" w:type="dxa"/>
            <w:vAlign w:val="bottom"/>
          </w:tcPr>
          <w:p>
            <w:pPr>
              <w:ind w:left="20"/>
              <w:spacing w:after="0"/>
              <w:rPr>
                <w:sz w:val="20"/>
                <w:szCs w:val="20"/>
                <w:color w:val="auto"/>
              </w:rPr>
            </w:pPr>
            <w:r>
              <w:rPr>
                <w:rFonts w:ascii="Arial" w:cs="Arial" w:eastAsia="Arial" w:hAnsi="Arial"/>
                <w:sz w:val="16"/>
                <w:szCs w:val="16"/>
                <w:color w:val="auto"/>
              </w:rPr>
              <w:t>Assets that fund deferred compensation</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10,858</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10,858</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bl>
    <w:p>
      <w:pPr>
        <w:spacing w:after="0" w:line="146" w:lineRule="exact"/>
        <w:rPr>
          <w:sz w:val="20"/>
          <w:szCs w:val="20"/>
          <w:color w:val="auto"/>
        </w:rPr>
      </w:pPr>
    </w:p>
    <w:p>
      <w:pPr>
        <w:ind w:right="380"/>
        <w:spacing w:after="0" w:line="271" w:lineRule="auto"/>
        <w:rPr>
          <w:sz w:val="20"/>
          <w:szCs w:val="20"/>
          <w:color w:val="auto"/>
        </w:rPr>
      </w:pPr>
      <w:r>
        <w:rPr>
          <w:rFonts w:ascii="Arial" w:cs="Arial" w:eastAsia="Arial" w:hAnsi="Arial"/>
          <w:sz w:val="16"/>
          <w:szCs w:val="16"/>
          <w:color w:val="auto"/>
        </w:rPr>
        <w:t>The following table provides a reconciliation between the beginning and ending b alances of items measured at fair value on a recurring basis in the table above that used significant unobservable inputs (Level 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700" w:type="dxa"/>
            <w:vAlign w:val="bottom"/>
          </w:tcPr>
          <w:p>
            <w:pPr>
              <w:jc w:val="right"/>
              <w:ind w:right="258"/>
              <w:spacing w:after="0"/>
              <w:rPr>
                <w:sz w:val="20"/>
                <w:szCs w:val="20"/>
                <w:color w:val="auto"/>
              </w:rPr>
            </w:pPr>
            <w:r>
              <w:rPr>
                <w:rFonts w:ascii="Arial" w:cs="Arial" w:eastAsia="Arial" w:hAnsi="Arial"/>
                <w:sz w:val="16"/>
                <w:szCs w:val="16"/>
                <w:b w:val="1"/>
                <w:bCs w:val="1"/>
                <w:color w:val="auto"/>
              </w:rPr>
              <w:t>August 28, 2010</w:t>
            </w:r>
          </w:p>
        </w:tc>
        <w:tc>
          <w:tcPr>
            <w:tcW w:w="120" w:type="dxa"/>
            <w:vAlign w:val="bottom"/>
          </w:tcPr>
          <w:p>
            <w:pPr>
              <w:spacing w:after="0"/>
              <w:rPr>
                <w:sz w:val="19"/>
                <w:szCs w:val="19"/>
                <w:color w:val="auto"/>
              </w:rPr>
            </w:pPr>
          </w:p>
        </w:tc>
        <w:tc>
          <w:tcPr>
            <w:tcW w:w="1820" w:type="dxa"/>
            <w:vAlign w:val="bottom"/>
            <w:gridSpan w:val="2"/>
          </w:tcPr>
          <w:p>
            <w:pPr>
              <w:ind w:left="560"/>
              <w:spacing w:after="0"/>
              <w:rPr>
                <w:sz w:val="20"/>
                <w:szCs w:val="20"/>
                <w:color w:val="auto"/>
              </w:rPr>
            </w:pPr>
            <w:r>
              <w:rPr>
                <w:rFonts w:ascii="Arial" w:cs="Arial" w:eastAsia="Arial" w:hAnsi="Arial"/>
                <w:sz w:val="16"/>
                <w:szCs w:val="16"/>
                <w:b w:val="1"/>
                <w:bCs w:val="1"/>
                <w:color w:val="auto"/>
              </w:rPr>
              <w:t>August 29, 2009</w:t>
            </w:r>
          </w:p>
        </w:tc>
      </w:tr>
      <w:tr>
        <w:trPr>
          <w:trHeight w:val="232"/>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right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33,294</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37,538</w:t>
            </w:r>
          </w:p>
        </w:tc>
        <w:tc>
          <w:tcPr>
            <w:tcW w:w="20" w:type="dxa"/>
            <w:vAlign w:val="bottom"/>
          </w:tcPr>
          <w:p>
            <w:pPr>
              <w:spacing w:after="0"/>
              <w:rPr>
                <w:sz w:val="20"/>
                <w:szCs w:val="20"/>
                <w:color w:val="auto"/>
              </w:rPr>
            </w:pPr>
          </w:p>
        </w:tc>
      </w:tr>
      <w:tr>
        <w:trPr>
          <w:trHeight w:val="226"/>
        </w:trPr>
        <w:tc>
          <w:tcPr>
            <w:tcW w:w="7560" w:type="dxa"/>
            <w:vAlign w:val="bottom"/>
          </w:tcPr>
          <w:p>
            <w:pPr>
              <w:ind w:left="20"/>
              <w:spacing w:after="0"/>
              <w:rPr>
                <w:sz w:val="20"/>
                <w:szCs w:val="20"/>
                <w:color w:val="auto"/>
              </w:rPr>
            </w:pPr>
            <w:r>
              <w:rPr>
                <w:rFonts w:ascii="Arial" w:cs="Arial" w:eastAsia="Arial" w:hAnsi="Arial"/>
                <w:sz w:val="16"/>
                <w:szCs w:val="16"/>
                <w:color w:val="auto"/>
              </w:rPr>
              <w:t>Net realized loss included in earnings</w:t>
            </w:r>
          </w:p>
        </w:tc>
        <w:tc>
          <w:tcPr>
            <w:tcW w:w="240" w:type="dxa"/>
            <w:vAlign w:val="bottom"/>
          </w:tcPr>
          <w:p>
            <w:pPr>
              <w:spacing w:after="0"/>
              <w:rPr>
                <w:sz w:val="19"/>
                <w:szCs w:val="19"/>
                <w:color w:val="auto"/>
              </w:rPr>
            </w:pP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0"/>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 hange included in other comprehensive income</w:t>
            </w:r>
          </w:p>
        </w:tc>
        <w:tc>
          <w:tcPr>
            <w:tcW w:w="240" w:type="dxa"/>
            <w:vAlign w:val="bottom"/>
            <w:shd w:val="clear" w:color="auto" w:fill="CCEEFF"/>
          </w:tcPr>
          <w:p>
            <w:pPr>
              <w:spacing w:after="0"/>
              <w:rPr>
                <w:sz w:val="20"/>
                <w:szCs w:val="20"/>
                <w:color w:val="auto"/>
              </w:rPr>
            </w:pPr>
          </w:p>
        </w:tc>
        <w:tc>
          <w:tcPr>
            <w:tcW w:w="17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1,556</w:t>
            </w:r>
          </w:p>
        </w:tc>
        <w:tc>
          <w:tcPr>
            <w:tcW w:w="20" w:type="dxa"/>
            <w:vAlign w:val="bottom"/>
          </w:tcPr>
          <w:p>
            <w:pPr>
              <w:spacing w:after="0"/>
              <w:rPr>
                <w:sz w:val="20"/>
                <w:szCs w:val="20"/>
                <w:color w:val="auto"/>
              </w:rPr>
            </w:pPr>
          </w:p>
        </w:tc>
      </w:tr>
      <w:tr>
        <w:trPr>
          <w:trHeight w:val="226"/>
        </w:trPr>
        <w:tc>
          <w:tcPr>
            <w:tcW w:w="7560" w:type="dxa"/>
            <w:vAlign w:val="bottom"/>
          </w:tcPr>
          <w:p>
            <w:pPr>
              <w:ind w:left="20"/>
              <w:spacing w:after="0"/>
              <w:rPr>
                <w:sz w:val="20"/>
                <w:szCs w:val="20"/>
                <w:color w:val="auto"/>
              </w:rPr>
            </w:pPr>
            <w:r>
              <w:rPr>
                <w:rFonts w:ascii="Arial" w:cs="Arial" w:eastAsia="Arial" w:hAnsi="Arial"/>
                <w:sz w:val="16"/>
                <w:szCs w:val="16"/>
                <w:color w:val="auto"/>
              </w:rPr>
              <w:t>Sales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(15,850)</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w:t>
            </w:r>
          </w:p>
        </w:tc>
        <w:tc>
          <w:tcPr>
            <w:tcW w:w="20" w:type="dxa"/>
            <w:vAlign w:val="bottom"/>
          </w:tcPr>
          <w:p>
            <w:pPr>
              <w:spacing w:after="0"/>
              <w:rPr>
                <w:sz w:val="19"/>
                <w:szCs w:val="19"/>
                <w:color w:val="auto"/>
              </w:rPr>
            </w:pPr>
          </w:p>
        </w:tc>
      </w:tr>
      <w:tr>
        <w:trPr>
          <w:trHeight w:val="231"/>
        </w:trPr>
        <w:tc>
          <w:tcPr>
            <w:tcW w:w="7560" w:type="dxa"/>
            <w:vAlign w:val="bottom"/>
          </w:tcPr>
          <w:p>
            <w:pPr>
              <w:ind w:left="20"/>
              <w:spacing w:after="0"/>
              <w:rPr>
                <w:sz w:val="20"/>
                <w:szCs w:val="20"/>
                <w:color w:val="auto"/>
              </w:rPr>
            </w:pPr>
            <w:r>
              <w:rPr>
                <w:rFonts w:ascii="Arial" w:cs="Arial" w:eastAsia="Arial" w:hAnsi="Arial"/>
                <w:sz w:val="16"/>
                <w:szCs w:val="16"/>
                <w:color w:val="auto"/>
              </w:rPr>
              <w:t>Balance at the end of year</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right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17,785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33,294</w:t>
            </w:r>
          </w:p>
        </w:tc>
        <w:tc>
          <w:tcPr>
            <w:tcW w:w="2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i w:val="1"/>
          <w:iCs w:val="1"/>
          <w:color w:val="auto"/>
        </w:rPr>
        <w:t xml:space="preserve">Short-term and long-term investments. </w:t>
      </w:r>
      <w:r>
        <w:rPr>
          <w:rFonts w:ascii="Arial" w:cs="Arial" w:eastAsia="Arial" w:hAnsi="Arial"/>
          <w:sz w:val="16"/>
          <w:szCs w:val="16"/>
          <w:color w:val="auto"/>
        </w:rPr>
        <w:t>Our debt securities are comprised of ARS. Our ARS related investments (as defined and as described in Note 3)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Level 3 as quoted prices were unavailable due to events described in Note 3. Due to limited market information, we utilized a discounted cash flow ("DCF") model to derive an estimate of fair value at August 28, 2010.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i w:val="1"/>
          <w:iCs w:val="1"/>
          <w:color w:val="auto"/>
        </w:rPr>
        <w:t>Assets that fund deferred compensation</w:t>
      </w:r>
      <w:r>
        <w:rPr>
          <w:rFonts w:ascii="Arial" w:cs="Arial" w:eastAsia="Arial" w:hAnsi="Arial"/>
          <w:sz w:val="16"/>
          <w:szCs w:val="16"/>
          <w:color w:val="auto"/>
        </w:rPr>
        <w:t>. Our assets that fund deferred compensation are marketable equity securities measured at fair value using quoted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and primarily consist of equity-based mutual funds. They are classified as Level 1 as they are traded in an active market for which closing stock prices are readily available. These securities fund the Execu tive Share Option Plan, a deferred compensation program, and are presented as other assets in the accompanying balance sheets.</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w:t>
      </w:r>
    </w:p>
    <w:p>
      <w:pPr>
        <w:spacing w:after="0" w:line="23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 component of stockholders' equity.</w:t>
      </w:r>
    </w:p>
    <w:p>
      <w:pPr>
        <w:spacing w:after="0" w:line="122"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At August 28, 2010, we held $17.9 million (par value) of investments comprised of tax-exempt ARS, which are variable-rate debt securities and have a long-term maturity with the interest rate being reset through Dutch auctions that are typically held every 7, 28 or 35 days. Prior to February 2008, these securities traded at par and are callable at par at t he option of the issuer. Interest is typically paid at the end of each auction period or semiannually. The ARS we hold are AAA/Aaa rated with most collateralized by student loans guaranteed by the U.S. Government under the Federal Family Education Loan Program.</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default. We have continued to receive interest payments on the ARS in accordance with their terms. We believe we will ultimately be able to liquidate our ARS related investments without significant loss primarily due to the collateral securing the ARS. However, r edemption could take until final maturity of the ARS (up to 30 years) to realize the par value of our</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40"/>
          </w:cols>
          <w:pgMar w:left="240" w:top="153" w:right="219" w:bottom="1440" w:gutter="0" w:footer="0" w:header="0"/>
        </w:sectPr>
      </w:pPr>
    </w:p>
    <w:bookmarkStart w:id="36" w:name="page37"/>
    <w:bookmarkEnd w:id="3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8" w:lineRule="exact"/>
        <w:rPr>
          <w:sz w:val="20"/>
          <w:szCs w:val="20"/>
          <w:color w:val="auto"/>
        </w:rPr>
      </w:pPr>
    </w:p>
    <w:p>
      <w:pPr>
        <w:ind w:right="520"/>
        <w:spacing w:after="0" w:line="271" w:lineRule="auto"/>
        <w:rPr>
          <w:sz w:val="20"/>
          <w:szCs w:val="20"/>
          <w:color w:val="auto"/>
        </w:rPr>
      </w:pPr>
      <w:r>
        <w:rPr>
          <w:rFonts w:ascii="Arial" w:cs="Arial" w:eastAsia="Arial" w:hAnsi="Arial"/>
          <w:sz w:val="16"/>
          <w:szCs w:val="16"/>
          <w:color w:val="auto"/>
        </w:rPr>
        <w:t>investments. Due to the changes and uncertainty in the ARS market, we believe the recovery period for these investments is likely to be longer than 12 months and as a result, we have classified these investments as long-term as of August 28, 2010.</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In November 2008, we elected to participate in a rights offering by UBS, one of our brokers, which provide us with rights (the “Put Rights”) to sell to them</w:t>
      </w:r>
    </w:p>
    <w:p>
      <w:pPr>
        <w:spacing w:after="0" w:line="1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$13.5 million at par value of our ARS portfolio, purchased through UBS, at any time during a two-year sale period beginning June 30, 2010. The terms of the legal settlement agreement also allowed us to borrow on a portion of our portfolio at “no net cost” and as a result, we borrowed $9.1 million under this arrangement in Fiscal 2009. We had the ability to maintain the no net cost loans until the securities were liquidated or they reach the June 2010 put date. During Fiscal 2010 in advance of the put date, UBS elected to redeem s ecurities that had a par value of $12.6 million. Terms of the settlement agreement required us to repay a portion of the outstanding borrowings of $8.5 million. On June 30, 2010, we elected to exercise our Put Rights thereby liquidating our remaining UBS portfolio of $900,000 and within accordance of the terms repaid the remaining $610,000 of short-term ARS borrowings.</w:t>
      </w:r>
    </w:p>
    <w:p>
      <w:pPr>
        <w:spacing w:after="0" w:line="6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At August 28, 2010, there was insufficient observable ARS market information available to determine the fair value of our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$65,000 related to our long-term ARS investments of $17.9 million (par value).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20"/>
                <w:szCs w:val="20"/>
                <w:color w:val="auto"/>
              </w:rPr>
            </w:pPr>
            <w:r>
              <w:rPr>
                <w:rFonts w:ascii="Arial" w:cs="Arial" w:eastAsia="Arial" w:hAnsi="Arial"/>
                <w:sz w:val="16"/>
                <w:szCs w:val="16"/>
                <w:b w:val="1"/>
                <w:bCs w:val="1"/>
                <w:color w:val="auto"/>
              </w:rPr>
              <w:t>Note 4: Inventories</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3"/>
        </w:trPr>
        <w:tc>
          <w:tcPr>
            <w:tcW w:w="7080" w:type="dxa"/>
            <w:vAlign w:val="bottom"/>
          </w:tcPr>
          <w:p>
            <w:pPr>
              <w:spacing w:after="0"/>
              <w:rPr>
                <w:sz w:val="20"/>
                <w:szCs w:val="20"/>
                <w:color w:val="auto"/>
              </w:rPr>
            </w:pPr>
            <w:r>
              <w:rPr>
                <w:rFonts w:ascii="Arial" w:cs="Arial" w:eastAsia="Arial" w:hAnsi="Arial"/>
                <w:sz w:val="16"/>
                <w:szCs w:val="16"/>
                <w:color w:val="auto"/>
              </w:rPr>
              <w:t>I nventories consist of the following:</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August 28, 2010</w:t>
            </w: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August 29, 2009</w:t>
            </w:r>
          </w:p>
        </w:tc>
      </w:tr>
      <w:tr>
        <w:trPr>
          <w:trHeight w:val="23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21,200</w:t>
            </w:r>
          </w:p>
        </w:tc>
        <w:tc>
          <w:tcPr>
            <w:tcW w:w="120" w:type="dxa"/>
            <w:vAlign w:val="bottom"/>
          </w:tcPr>
          <w:p>
            <w:pPr>
              <w:spacing w:after="0"/>
              <w:rPr>
                <w:sz w:val="20"/>
                <w:szCs w:val="20"/>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18,709</w:t>
            </w:r>
          </w:p>
        </w:tc>
      </w:tr>
      <w:tr>
        <w:trPr>
          <w:trHeight w:val="226"/>
        </w:trPr>
        <w:tc>
          <w:tcPr>
            <w:tcW w:w="70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0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24,897</w:t>
            </w:r>
          </w:p>
        </w:tc>
        <w:tc>
          <w:tcPr>
            <w:tcW w:w="30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6"/>
                <w:szCs w:val="16"/>
                <w:color w:val="auto"/>
              </w:rPr>
              <w:t>24,982</w:t>
            </w:r>
          </w:p>
        </w:tc>
      </w:tr>
      <w:tr>
        <w:trPr>
          <w:trHeight w:val="23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26,992</w:t>
            </w:r>
          </w:p>
        </w:tc>
        <w:tc>
          <w:tcPr>
            <w:tcW w:w="3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33,505</w:t>
            </w:r>
          </w:p>
        </w:tc>
      </w:tr>
      <w:tr>
        <w:trPr>
          <w:trHeight w:val="225"/>
        </w:trPr>
        <w:tc>
          <w:tcPr>
            <w:tcW w:w="7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73,089</w:t>
            </w:r>
          </w:p>
        </w:tc>
        <w:tc>
          <w:tcPr>
            <w:tcW w:w="30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6"/>
                <w:szCs w:val="16"/>
                <w:color w:val="auto"/>
              </w:rPr>
              <w:t>77,196</w:t>
            </w:r>
          </w:p>
        </w:tc>
      </w:tr>
      <w:tr>
        <w:trPr>
          <w:trHeight w:val="23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reserve</w:t>
            </w:r>
          </w:p>
        </w:tc>
        <w:tc>
          <w:tcPr>
            <w:tcW w:w="3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(29,563)</w:t>
            </w:r>
          </w:p>
        </w:tc>
        <w:tc>
          <w:tcPr>
            <w:tcW w:w="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(30,346)</w:t>
            </w:r>
          </w:p>
        </w:tc>
        <w:tc>
          <w:tcPr>
            <w:tcW w:w="100" w:type="dxa"/>
            <w:vAlign w:val="bottom"/>
            <w:tcBorders>
              <w:bottom w:val="single" w:sz="8" w:color="auto"/>
            </w:tcBorders>
          </w:tcPr>
          <w:p>
            <w:pPr>
              <w:spacing w:after="0"/>
              <w:rPr>
                <w:sz w:val="20"/>
                <w:szCs w:val="20"/>
                <w:color w:val="auto"/>
              </w:rPr>
            </w:pPr>
          </w:p>
        </w:tc>
      </w:tr>
      <w:tr>
        <w:trPr>
          <w:trHeight w:val="231"/>
        </w:trPr>
        <w:tc>
          <w:tcPr>
            <w:tcW w:w="708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43,526</w:t>
            </w: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46,850</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 he respective dates. Due to a liquidation of LIFO inventory values as a result of a reduction of inventory levels during Fiscal 2010 and Fiscal 2009, we recorded a reduction to LIFO reserves of $780,000 and $7.0 million, respectively, which is net of inflation.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Property, Plant and Equipment and Assets Held for Sa le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August 28, 2010</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August 29, 2009</w:t>
            </w:r>
          </w:p>
        </w:tc>
      </w:tr>
      <w:tr>
        <w:trPr>
          <w:trHeight w:val="244"/>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772</w:t>
            </w:r>
          </w:p>
        </w:tc>
        <w:tc>
          <w:tcPr>
            <w:tcW w:w="3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772</w:t>
            </w:r>
          </w:p>
        </w:tc>
      </w:tr>
      <w:tr>
        <w:trPr>
          <w:trHeight w:val="239"/>
        </w:trPr>
        <w:tc>
          <w:tcPr>
            <w:tcW w:w="68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340" w:type="dxa"/>
            <w:vAlign w:val="bottom"/>
          </w:tcPr>
          <w:p>
            <w:pPr>
              <w:spacing w:after="0"/>
              <w:rPr>
                <w:sz w:val="20"/>
                <w:szCs w:val="20"/>
                <w:color w:val="auto"/>
              </w:rPr>
            </w:pPr>
          </w:p>
        </w:tc>
        <w:tc>
          <w:tcPr>
            <w:tcW w:w="2100" w:type="dxa"/>
            <w:vAlign w:val="bottom"/>
          </w:tcPr>
          <w:p>
            <w:pPr>
              <w:jc w:val="right"/>
              <w:ind w:right="338"/>
              <w:spacing w:after="0"/>
              <w:rPr>
                <w:sz w:val="20"/>
                <w:szCs w:val="20"/>
                <w:color w:val="auto"/>
              </w:rPr>
            </w:pPr>
            <w:r>
              <w:rPr>
                <w:rFonts w:ascii="Arial" w:cs="Arial" w:eastAsia="Arial" w:hAnsi="Arial"/>
                <w:sz w:val="16"/>
                <w:szCs w:val="16"/>
                <w:color w:val="auto"/>
              </w:rPr>
              <w:t>49,309</w:t>
            </w:r>
          </w:p>
        </w:tc>
        <w:tc>
          <w:tcPr>
            <w:tcW w:w="340" w:type="dxa"/>
            <w:vAlign w:val="bottom"/>
          </w:tcPr>
          <w:p>
            <w:pPr>
              <w:spacing w:after="0"/>
              <w:rPr>
                <w:sz w:val="20"/>
                <w:szCs w:val="20"/>
                <w:color w:val="auto"/>
              </w:rPr>
            </w:pPr>
          </w:p>
        </w:tc>
        <w:tc>
          <w:tcPr>
            <w:tcW w:w="1840" w:type="dxa"/>
            <w:vAlign w:val="bottom"/>
          </w:tcPr>
          <w:p>
            <w:pPr>
              <w:jc w:val="right"/>
              <w:ind w:right="18"/>
              <w:spacing w:after="0"/>
              <w:rPr>
                <w:sz w:val="20"/>
                <w:szCs w:val="20"/>
                <w:color w:val="auto"/>
              </w:rPr>
            </w:pPr>
            <w:r>
              <w:rPr>
                <w:rFonts w:ascii="Arial" w:cs="Arial" w:eastAsia="Arial" w:hAnsi="Arial"/>
                <w:sz w:val="16"/>
                <w:szCs w:val="16"/>
                <w:color w:val="auto"/>
              </w:rPr>
              <w:t>49,220</w:t>
            </w:r>
          </w:p>
        </w:tc>
      </w:tr>
      <w:tr>
        <w:trPr>
          <w:trHeight w:val="25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4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89,304</w:t>
            </w:r>
          </w:p>
        </w:tc>
        <w:tc>
          <w:tcPr>
            <w:tcW w:w="3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92,625</w:t>
            </w:r>
          </w:p>
        </w:tc>
      </w:tr>
      <w:tr>
        <w:trPr>
          <w:trHeight w:val="24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Transportation</w:t>
            </w:r>
          </w:p>
        </w:tc>
        <w:tc>
          <w:tcPr>
            <w:tcW w:w="3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color w:val="auto"/>
              </w:rPr>
              <w:t>9,109</w:t>
            </w: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3,457</w:t>
            </w:r>
          </w:p>
        </w:tc>
      </w:tr>
      <w:tr>
        <w:trPr>
          <w:trHeight w:val="238"/>
        </w:trPr>
        <w:tc>
          <w:tcPr>
            <w:tcW w:w="6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10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148,494</w:t>
            </w: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146,074</w:t>
            </w:r>
          </w:p>
        </w:tc>
      </w:tr>
      <w:tr>
        <w:trPr>
          <w:trHeight w:val="23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(122,817)</w:t>
            </w: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(118,034)</w:t>
            </w:r>
          </w:p>
        </w:tc>
      </w:tr>
      <w:tr>
        <w:trPr>
          <w:trHeight w:val="182"/>
        </w:trPr>
        <w:tc>
          <w:tcPr>
            <w:tcW w:w="6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&amp;nbs</w:t>
            </w: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09"/>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 net</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25,677p;</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28,040</w:t>
            </w: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Assets held for sale as of August 28, 2010 of $4.3 million consisted of two idled manufacturing facilities, an assembly facility in Charles City, Iowa (CCMF) and a fiberglass manufacturing facility in Hampton, Iowa. We recorded an impairment of $855,000 for the Hampton facility in the fourth quarter of Fiscal 2009 and an impairment of $4.7 million for the Charles City manufacturing facility in the fourth quarter of Fiscal 2008. During the fourth quarter of Fiscal 2010, the airplane previously held for sale was reclassified into total property, plant and equipment.</w:t>
      </w:r>
    </w:p>
    <w:p>
      <w:pPr>
        <w:spacing w:after="0" w:line="181" w:lineRule="exact"/>
        <w:rPr>
          <w:sz w:val="20"/>
          <w:szCs w:val="20"/>
          <w:color w:val="auto"/>
        </w:rPr>
      </w:pPr>
    </w:p>
    <w:p>
      <w:pPr>
        <w:jc w:val="both"/>
        <w:ind w:right="120"/>
        <w:spacing w:after="0" w:line="263" w:lineRule="auto"/>
        <w:rPr>
          <w:sz w:val="20"/>
          <w:szCs w:val="20"/>
          <w:color w:val="auto"/>
        </w:rPr>
      </w:pPr>
      <w:r>
        <w:rPr>
          <w:rFonts w:ascii="Arial" w:cs="Arial" w:eastAsia="Arial" w:hAnsi="Arial"/>
          <w:sz w:val="16"/>
          <w:szCs w:val="16"/>
          <w:color w:val="auto"/>
        </w:rPr>
        <w:t>On August 30, 2010 , we entered into sale agreement of CCMF to CGS TIRES US, INC. (CGS) for $3.9 million. We estimate that we will record a small gain on the sale when the transaction closes on or before November 1, 2010. The sale transaction is subject to certain closing conditions, including (i) approval of state, county, governmental or quasi-governmental incentives, and (ii) a due diligence inspection of CCMF, including an acceptable Phase I Environmental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20"/>
          </w:cols>
          <w:pgMar w:left="240" w:top="153" w:right="239" w:bottom="1440" w:gutter="0" w:footer="0" w:header="0"/>
        </w:sectPr>
      </w:pPr>
    </w:p>
    <w:bookmarkStart w:id="37" w:name="page38"/>
    <w:bookmarkEnd w:id="3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Report.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Credit Facilities</w:t>
      </w:r>
    </w:p>
    <w:p>
      <w:pPr>
        <w:spacing w:after="0" w:line="17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On September 17, 2008, we entered into a two-year $25.0 million credit and security agreement with Wells Fargo Bank, National Associat ion. No borrowings were made under this agreement. On October 13, 2009, we terminated this agreement in accordance with its terms in order to enter into a new credit facility that would provide more financial flexibility over a longer period of time. As a result of the termination, as required pursuant to the agreement with Wells Fargo, a termination fee of 1.5 percent of the facility, or $375,000, was recorded as expense during the first quarter of Fiscal 2010.</w:t>
      </w:r>
    </w:p>
    <w:p>
      <w:pPr>
        <w:spacing w:after="0" w:line="13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October 13, 2009, we entered into a Loan and Security Agreement (the "Loan Agreement") with Burdale Capital Finance, Inc., as Agent. The Loan Agreement provides for an initial $20.0 million revolving credit facility, based on the Company's eligible accounts receivable and eligible inventory, expiring on October 13, 2012, unless terminated earlier in accordance with its terms. The Loan Agreeme nt contains no financial covenant restrictions for borrowings up to $12.5 million; provided that borrowings cannot exceed the Asset Coverage Amount (as defined in the Loan Agreement) divided by 2.25. The Loan Agreement requires us to comply with certain financial covenants not yet established if we borrow more than $12.5 million up to $20.0 million, including minimum EBITDA and minimum liquidity as defined in the agreement and limitations on capital expenditures. The Loan Agreement also includes a framework to expand the size of the facility up to $50.0 million, based on mutually agreeable covenants to be determined at the time of the expansion. Interest on loans made under the credit facility will be based on the greater of LIBOR or 2.0 percent plus a margin of 4.0 percent or the greater of prime rate or 4.25 percent plus a margin of 3.0 percent. The unused line fee associated with this Loan Agreement is 1.25 percent per annum. Additionally, under certain circumstances, we will be required to pay an early t ermination fee ranging from 1 - 3 percent of the maximum credit available under the Loan Agreement if we terminate the Loan Agreement prior to October 13, 2012. No borrowings have been made under the Loan Agreement through October 26, 2010.</w:t>
      </w:r>
    </w:p>
    <w:p>
      <w:pPr>
        <w:spacing w:after="0" w:line="13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Loan Agreement contains typical affirmative representations and covenants for a credit agreement of this size and nature. Additionally, the Loan Agreement contains negative covenants limiting our ability, among other things, to incur debt, grant liens, make acquisitions, make certain investments, pay certain dividends and distributions (including stock repurchases), engage in mergers, consolidations or acquisitions and sell certain assets. Our obligations under the Loan Agreement are secured by a security interest i 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Warranty</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provide our motor home customers a comprehensive 12-month/15,000-mile warranty on our Class A, B and C motor homes, and a 3-year/36,000-mile structural warranty on Class A and C sidewalls and floors. We have also incurred costs for certain warranty-type expenses which occurred after the normal warranty period. We have voluntarily agreed to pay such costs to help protect the reputation of our products and the goodwill of our customers. We record our warranty liabilities based on our estimate of the amounts necessary to settle future and existing claims on products sold as of the balance sheet date. We also incur costs as a result of additional service actions not covered by our warranties, including product recalls and customer satisfaction actions.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during Fiscal 2010, Fiscal 2009 and Fiscal 2008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August 28, 2010</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August 29, 2009</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August 30, 2008</w:t>
            </w:r>
          </w:p>
        </w:tc>
        <w:tc>
          <w:tcPr>
            <w:tcW w:w="0" w:type="dxa"/>
            <w:vAlign w:val="bottom"/>
          </w:tcPr>
          <w:p>
            <w:pPr>
              <w:spacing w:after="0"/>
              <w:rPr>
                <w:sz w:val="1"/>
                <w:szCs w:val="1"/>
                <w:color w:val="auto"/>
              </w:rPr>
            </w:pPr>
          </w:p>
        </w:tc>
      </w:tr>
      <w:tr>
        <w:trPr>
          <w:trHeight w:val="232"/>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6,408</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11,259</w:t>
            </w:r>
          </w:p>
        </w:tc>
        <w:tc>
          <w:tcPr>
            <w:tcW w:w="0" w:type="dxa"/>
            <w:vAlign w:val="bottom"/>
          </w:tcPr>
          <w:p>
            <w:pPr>
              <w:spacing w:after="0"/>
              <w:rPr>
                <w:sz w:val="1"/>
                <w:szCs w:val="1"/>
                <w:color w:val="auto"/>
              </w:rPr>
            </w:pPr>
          </w:p>
        </w:tc>
      </w:tr>
      <w:tr>
        <w:trPr>
          <w:trHeight w:val="226"/>
        </w:trPr>
        <w:tc>
          <w:tcPr>
            <w:tcW w:w="3860" w:type="dxa"/>
            <w:vAlign w:val="bottom"/>
          </w:tcPr>
          <w:p>
            <w:pPr>
              <w:ind w:left="20"/>
              <w:spacing w:after="0"/>
              <w:rPr>
                <w:sz w:val="20"/>
                <w:szCs w:val="20"/>
                <w:color w:val="auto"/>
              </w:rPr>
            </w:pPr>
            <w:r>
              <w:rPr>
                <w:rFonts w:ascii="Arial" w:cs="Arial" w:eastAsia="Arial" w:hAnsi="Arial"/>
                <w:sz w:val="16"/>
                <w:szCs w:val="16"/>
                <w:color w:val="auto"/>
              </w:rPr>
              <w:t>Provision</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18"/>
              <w:spacing w:after="0"/>
              <w:rPr>
                <w:sz w:val="20"/>
                <w:szCs w:val="20"/>
                <w:color w:val="auto"/>
              </w:rPr>
            </w:pPr>
            <w:r>
              <w:rPr>
                <w:rFonts w:ascii="Arial" w:cs="Arial" w:eastAsia="Arial" w:hAnsi="Arial"/>
                <w:sz w:val="16"/>
                <w:szCs w:val="16"/>
                <w:color w:val="auto"/>
              </w:rPr>
              <w:t>6,209</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3,843</w:t>
            </w:r>
          </w:p>
        </w:tc>
        <w:tc>
          <w:tcPr>
            <w:tcW w:w="2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10,967</w:t>
            </w: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Claims paid</w:t>
            </w:r>
          </w:p>
        </w:tc>
        <w:tc>
          <w:tcPr>
            <w:tcW w:w="1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(7,294)</w:t>
            </w: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6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19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7,634</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9,859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5"/>
                <w:szCs w:val="15"/>
                <w:color w:val="auto"/>
              </w:rPr>
              <w:t>36</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38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3" w:right="239" w:bottom="1440" w:gutter="0" w:footer="0" w:header="0"/>
        </w:sectPr>
      </w:pPr>
    </w:p>
    <w:bookmarkStart w:id="38" w:name="page39"/>
    <w:bookmarkEnd w:id="38"/>
    <w:p>
      <w:pPr>
        <w:spacing w:after="0" w:line="1" w:lineRule="exact"/>
        <w:rPr>
          <w:sz w:val="20"/>
          <w:szCs w:val="20"/>
          <w:color w:val="auto"/>
        </w:rPr>
      </w:pPr>
    </w:p>
    <w:tbl>
      <w:tblPr>
        <w:tblLayout w:type="fixed"/>
        <w:tblInd w:w="26" w:type="dxa"/>
        <w:tblCellMar>
          <w:top w:w="0" w:type="dxa"/>
          <w:left w:w="0" w:type="dxa"/>
          <w:bottom w:w="0" w:type="dxa"/>
          <w:right w:w="0" w:type="dxa"/>
        </w:tblCellMar>
      </w:tblPr>
      <w:tr>
        <w:trPr>
          <w:trHeight w:val="172"/>
        </w:trPr>
        <w:tc>
          <w:tcPr>
            <w:tcW w:w="7780" w:type="dxa"/>
            <w:vAlign w:val="bottom"/>
            <w:gridSpan w:val="2"/>
          </w:tcPr>
          <w:p>
            <w:pPr>
              <w:spacing w:after="0"/>
              <w:rPr>
                <w:rFonts w:ascii="Arial" w:cs="Arial" w:eastAsia="Arial" w:hAnsi="Arial"/>
                <w:sz w:val="15"/>
                <w:szCs w:val="15"/>
                <w:color w:val="0000FF"/>
              </w:rPr>
            </w:pPr>
            <w:hyperlink w:anchor="page1">
              <w:r>
                <w:rPr>
                  <w:rFonts w:ascii="Arial" w:cs="Arial" w:eastAsia="Arial" w:hAnsi="Arial"/>
                  <w:sz w:val="15"/>
                  <w:szCs w:val="15"/>
                  <w:color w:val="0000FF"/>
                </w:rPr>
                <w:t>Table of Contents</w:t>
              </w:r>
            </w:hyperlink>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71"/>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Note 8: Employee and Retiree Benefits</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3"/>
        </w:trPr>
        <w:tc>
          <w:tcPr>
            <w:tcW w:w="7780" w:type="dxa"/>
            <w:vAlign w:val="bottom"/>
            <w:gridSpan w:val="2"/>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1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ind w:right="398"/>
              <w:spacing w:after="0"/>
              <w:rPr>
                <w:sz w:val="20"/>
                <w:szCs w:val="20"/>
                <w:color w:val="auto"/>
              </w:rPr>
            </w:pPr>
            <w:r>
              <w:rPr>
                <w:rFonts w:ascii="Arial" w:cs="Arial" w:eastAsia="Arial" w:hAnsi="Arial"/>
                <w:sz w:val="16"/>
                <w:szCs w:val="16"/>
                <w:b w:val="1"/>
                <w:bCs w:val="1"/>
                <w:color w:val="auto"/>
              </w:rPr>
              <w:t>August 28,</w:t>
            </w:r>
          </w:p>
        </w:tc>
        <w:tc>
          <w:tcPr>
            <w:tcW w:w="320" w:type="dxa"/>
            <w:vAlign w:val="bottom"/>
          </w:tcPr>
          <w:p>
            <w:pPr>
              <w:spacing w:after="0"/>
              <w:rPr>
                <w:sz w:val="24"/>
                <w:szCs w:val="24"/>
                <w:color w:val="auto"/>
              </w:rPr>
            </w:pPr>
          </w:p>
        </w:tc>
        <w:tc>
          <w:tcPr>
            <w:tcW w:w="1520" w:type="dxa"/>
            <w:vAlign w:val="bottom"/>
          </w:tcPr>
          <w:p>
            <w:pPr>
              <w:jc w:val="right"/>
              <w:ind w:right="418"/>
              <w:spacing w:after="0"/>
              <w:rPr>
                <w:sz w:val="20"/>
                <w:szCs w:val="20"/>
                <w:color w:val="auto"/>
              </w:rPr>
            </w:pPr>
            <w:r>
              <w:rPr>
                <w:rFonts w:ascii="Arial" w:cs="Arial" w:eastAsia="Arial" w:hAnsi="Arial"/>
                <w:sz w:val="16"/>
                <w:szCs w:val="16"/>
                <w:b w:val="1"/>
                <w:bCs w:val="1"/>
                <w:color w:val="auto"/>
              </w:rPr>
              <w:t>August 29,</w:t>
            </w:r>
          </w:p>
        </w:tc>
      </w:tr>
      <w:tr>
        <w:trPr>
          <w:trHeight w:val="229"/>
        </w:trPr>
        <w:tc>
          <w:tcPr>
            <w:tcW w:w="7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2010</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2009</w:t>
            </w:r>
          </w:p>
        </w:tc>
      </w:tr>
      <w:tr>
        <w:trPr>
          <w:trHeight w:val="238"/>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Postretire ment health care benefit cost</w:t>
            </w: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40,327</w:t>
            </w:r>
          </w:p>
        </w:tc>
        <w:tc>
          <w:tcPr>
            <w:tcW w:w="3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35,312</w:t>
            </w:r>
          </w:p>
        </w:tc>
      </w:tr>
      <w:tr>
        <w:trPr>
          <w:trHeight w:val="226"/>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Non-qualified deferred compensation</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25,372</w:t>
            </w:r>
          </w:p>
        </w:tc>
        <w:tc>
          <w:tcPr>
            <w:tcW w:w="320" w:type="dxa"/>
            <w:vAlign w:val="bottom"/>
          </w:tcPr>
          <w:p>
            <w:pPr>
              <w:spacing w:after="0"/>
              <w:rPr>
                <w:sz w:val="19"/>
                <w:szCs w:val="19"/>
                <w:color w:val="auto"/>
              </w:rPr>
            </w:pP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26,092</w:t>
            </w:r>
          </w:p>
        </w:tc>
      </w:tr>
      <w:tr>
        <w:trPr>
          <w:trHeight w:val="24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share option plan liability</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8,698</w:t>
            </w:r>
          </w:p>
        </w:tc>
        <w:tc>
          <w:tcPr>
            <w:tcW w:w="3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8,444</w:t>
            </w:r>
          </w:p>
        </w:tc>
      </w:tr>
      <w:tr>
        <w:trPr>
          <w:trHeight w:val="239"/>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SERP benefit liability</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3,107</w:t>
            </w:r>
          </w:p>
        </w:tc>
        <w:tc>
          <w:tcPr>
            <w:tcW w:w="320" w:type="dxa"/>
            <w:vAlign w:val="bottom"/>
          </w:tcPr>
          <w:p>
            <w:pPr>
              <w:spacing w:after="0"/>
              <w:rPr>
                <w:sz w:val="20"/>
                <w:szCs w:val="20"/>
                <w:color w:val="auto"/>
              </w:rPr>
            </w:pP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3,259</w:t>
            </w:r>
          </w:p>
        </w:tc>
      </w:tr>
      <w:tr>
        <w:trPr>
          <w:trHeight w:val="233"/>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w:t>
            </w:r>
          </w:p>
        </w:tc>
        <w:tc>
          <w:tcPr>
            <w:tcW w:w="3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3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59</w:t>
            </w:r>
          </w:p>
        </w:tc>
      </w:tr>
      <w:tr>
        <w:trPr>
          <w:trHeight w:val="225"/>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77,578</w:t>
            </w:r>
          </w:p>
        </w:tc>
        <w:tc>
          <w:tcPr>
            <w:tcW w:w="320" w:type="dxa"/>
            <w:vAlign w:val="bottom"/>
          </w:tcPr>
          <w:p>
            <w:pPr>
              <w:spacing w:after="0"/>
              <w:rPr>
                <w:sz w:val="19"/>
                <w:szCs w:val="19"/>
                <w:color w:val="auto"/>
              </w:rPr>
            </w:pP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73,166</w:t>
            </w:r>
          </w:p>
        </w:tc>
      </w:tr>
      <w:tr>
        <w:trPr>
          <w:trHeight w:val="233"/>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3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3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w:t>
            </w:r>
          </w:p>
        </w:tc>
      </w:tr>
      <w:tr>
        <w:trPr>
          <w:trHeight w:val="231"/>
        </w:trPr>
        <w:tc>
          <w:tcPr>
            <w:tcW w:w="7780" w:type="dxa"/>
            <w:vAlign w:val="bottom"/>
            <w:gridSpan w:val="2"/>
          </w:tcPr>
          <w:p>
            <w:pPr>
              <w:ind w:left="2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73,581</w:t>
            </w:r>
          </w:p>
        </w:tc>
        <w:tc>
          <w:tcPr>
            <w:tcW w:w="3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69,169</w:t>
            </w:r>
          </w:p>
        </w:tc>
      </w:tr>
      <w:tr>
        <w:trPr>
          <w:trHeight w:val="20"/>
        </w:trPr>
        <w:tc>
          <w:tcPr>
            <w:tcW w:w="1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Postretirement Health Care Benefits</w:t>
      </w:r>
    </w:p>
    <w:p>
      <w:pPr>
        <w:spacing w:after="0" w:line="32" w:lineRule="exact"/>
        <w:rPr>
          <w:sz w:val="20"/>
          <w:szCs w:val="20"/>
          <w:color w:val="auto"/>
        </w:rPr>
      </w:pPr>
    </w:p>
    <w:p>
      <w:pPr>
        <w:ind w:left="26" w:right="40"/>
        <w:spacing w:after="0" w:line="263"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 ge 55 with 15 years of continuous service. Retirees are required to pay a monthly premium for medical coverage based on years of service and age at retirement. Our postretirement health care plan currently is not funded. We use a September 1 measurement date for this plan.</w:t>
      </w:r>
    </w:p>
    <w:p>
      <w:pPr>
        <w:spacing w:after="0" w:line="131" w:lineRule="exact"/>
        <w:rPr>
          <w:sz w:val="20"/>
          <w:szCs w:val="20"/>
          <w:color w:val="auto"/>
        </w:rPr>
      </w:pPr>
    </w:p>
    <w:tbl>
      <w:tblPr>
        <w:tblLayout w:type="fixed"/>
        <w:tblInd w:w="26" w:type="dxa"/>
        <w:tblCellMar>
          <w:top w:w="0" w:type="dxa"/>
          <w:left w:w="0" w:type="dxa"/>
          <w:bottom w:w="0" w:type="dxa"/>
          <w:right w:w="0" w:type="dxa"/>
        </w:tblCellMar>
      </w:tblPr>
      <w:tr>
        <w:trPr>
          <w:trHeight w:val="196"/>
        </w:trPr>
        <w:tc>
          <w:tcPr>
            <w:tcW w:w="7780" w:type="dxa"/>
            <w:vAlign w:val="bottom"/>
          </w:tcPr>
          <w:p>
            <w:pPr>
              <w:spacing w:after="0"/>
              <w:rPr>
                <w:sz w:val="20"/>
                <w:szCs w:val="20"/>
                <w:color w:val="auto"/>
              </w:rPr>
            </w:pPr>
            <w:r>
              <w:rPr>
                <w:rFonts w:ascii="Arial" w:cs="Arial" w:eastAsia="Arial" w:hAnsi="Arial"/>
                <w:sz w:val="16"/>
                <w:szCs w:val="16"/>
                <w:color w:val="auto"/>
              </w:rPr>
              <w:t>Changes in our postretirement health care liability are as follows: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August 28, 2010</w:t>
            </w: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August 29, 2009</w:t>
            </w:r>
          </w:p>
        </w:tc>
      </w:tr>
      <w:tr>
        <w:trPr>
          <w:trHeight w:val="23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35,312</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30,827</w:t>
            </w:r>
          </w:p>
        </w:tc>
      </w:tr>
      <w:tr>
        <w:trPr>
          <w:trHeight w:val="226"/>
        </w:trPr>
        <w:tc>
          <w:tcPr>
            <w:tcW w:w="77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1,979</w:t>
            </w:r>
          </w:p>
        </w:tc>
        <w:tc>
          <w:tcPr>
            <w:tcW w:w="2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2,119</w:t>
            </w:r>
          </w:p>
        </w:tc>
      </w:tr>
      <w:tr>
        <w:trPr>
          <w:trHeight w:val="24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r>
      <w:tr>
        <w:trPr>
          <w:trHeight w:val="226"/>
        </w:trPr>
        <w:tc>
          <w:tcPr>
            <w:tcW w:w="7780" w:type="dxa"/>
            <w:vAlign w:val="bottom"/>
          </w:tcPr>
          <w:p>
            <w:pPr>
              <w:ind w:left="20"/>
              <w:spacing w:after="0"/>
              <w:rPr>
                <w:sz w:val="20"/>
                <w:szCs w:val="20"/>
                <w:color w:val="auto"/>
              </w:rPr>
            </w:pPr>
            <w:r>
              <w:rPr>
                <w:rFonts w:ascii="Arial" w:cs="Arial" w:eastAsia="Arial" w:hAnsi="Arial"/>
                <w:sz w:val="16"/>
                <w:szCs w:val="16"/>
                <w:color w:val="auto"/>
              </w:rPr>
              <w:t>Net benefits paid</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(1,037)</w:t>
            </w:r>
          </w:p>
        </w:tc>
        <w:tc>
          <w:tcPr>
            <w:tcW w:w="24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(829)</w:t>
            </w:r>
          </w:p>
        </w:tc>
      </w:tr>
      <w:tr>
        <w:trPr>
          <w:trHeight w:val="24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loss</w:t>
            </w:r>
          </w:p>
        </w:tc>
        <w:tc>
          <w:tcPr>
            <w:tcW w:w="2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3,518</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2,605</w:t>
            </w:r>
          </w:p>
        </w:tc>
      </w:tr>
      <w:tr>
        <w:trPr>
          <w:trHeight w:val="225"/>
        </w:trPr>
        <w:tc>
          <w:tcPr>
            <w:tcW w:w="778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40,327</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35,312</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6" w:right="140"/>
        <w:spacing w:after="0" w:line="261" w:lineRule="auto"/>
        <w:rPr>
          <w:sz w:val="20"/>
          <w:szCs w:val="20"/>
          <w:color w:val="auto"/>
        </w:rPr>
      </w:pPr>
      <w:r>
        <w:rPr>
          <w:rFonts w:ascii="Arial" w:cs="Arial" w:eastAsia="Arial" w:hAnsi="Arial"/>
          <w:sz w:val="16"/>
          <w:szCs w:val="16"/>
          <w:color w:val="auto"/>
        </w:rPr>
        <w:t>The discount rate used in determining the accumulated postretirement benefit obligation was 4.8 percent at August 28, 2010 and 5.7 percent at August 29, 2009. In Fiscal 2010, the decrease in the discount rate resulted in an increase to the benefit obligation, presented as an actuarial loss in the preceding table. The average assumed health care cost trend rate used in measuring the accumulated postretirement benefit obligations as of August 28, 2010 was 8.5 percent, decreasing each successive year until it reaches 4.5 percent in 2019, after which it remains constant.</w:t>
      </w:r>
    </w:p>
    <w:p>
      <w:pPr>
        <w:spacing w:after="0" w:line="132" w:lineRule="exact"/>
        <w:rPr>
          <w:sz w:val="20"/>
          <w:szCs w:val="20"/>
          <w:color w:val="auto"/>
        </w:rPr>
      </w:pPr>
    </w:p>
    <w:p>
      <w:pPr>
        <w:ind w:left="26"/>
        <w:spacing w:after="0"/>
        <w:rPr>
          <w:sz w:val="20"/>
          <w:szCs w:val="20"/>
          <w:color w:val="auto"/>
        </w:rPr>
      </w:pPr>
      <w:r>
        <w:rPr>
          <w:rFonts w:ascii="Arial" w:cs="Arial" w:eastAsia="Arial" w:hAnsi="Arial"/>
          <w:sz w:val="16"/>
          <w:szCs w:val="16"/>
          <w:color w:val="auto"/>
        </w:rPr>
        <w:t>Net periodic postretirement benefit income for the past three fiscal years consisted of the following components:</w:t>
      </w:r>
    </w:p>
    <w:p>
      <w:pPr>
        <w:spacing w:after="0" w:line="152" w:lineRule="exact"/>
        <w:rPr>
          <w:sz w:val="20"/>
          <w:szCs w:val="20"/>
          <w:color w:val="auto"/>
        </w:rPr>
      </w:pPr>
    </w:p>
    <w:tbl>
      <w:tblPr>
        <w:tblLayout w:type="fixed"/>
        <w:tblInd w:w="26"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Year Ended</w:t>
            </w:r>
            <w:r>
              <w:rPr>
                <w:rFonts w:ascii="Arial" w:cs="Arial" w:eastAsia="Arial" w:hAnsi="Arial"/>
                <w:sz w:val="19"/>
                <w:szCs w:val="19"/>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August 28, 2010</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August 29, 2009</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August 30, 2008</w:t>
            </w:r>
          </w:p>
        </w:tc>
      </w:tr>
      <w:tr>
        <w:trPr>
          <w:trHeight w:val="244"/>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1,979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2,003</w:t>
            </w:r>
          </w:p>
        </w:tc>
      </w:tr>
      <w:tr>
        <w:trPr>
          <w:trHeight w:val="239"/>
        </w:trPr>
        <w:tc>
          <w:tcPr>
            <w:tcW w:w="59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6"/>
                <w:szCs w:val="16"/>
                <w:color w:val="auto"/>
              </w:rPr>
              <w:t>555</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590</w:t>
            </w:r>
          </w:p>
        </w:tc>
        <w:tc>
          <w:tcPr>
            <w:tcW w:w="24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6"/>
                <w:szCs w:val="16"/>
                <w:color w:val="auto"/>
              </w:rPr>
              <w:t>734</w:t>
            </w: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amortization and deferral</w:t>
            </w:r>
          </w:p>
        </w:tc>
        <w:tc>
          <w:tcPr>
            <w:tcW w:w="2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2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(3,298)</w:t>
            </w:r>
          </w:p>
        </w:tc>
      </w:tr>
      <w:tr>
        <w:trPr>
          <w:trHeight w:val="232"/>
        </w:trPr>
        <w:tc>
          <w:tcPr>
            <w:tcW w:w="5940" w:type="dxa"/>
            <w:vAlign w:val="bottom"/>
          </w:tcPr>
          <w:p>
            <w:pPr>
              <w:ind w:left="20"/>
              <w:spacing w:after="0"/>
              <w:rPr>
                <w:sz w:val="20"/>
                <w:szCs w:val="20"/>
                <w:color w:val="auto"/>
              </w:rPr>
            </w:pPr>
            <w:r>
              <w:rPr>
                <w:rFonts w:ascii="Arial" w:cs="Arial" w:eastAsia="Arial" w:hAnsi="Arial"/>
                <w:sz w:val="16"/>
                <w:szCs w:val="16"/>
                <w:color w:val="auto"/>
              </w:rPr>
              <w:t>Net periodic postretirement benefit income</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266" w:hanging="266"/>
        <w:spacing w:after="0"/>
        <w:tabs>
          <w:tab w:leader="none" w:pos="266" w:val="left"/>
        </w:tabs>
        <w:numPr>
          <w:ilvl w:val="0"/>
          <w:numId w:val="31"/>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140" w:lineRule="exact"/>
        <w:rPr>
          <w:sz w:val="20"/>
          <w:szCs w:val="20"/>
          <w:color w:val="auto"/>
        </w:rPr>
      </w:pPr>
    </w:p>
    <w:p>
      <w:pPr>
        <w:ind w:left="26"/>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39" w:lineRule="exact"/>
        <w:rPr>
          <w:sz w:val="20"/>
          <w:szCs w:val="20"/>
          <w:color w:val="auto"/>
        </w:rPr>
      </w:pPr>
    </w:p>
    <w:tbl>
      <w:tblPr>
        <w:tblLayout w:type="fixed"/>
        <w:tblInd w:w="26" w:type="dxa"/>
        <w:tblCellMar>
          <w:top w:w="0" w:type="dxa"/>
          <w:left w:w="0" w:type="dxa"/>
          <w:bottom w:w="0" w:type="dxa"/>
          <w:right w:w="0" w:type="dxa"/>
        </w:tblCellMar>
      </w:tblPr>
      <w:tr>
        <w:trPr>
          <w:trHeight w:val="22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August 28, 2010</w:t>
            </w:r>
          </w:p>
        </w:tc>
        <w:tc>
          <w:tcPr>
            <w:tcW w:w="17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August 29, 2009</w:t>
            </w:r>
          </w:p>
        </w:tc>
        <w:tc>
          <w:tcPr>
            <w:tcW w:w="0" w:type="dxa"/>
            <w:vAlign w:val="bottom"/>
          </w:tcPr>
          <w:p>
            <w:pPr>
              <w:spacing w:after="0"/>
              <w:rPr>
                <w:sz w:val="1"/>
                <w:szCs w:val="1"/>
                <w:color w:val="auto"/>
              </w:rPr>
            </w:pPr>
          </w:p>
        </w:tc>
      </w:tr>
      <w:tr>
        <w:trPr>
          <w:trHeight w:val="23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service credit</w:t>
            </w:r>
          </w:p>
        </w:tc>
        <w:tc>
          <w:tcPr>
            <w:tcW w:w="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$(22,001</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7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(26,200)</w:t>
            </w:r>
          </w:p>
        </w:tc>
        <w:tc>
          <w:tcPr>
            <w:tcW w:w="0" w:type="dxa"/>
            <w:vAlign w:val="bottom"/>
          </w:tcPr>
          <w:p>
            <w:pPr>
              <w:spacing w:after="0"/>
              <w:rPr>
                <w:sz w:val="1"/>
                <w:szCs w:val="1"/>
                <w:color w:val="auto"/>
              </w:rPr>
            </w:pPr>
          </w:p>
        </w:tc>
      </w:tr>
      <w:tr>
        <w:trPr>
          <w:trHeight w:val="183"/>
        </w:trPr>
        <w:tc>
          <w:tcPr>
            <w:tcW w:w="7560" w:type="dxa"/>
            <w:vAlign w:val="bottom"/>
            <w:vMerge w:val="restart"/>
          </w:tcPr>
          <w:p>
            <w:pPr>
              <w:ind w:left="20"/>
              <w:spacing w:after="0"/>
              <w:rPr>
                <w:sz w:val="20"/>
                <w:szCs w:val="20"/>
                <w:color w:val="auto"/>
              </w:rPr>
            </w:pPr>
            <w:r>
              <w:rPr>
                <w:rFonts w:ascii="Arial" w:cs="Arial" w:eastAsia="Arial" w:hAnsi="Arial"/>
                <w:sz w:val="16"/>
                <w:szCs w:val="16"/>
                <w:color w:val="auto"/>
              </w:rPr>
              <w:t>Net actuarial loss</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138"/>
              <w:spacing w:after="0"/>
              <w:rPr>
                <w:sz w:val="20"/>
                <w:szCs w:val="20"/>
                <w:color w:val="auto"/>
              </w:rPr>
            </w:pPr>
            <w:r>
              <w:rPr>
                <w:rFonts w:ascii="Arial" w:cs="Arial" w:eastAsia="Arial" w:hAnsi="Arial"/>
                <w:sz w:val="16"/>
                <w:szCs w:val="16"/>
                <w:color w:val="auto"/>
              </w:rPr>
              <w:t>&amp;</w:t>
            </w:r>
          </w:p>
        </w:tc>
        <w:tc>
          <w:tcPr>
            <w:tcW w:w="0" w:type="dxa"/>
            <w:vAlign w:val="bottom"/>
          </w:tcPr>
          <w:p>
            <w:pPr>
              <w:spacing w:after="0"/>
              <w:rPr>
                <w:sz w:val="1"/>
                <w:szCs w:val="1"/>
                <w:color w:val="auto"/>
              </w:rPr>
            </w:pPr>
          </w:p>
        </w:tc>
      </w:tr>
      <w:tr>
        <w:trPr>
          <w:trHeight w:val="110"/>
        </w:trPr>
        <w:tc>
          <w:tcPr>
            <w:tcW w:w="75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17,257</w:t>
            </w:r>
          </w:p>
        </w:tc>
        <w:tc>
          <w:tcPr>
            <w:tcW w:w="260" w:type="dxa"/>
            <w:vAlign w:val="bottom"/>
          </w:tcPr>
          <w:p>
            <w:pPr>
              <w:spacing w:after="0"/>
              <w:rPr>
                <w:sz w:val="9"/>
                <w:szCs w:val="9"/>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14,613nbsp;</w:t>
            </w:r>
          </w:p>
        </w:tc>
        <w:tc>
          <w:tcPr>
            <w:tcW w:w="0" w:type="dxa"/>
            <w:vAlign w:val="bottom"/>
          </w:tcPr>
          <w:p>
            <w:pPr>
              <w:spacing w:after="0"/>
              <w:rPr>
                <w:sz w:val="1"/>
                <w:szCs w:val="1"/>
                <w:color w:val="auto"/>
              </w:rPr>
            </w:pPr>
          </w:p>
        </w:tc>
      </w:tr>
      <w:tr>
        <w:trPr>
          <w:trHeight w:val="99"/>
        </w:trPr>
        <w:tc>
          <w:tcPr>
            <w:tcW w:w="756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(4,744) $</w:t>
            </w:r>
          </w:p>
        </w:tc>
        <w:tc>
          <w:tcPr>
            <w:tcW w:w="17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(11,587)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 w:right="200"/>
        <w:spacing w:after="0" w:line="231" w:lineRule="auto"/>
        <w:rPr>
          <w:sz w:val="20"/>
          <w:szCs w:val="20"/>
          <w:color w:val="auto"/>
        </w:rPr>
      </w:pPr>
      <w:r>
        <w:rPr>
          <w:rFonts w:ascii="Arial" w:cs="Arial" w:eastAsia="Arial" w:hAnsi="Arial"/>
          <w:sz w:val="16"/>
          <w:szCs w:val="16"/>
          <w:color w:val="auto"/>
        </w:rPr>
        <w:t>The estimated actuarial net loss and prior service credit that will be amortized from accumulated other comprehensive income as a reduction to net periodic benefit cost in Fiscal 2011 will be $3.1 million.</w:t>
      </w:r>
    </w:p>
    <w:p>
      <w:pPr>
        <w:spacing w:after="0" w:line="249"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46"/>
          </w:cols>
          <w:pgMar w:left="214" w:top="126" w:right="239" w:bottom="1440" w:gutter="0" w:footer="0" w:header="0"/>
        </w:sectPr>
      </w:pPr>
    </w:p>
    <w:bookmarkStart w:id="39" w:name="page40"/>
    <w:bookmarkEnd w:id="3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benefit payments for postretirement health care for the next ten years are as follows: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&lt; td colspan="3" style="vertical-align:bottom;padding-left:2px;padding-top:2px;padding-bottom:2px;border-bottom:1px solid #000000;"&gt;</w:t>
      </w:r>
    </w:p>
    <w:p>
      <w:pPr>
        <w:jc w:val="center"/>
        <w:spacing w:after="0" w:line="224" w:lineRule="auto"/>
        <w:rPr>
          <w:sz w:val="20"/>
          <w:szCs w:val="20"/>
          <w:color w:val="auto"/>
        </w:rPr>
      </w:pPr>
      <w:r>
        <w:rPr>
          <w:rFonts w:ascii="Arial" w:cs="Arial" w:eastAsia="Arial" w:hAnsi="Arial"/>
          <w:sz w:val="16"/>
          <w:szCs w:val="16"/>
          <w:b w:val="1"/>
          <w:bCs w:val="1"/>
          <w:color w:val="auto"/>
        </w:rPr>
        <w:t>Amount</w:t>
      </w:r>
    </w:p>
    <w:p>
      <w:pPr>
        <w:ind w:left="40"/>
        <w:spacing w:after="0"/>
        <w:rPr>
          <w:sz w:val="20"/>
          <w:szCs w:val="20"/>
          <w:color w:val="auto"/>
        </w:rPr>
      </w:pPr>
      <w:r>
        <w:rPr>
          <w:rFonts w:ascii="Arial" w:cs="Arial" w:eastAsia="Arial" w:hAnsi="Arial"/>
          <w:sz w:val="16"/>
          <w:szCs w:val="16"/>
          <w:b w:val="1"/>
          <w:bCs w:val="1"/>
          <w:color w:val="auto"/>
        </w:rPr>
        <w:t>(In thousands)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92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2011</w:t>
            </w:r>
          </w:p>
        </w:tc>
        <w:tc>
          <w:tcPr>
            <w:tcW w:w="560" w:type="dxa"/>
            <w:vAlign w:val="bottom"/>
            <w:tcBorders>
              <w:top w:val="single" w:sz="8" w:color="CCEEFF"/>
            </w:tcBorders>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1,262</w:t>
            </w:r>
          </w:p>
        </w:tc>
      </w:tr>
      <w:tr>
        <w:trPr>
          <w:trHeight w:val="239"/>
        </w:trPr>
        <w:tc>
          <w:tcPr>
            <w:tcW w:w="60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6"/>
                <w:szCs w:val="16"/>
                <w:color w:val="auto"/>
              </w:rPr>
              <w:t>2012</w:t>
            </w:r>
          </w:p>
        </w:tc>
        <w:tc>
          <w:tcPr>
            <w:tcW w:w="560" w:type="dxa"/>
            <w:vAlign w:val="bottom"/>
          </w:tcPr>
          <w:p>
            <w:pPr>
              <w:spacing w:after="0"/>
              <w:rPr>
                <w:sz w:val="20"/>
                <w:szCs w:val="20"/>
                <w:color w:val="auto"/>
              </w:rPr>
            </w:pP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1,476</w:t>
            </w:r>
          </w:p>
        </w:tc>
      </w:tr>
      <w:tr>
        <w:trPr>
          <w:trHeight w:val="252"/>
        </w:trPr>
        <w:tc>
          <w:tcPr>
            <w:tcW w:w="600" w:type="dxa"/>
            <w:vAlign w:val="bottom"/>
            <w:shd w:val="clear" w:color="auto" w:fill="CCEEFF"/>
          </w:tcPr>
          <w:p>
            <w:pPr>
              <w:spacing w:after="0"/>
              <w:rPr>
                <w:sz w:val="21"/>
                <w:szCs w:val="21"/>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2013</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1,648</w:t>
            </w:r>
          </w:p>
        </w:tc>
      </w:tr>
      <w:tr>
        <w:trPr>
          <w:trHeight w:val="239"/>
        </w:trPr>
        <w:tc>
          <w:tcPr>
            <w:tcW w:w="60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6"/>
                <w:szCs w:val="16"/>
                <w:color w:val="auto"/>
              </w:rPr>
              <w:t>2014</w:t>
            </w:r>
          </w:p>
        </w:tc>
        <w:tc>
          <w:tcPr>
            <w:tcW w:w="560" w:type="dxa"/>
            <w:vAlign w:val="bottom"/>
          </w:tcPr>
          <w:p>
            <w:pPr>
              <w:spacing w:after="0"/>
              <w:rPr>
                <w:sz w:val="20"/>
                <w:szCs w:val="20"/>
                <w:color w:val="auto"/>
              </w:rPr>
            </w:pP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1,824</w:t>
            </w:r>
          </w:p>
        </w:tc>
      </w:tr>
      <w:tr>
        <w:trPr>
          <w:trHeight w:val="252"/>
        </w:trPr>
        <w:tc>
          <w:tcPr>
            <w:tcW w:w="600" w:type="dxa"/>
            <w:vAlign w:val="bottom"/>
            <w:shd w:val="clear" w:color="auto" w:fill="CCEEFF"/>
          </w:tcPr>
          <w:p>
            <w:pPr>
              <w:spacing w:after="0"/>
              <w:rPr>
                <w:sz w:val="21"/>
                <w:szCs w:val="21"/>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2015</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2,005</w:t>
            </w:r>
          </w:p>
        </w:tc>
      </w:tr>
      <w:tr>
        <w:trPr>
          <w:trHeight w:val="239"/>
        </w:trPr>
        <w:tc>
          <w:tcPr>
            <w:tcW w:w="600" w:type="dxa"/>
            <w:vAlign w:val="bottom"/>
            <w:tcBorders>
              <w:bottom w:val="single" w:sz="8" w:color="CCEEFF"/>
            </w:tcBorders>
          </w:tcPr>
          <w:p>
            <w:pPr>
              <w:spacing w:after="0"/>
              <w:rPr>
                <w:sz w:val="20"/>
                <w:szCs w:val="20"/>
                <w:color w:val="auto"/>
              </w:rPr>
            </w:pPr>
          </w:p>
        </w:tc>
        <w:tc>
          <w:tcPr>
            <w:tcW w:w="9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2016 - 2020</w:t>
            </w: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12,279</w:t>
            </w:r>
          </w:p>
        </w:tc>
      </w:tr>
      <w:tr>
        <w:trPr>
          <w:trHeight w:val="231"/>
        </w:trPr>
        <w:tc>
          <w:tcPr>
            <w:tcW w:w="60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20,494</w:t>
            </w:r>
          </w:p>
        </w:tc>
      </w:tr>
      <w:tr>
        <w:trPr>
          <w:trHeight w:val="20"/>
        </w:trPr>
        <w:tc>
          <w:tcPr>
            <w:tcW w:w="6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right="460"/>
        <w:spacing w:after="0" w:line="271" w:lineRule="auto"/>
        <w:rPr>
          <w:sz w:val="20"/>
          <w:szCs w:val="20"/>
          <w:color w:val="auto"/>
        </w:rPr>
      </w:pPr>
      <w:r>
        <w:rPr>
          <w:rFonts w:ascii="Arial" w:cs="Arial" w:eastAsia="Arial" w:hAnsi="Arial"/>
          <w:sz w:val="16"/>
          <w:szCs w:val="16"/>
          <w:color w:val="auto"/>
        </w:rPr>
        <w:t>The expe cted benefits have been estimated based on the same assumptions used to measure our benefit obligation as of August 28, 2010 and include benefits attached to estimated current employees' future services.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Deferred Compensation Program (1981)</w:t>
      </w:r>
    </w:p>
    <w:p>
      <w:pPr>
        <w:spacing w:after="0" w:line="3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 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$1.9 million, $1.9 million and $1.8 million in Fiscal 2010, 2009 and 2008, respectively. Total deferred compensation liabilities were $25.4 million and $26.1 million at August 28, 2010 and August 29, 2009,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Executive Retirement Plan (SERP)</w:t>
      </w:r>
    </w:p>
    <w:p>
      <w:pPr>
        <w:spacing w:after="0" w:line="3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 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COLI by a release of all interests by the participant and assignment to us as a prerequisite to participation in the SERP and transition from the Split Dollar Program. Total SERP liabilities were $3.1 million and $3.3 million at August 28, 2010 and August 29, 2009, respectively. This program remains closed to new employee participation.</w:t>
      </w:r>
    </w:p>
    <w:p>
      <w:pPr>
        <w:spacing w:after="0" w:line="135" w:lineRule="exact"/>
        <w:rPr>
          <w:sz w:val="20"/>
          <w:szCs w:val="20"/>
          <w:color w:val="auto"/>
        </w:rPr>
      </w:pPr>
    </w:p>
    <w:p>
      <w:pPr>
        <w:ind w:right="700"/>
        <w:spacing w:after="0" w:line="271"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as investment in life insurance in the accompanying balance sheets and consist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August 28, 2010</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August 29, 2009</w:t>
            </w:r>
          </w:p>
        </w:tc>
      </w:tr>
      <w:tr>
        <w:trPr>
          <w:trHeight w:val="23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value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52,052</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49,907</w:t>
            </w:r>
          </w:p>
        </w:tc>
      </w:tr>
      <w:tr>
        <w:trPr>
          <w:trHeight w:val="226"/>
        </w:trPr>
        <w:tc>
          <w:tcPr>
            <w:tcW w:w="7780" w:type="dxa"/>
            <w:vAlign w:val="bottom"/>
          </w:tcPr>
          <w:p>
            <w:pPr>
              <w:ind w:left="20"/>
              <w:spacing w:after="0"/>
              <w:rPr>
                <w:sz w:val="20"/>
                <w:szCs w:val="20"/>
                <w:color w:val="auto"/>
              </w:rPr>
            </w:pPr>
            <w:r>
              <w:rPr>
                <w:rFonts w:ascii="Arial" w:cs="Arial" w:eastAsia="Arial" w:hAnsi="Arial"/>
                <w:sz w:val="16"/>
                <w:szCs w:val="16"/>
                <w:color w:val="auto"/>
              </w:rPr>
              <w:t>Borrowings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(28,802)</w:t>
            </w:r>
          </w:p>
        </w:tc>
        <w:tc>
          <w:tcPr>
            <w:tcW w:w="24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(27,456)</w:t>
            </w:r>
          </w:p>
        </w:tc>
      </w:tr>
      <w:tr>
        <w:trPr>
          <w:trHeight w:val="231"/>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life insurance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23,250</w:t>
            </w:r>
          </w:p>
        </w:tc>
        <w:tc>
          <w:tcPr>
            <w:tcW w:w="2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22,451</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Share Option Program (2001)</w:t>
      </w:r>
    </w:p>
    <w:p>
      <w:pPr>
        <w:spacing w:after="0" w:line="3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exchange a portion of their salary or other eligible compensation for options on selected securities, primarily equity-based mutual funds. These assets are treated as trading securities and are recorded at fair value. The Executive Plan has been closed to any additional deferrals since January 2005. Total Executive Plan assets are included in other assets in the accompanying balanc e sheets. Such assets on August 28, 2010 and August 29, 2009 were $11.0 million and $10.9 million, respectively, and the liabilities were $8.7 million and $8.4 million, respectively. The difference between the asset and liability balances represents the additional 25 percent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Deferred Compensation Plan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2006, we adopted the Winnebago Industries, Inc. Executive Deferred Compensation Plan (the "Executive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20"/>
          </w:cols>
          <w:pgMar w:left="240" w:top="106" w:right="239" w:bottom="1440" w:gutter="0" w:footer="0" w:header="0"/>
        </w:sectPr>
      </w:pPr>
    </w:p>
    <w:bookmarkStart w:id="40" w:name="page41"/>
    <w:bookmarkEnd w:id="40"/>
    <w:p>
      <w:pPr>
        <w:ind w:left="26"/>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31" w:lineRule="exact"/>
        <w:rPr>
          <w:sz w:val="20"/>
          <w:szCs w:val="20"/>
          <w:color w:val="auto"/>
        </w:rPr>
      </w:pPr>
    </w:p>
    <w:p>
      <w:pPr>
        <w:ind w:left="26" w:right="320"/>
        <w:spacing w:after="0" w:line="261" w:lineRule="auto"/>
        <w:rPr>
          <w:sz w:val="20"/>
          <w:szCs w:val="20"/>
          <w:color w:val="auto"/>
        </w:rPr>
      </w:pPr>
      <w:r>
        <w:rPr>
          <w:rFonts w:ascii="Arial" w:cs="Arial" w:eastAsia="Arial" w:hAnsi="Arial"/>
          <w:sz w:val="16"/>
          <w:szCs w:val="16"/>
          <w:color w:val="auto"/>
        </w:rPr>
        <w:t>Deferred Compensation Plan"). Under the Executive Deferred Compensation Plan, corporate officers and certain key employees may annually choose to defer up to 50 percent of their salary and up to 100 percent of their cash incentive awards. The assets are presented as other assets and the liabilities are presented as postretirement health care and deferred compensation benefits in the accompanying balance sheets. Such assets on August 28, 2010 and August 29, 2009 were $74,000 and $59,000, respectively, and liabilities were $74,000 and $59,000, respectively.</w:t>
      </w:r>
    </w:p>
    <w:p>
      <w:pPr>
        <w:spacing w:after="0" w:line="75"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Profit Sharing Plan</w:t>
      </w:r>
    </w:p>
    <w:p>
      <w:pPr>
        <w:spacing w:after="0" w:line="130" w:lineRule="exact"/>
        <w:rPr>
          <w:sz w:val="20"/>
          <w:szCs w:val="20"/>
          <w:color w:val="auto"/>
        </w:rPr>
      </w:pPr>
    </w:p>
    <w:p>
      <w:pPr>
        <w:ind w:left="26" w:right="180"/>
        <w:spacing w:after="0" w:line="271"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2010, 2009 and 2008 were $685,000, $859,000 and $2.3 million, respectively.</w:t>
      </w:r>
    </w:p>
    <w:p>
      <w:pPr>
        <w:spacing w:after="0" w:line="215"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Note 9: Contingent Liabilities and Commitments</w:t>
      </w:r>
    </w:p>
    <w:p>
      <w:pPr>
        <w:spacing w:after="0" w:line="159"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Repurchase Commitments</w:t>
      </w:r>
    </w:p>
    <w:p>
      <w:pPr>
        <w:spacing w:after="0" w:line="32" w:lineRule="exact"/>
        <w:rPr>
          <w:sz w:val="20"/>
          <w:szCs w:val="20"/>
          <w:color w:val="auto"/>
        </w:rPr>
      </w:pPr>
    </w:p>
    <w:p>
      <w:pPr>
        <w:ind w:left="26" w:right="60"/>
        <w:spacing w:after="0" w:line="263" w:lineRule="auto"/>
        <w:rPr>
          <w:sz w:val="20"/>
          <w:szCs w:val="20"/>
          <w:color w:val="auto"/>
        </w:rPr>
      </w:pPr>
      <w:r>
        <w:rPr>
          <w:rFonts w:ascii="Arial" w:cs="Arial" w:eastAsia="Arial" w:hAnsi="Arial"/>
          <w:sz w:val="16"/>
          <w:szCs w:val="16"/>
          <w:color w:val="auto"/>
        </w:rPr>
        <w:t>Generally, companies in the RV industry enter into repurchase agreements with lending institutions which have provided wholesale floorplan financ 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31" w:lineRule="exact"/>
        <w:rPr>
          <w:sz w:val="20"/>
          <w:szCs w:val="20"/>
          <w:color w:val="auto"/>
        </w:rPr>
      </w:pPr>
    </w:p>
    <w:p>
      <w:pPr>
        <w:ind w:left="26" w:right="60"/>
        <w:spacing w:after="0" w:line="26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$155.5 million and $90.6 million at August 28, 2010 and August 29, 2009, respectively.</w:t>
      </w:r>
    </w:p>
    <w:p>
      <w:pPr>
        <w:spacing w:after="0" w:line="132" w:lineRule="exact"/>
        <w:rPr>
          <w:sz w:val="20"/>
          <w:szCs w:val="20"/>
          <w:color w:val="auto"/>
        </w:rPr>
      </w:pPr>
    </w:p>
    <w:p>
      <w:pPr>
        <w:ind w:left="26" w:right="160"/>
        <w:spacing w:after="0" w:line="26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$4.5 million at August 28, 2010.</w:t>
      </w:r>
    </w:p>
    <w:p>
      <w:pPr>
        <w:spacing w:after="0" w:line="132" w:lineRule="exact"/>
        <w:rPr>
          <w:sz w:val="20"/>
          <w:szCs w:val="20"/>
          <w:color w:val="auto"/>
        </w:rPr>
      </w:pPr>
    </w:p>
    <w:p>
      <w:pPr>
        <w:ind w:left="26"/>
        <w:spacing w:after="0" w:line="259" w:lineRule="auto"/>
        <w:rPr>
          <w:sz w:val="20"/>
          <w:szCs w:val="20"/>
          <w:color w:val="auto"/>
        </w:rPr>
      </w:pPr>
      <w:r>
        <w:rPr>
          <w:rFonts w:ascii="Arial" w:cs="Arial" w:eastAsia="Arial" w:hAnsi="Arial"/>
          <w:sz w:val="16"/>
          <w:szCs w:val="16"/>
          <w:color w:val="auto"/>
        </w:rPr>
        <w:t>Our risk of loss related to these repurchase commitments is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Accrued loss on repurchases were $1.4 million as of August 28, 2010 and $1.2 million as of August 29, 2009. A summary of the activity for the fiscal years stated for repurchased units is as follows:</w:t>
      </w:r>
    </w:p>
    <w:p>
      <w:pPr>
        <w:spacing w:after="0" w:line="267" w:lineRule="exact"/>
        <w:rPr>
          <w:sz w:val="20"/>
          <w:szCs w:val="20"/>
          <w:color w:val="auto"/>
        </w:rPr>
      </w:pPr>
    </w:p>
    <w:tbl>
      <w:tblPr>
        <w:tblLayout w:type="fixed"/>
        <w:tblInd w:w="26" w:type="dxa"/>
        <w:tblCellMar>
          <w:top w:w="0" w:type="dxa"/>
          <w:left w:w="0" w:type="dxa"/>
          <w:bottom w:w="0" w:type="dxa"/>
          <w:right w:w="0" w:type="dxa"/>
        </w:tblCellMar>
      </w:tblPr>
      <w:tr>
        <w:trPr>
          <w:trHeight w:val="237"/>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Fiscal 2010</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Fiscal 2009</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Fiscal 2008</w:t>
            </w:r>
            <w:r>
              <w:rPr>
                <w:rFonts w:ascii="Arial" w:cs="Arial" w:eastAsia="Arial" w:hAnsi="Arial"/>
                <w:sz w:val="19"/>
                <w:szCs w:val="19"/>
                <w:b w:val="1"/>
                <w:bCs w:val="1"/>
                <w:color w:val="auto"/>
                <w:vertAlign w:val="superscript"/>
              </w:rPr>
              <w:t>(1)</w:t>
            </w:r>
          </w:p>
        </w:tc>
      </w:tr>
      <w:tr>
        <w:trPr>
          <w:trHeight w:val="238"/>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repurchased: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9"/>
        </w:trPr>
        <w:tc>
          <w:tcPr>
            <w:tcW w:w="6860" w:type="dxa"/>
            <w:vAlign w:val="bottom"/>
          </w:tcPr>
          <w:p>
            <w:pPr>
              <w:ind w:left="2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8"/>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136</w:t>
            </w:r>
          </w:p>
        </w:tc>
        <w:tc>
          <w:tcPr>
            <w:tcW w:w="300" w:type="dxa"/>
            <w:vAlign w:val="bottom"/>
          </w:tcPr>
          <w:p>
            <w:pPr>
              <w:spacing w:after="0"/>
              <w:rPr>
                <w:sz w:val="20"/>
                <w:szCs w:val="20"/>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36</w:t>
            </w:r>
          </w:p>
        </w:tc>
      </w:tr>
      <w:tr>
        <w:trPr>
          <w:trHeight w:val="252"/>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Dollars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12,664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3 ,021</w:t>
            </w:r>
          </w:p>
        </w:tc>
      </w:tr>
      <w:tr>
        <w:trPr>
          <w:trHeight w:val="239"/>
        </w:trPr>
        <w:tc>
          <w:tcPr>
            <w:tcW w:w="6860" w:type="dxa"/>
            <w:vAlign w:val="bottom"/>
          </w:tcPr>
          <w:p>
            <w:pPr>
              <w:ind w:left="20"/>
              <w:spacing w:after="0"/>
              <w:rPr>
                <w:sz w:val="20"/>
                <w:szCs w:val="20"/>
                <w:color w:val="auto"/>
              </w:rPr>
            </w:pPr>
            <w:r>
              <w:rPr>
                <w:rFonts w:ascii="Arial" w:cs="Arial" w:eastAsia="Arial" w:hAnsi="Arial"/>
                <w:sz w:val="16"/>
                <w:szCs w:val="16"/>
                <w:color w:val="auto"/>
              </w:rPr>
              <w:t>Inventory resold: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2"/>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142</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29</w:t>
            </w:r>
          </w:p>
        </w:tc>
      </w:tr>
      <w:tr>
        <w:trPr>
          <w:trHeight w:val="239"/>
        </w:trPr>
        <w:tc>
          <w:tcPr>
            <w:tcW w:w="6860" w:type="dxa"/>
            <w:vAlign w:val="bottom"/>
          </w:tcPr>
          <w:p>
            <w:pPr>
              <w:ind w:left="240"/>
              <w:spacing w:after="0"/>
              <w:rPr>
                <w:sz w:val="20"/>
                <w:szCs w:val="20"/>
                <w:color w:val="auto"/>
              </w:rPr>
            </w:pPr>
            <w:r>
              <w:rPr>
                <w:rFonts w:ascii="Arial" w:cs="Arial" w:eastAsia="Arial" w:hAnsi="Arial"/>
                <w:sz w:val="16"/>
                <w:szCs w:val="16"/>
                <w:color w:val="auto"/>
              </w:rPr>
              <w:t>Cash collected</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8"/>
              <w:spacing w:after="0"/>
              <w:rPr>
                <w:sz w:val="20"/>
                <w:szCs w:val="20"/>
                <w:color w:val="auto"/>
              </w:rPr>
            </w:pPr>
            <w:r>
              <w:rPr>
                <w:rFonts w:ascii="Arial" w:cs="Arial" w:eastAsia="Arial" w:hAnsi="Arial"/>
                <w:sz w:val="16"/>
                <w:szCs w:val="16"/>
                <w:color w:val="auto"/>
              </w:rPr>
              <w:t>328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11,283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2,185</w:t>
            </w:r>
          </w:p>
        </w:tc>
      </w:tr>
      <w:tr>
        <w:trPr>
          <w:trHeight w:val="252"/>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recognized</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1,984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162</w:t>
            </w:r>
          </w:p>
        </w:tc>
      </w:tr>
      <w:tr>
        <w:trPr>
          <w:trHeight w:val="232"/>
        </w:trPr>
        <w:tc>
          <w:tcPr>
            <w:tcW w:w="6860" w:type="dxa"/>
            <w:vAlign w:val="bottom"/>
          </w:tcPr>
          <w:p>
            <w:pPr>
              <w:ind w:left="20"/>
              <w:spacing w:after="0"/>
              <w:rPr>
                <w:sz w:val="20"/>
                <w:szCs w:val="20"/>
                <w:color w:val="auto"/>
              </w:rPr>
            </w:pPr>
            <w:r>
              <w:rPr>
                <w:rFonts w:ascii="Arial" w:cs="Arial" w:eastAsia="Arial" w:hAnsi="Arial"/>
                <w:sz w:val="16"/>
                <w:szCs w:val="16"/>
                <w:color w:val="auto"/>
              </w:rPr>
              <w:t>Units in ending inventory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0"/>
                <w:szCs w:val="20"/>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7</w:t>
            </w:r>
          </w:p>
        </w:tc>
      </w:tr>
    </w:tbl>
    <w:p>
      <w:pPr>
        <w:spacing w:after="0" w:line="18" w:lineRule="exact"/>
        <w:rPr>
          <w:sz w:val="20"/>
          <w:szCs w:val="20"/>
          <w:color w:val="auto"/>
        </w:rPr>
      </w:pPr>
    </w:p>
    <w:p>
      <w:pPr>
        <w:ind w:left="266" w:hanging="266"/>
        <w:spacing w:after="0"/>
        <w:tabs>
          <w:tab w:leader="none" w:pos="266" w:val="left"/>
        </w:tabs>
        <w:numPr>
          <w:ilvl w:val="0"/>
          <w:numId w:val="32"/>
        </w:numPr>
        <w:rPr>
          <w:rFonts w:ascii="Arial" w:cs="Arial" w:eastAsia="Arial" w:hAnsi="Arial"/>
          <w:sz w:val="8"/>
          <w:szCs w:val="8"/>
          <w:color w:val="auto"/>
        </w:rPr>
      </w:pPr>
      <w:r>
        <w:rPr>
          <w:rFonts w:ascii="Arial" w:cs="Arial" w:eastAsia="Arial" w:hAnsi="Arial"/>
          <w:sz w:val="13"/>
          <w:szCs w:val="13"/>
          <w:color w:val="auto"/>
        </w:rPr>
        <w:t>Fiscal 2008 contained 53 weeks; all other fiscal years contained 52 weeks.</w:t>
      </w:r>
    </w:p>
    <w:p>
      <w:pPr>
        <w:spacing w:after="0" w:line="120"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Self-Insured Product Liability</w:t>
      </w:r>
    </w:p>
    <w:p>
      <w:pPr>
        <w:spacing w:after="0" w:line="32" w:lineRule="exact"/>
        <w:rPr>
          <w:sz w:val="20"/>
          <w:szCs w:val="20"/>
          <w:color w:val="auto"/>
        </w:rPr>
      </w:pPr>
    </w:p>
    <w:p>
      <w:pPr>
        <w:ind w:left="26" w:right="20"/>
        <w:spacing w:after="0" w:line="259" w:lineRule="auto"/>
        <w:rPr>
          <w:sz w:val="20"/>
          <w:szCs w:val="20"/>
          <w:color w:val="auto"/>
        </w:rPr>
      </w:pPr>
      <w:r>
        <w:rPr>
          <w:rFonts w:ascii="Arial" w:cs="Arial" w:eastAsia="Arial" w:hAnsi="Arial"/>
          <w:sz w:val="16"/>
          <w:szCs w:val="16"/>
          <w:color w:val="auto"/>
        </w:rPr>
        <w:t>We have an insurance policy covering product liability claims, however, we self-insure for a portion of product liability claims. Self-insurance retention liability varies annually based on market conditions and for at least the last five fiscal years was at $2.5 milli on per occurrence and $6.0 million in aggregate per policy year. In the event that the annual aggregate of the self-insured retention is exhausted by payment of claims and defense expenses, a deductible of $1.0 million, excluding defense expenses, is applicable to each claim covered under this policy. Our product liability accrual is included within accrued self-insurance on our balance sheet along with other types of self-insured liabilities, such as workers' compensation and employee medical claims.</w:t>
      </w:r>
    </w:p>
    <w:p>
      <w:pPr>
        <w:spacing w:after="0" w:line="298"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46"/>
          </w:cols>
          <w:pgMar w:left="214" w:top="106" w:right="239" w:bottom="1440" w:gutter="0" w:footer="0" w:header="0"/>
        </w:sectPr>
      </w:pPr>
    </w:p>
    <w:bookmarkStart w:id="41" w:name="page42"/>
    <w:bookmarkEnd w:id="41"/>
    <w:p>
      <w:pPr>
        <w:jc w:val="center"/>
        <w:ind w:right="-25"/>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7"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Litigation</w:t>
      </w:r>
    </w:p>
    <w:p>
      <w:pPr>
        <w:spacing w:after="0" w:line="32" w:lineRule="exact"/>
        <w:rPr>
          <w:sz w:val="20"/>
          <w:szCs w:val="20"/>
          <w:color w:val="auto"/>
        </w:rPr>
      </w:pPr>
    </w:p>
    <w:p>
      <w:pPr>
        <w:ind w:left="26" w:right="120"/>
        <w:spacing w:after="0" w:line="26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12"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Lease Commitments</w:t>
      </w:r>
    </w:p>
    <w:p>
      <w:pPr>
        <w:spacing w:after="0" w:line="32" w:lineRule="exact"/>
        <w:rPr>
          <w:sz w:val="20"/>
          <w:szCs w:val="20"/>
          <w:color w:val="auto"/>
        </w:rPr>
      </w:pPr>
    </w:p>
    <w:p>
      <w:pPr>
        <w:ind w:left="26"/>
        <w:spacing w:after="0"/>
        <w:rPr>
          <w:sz w:val="20"/>
          <w:szCs w:val="20"/>
          <w:color w:val="auto"/>
        </w:rPr>
      </w:pPr>
      <w:r>
        <w:rPr>
          <w:rFonts w:ascii="Arial" w:cs="Arial" w:eastAsia="Arial" w:hAnsi="Arial"/>
          <w:sz w:val="16"/>
          <w:szCs w:val="16"/>
          <w:color w:val="auto"/>
        </w:rPr>
        <w:t>We lease certain equipment under operating leases. Lease expense was $220,000 for Fiscal 2010, $263,000 for Fiscal 2009 and $294,000 for Fiscal 2008.</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Minimum future lease commitments under noncancelable lease agreements in excess of one year as of August 28, 2010 are as follows:</w:t>
      </w:r>
    </w:p>
    <w:p>
      <w:pPr>
        <w:spacing w:after="0" w:line="139" w:lineRule="exact"/>
        <w:rPr>
          <w:sz w:val="20"/>
          <w:szCs w:val="20"/>
          <w:color w:val="auto"/>
        </w:rPr>
      </w:pPr>
    </w:p>
    <w:tbl>
      <w:tblPr>
        <w:tblLayout w:type="fixed"/>
        <w:tblInd w:w="26" w:type="dxa"/>
        <w:tblCellMar>
          <w:top w:w="0" w:type="dxa"/>
          <w:left w:w="0" w:type="dxa"/>
          <w:bottom w:w="0" w:type="dxa"/>
          <w:right w:w="0" w:type="dxa"/>
        </w:tblCellMar>
      </w:tblPr>
      <w:tr>
        <w:trPr>
          <w:trHeight w:val="223"/>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8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Amount</w:t>
            </w:r>
          </w:p>
        </w:tc>
      </w:tr>
      <w:tr>
        <w:trPr>
          <w:trHeight w:val="232"/>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w:t>
            </w:r>
          </w:p>
        </w:tc>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2011</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152</w:t>
            </w:r>
          </w:p>
        </w:tc>
      </w:tr>
      <w:tr>
        <w:trPr>
          <w:trHeight w:val="239"/>
        </w:trPr>
        <w:tc>
          <w:tcPr>
            <w:tcW w:w="1500" w:type="dxa"/>
            <w:vAlign w:val="bottom"/>
          </w:tcPr>
          <w:p>
            <w:pPr>
              <w:spacing w:after="0"/>
              <w:rPr>
                <w:sz w:val="20"/>
                <w:szCs w:val="20"/>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2012</w:t>
            </w:r>
          </w:p>
        </w:tc>
        <w:tc>
          <w:tcPr>
            <w:tcW w:w="22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126</w:t>
            </w:r>
          </w:p>
        </w:tc>
      </w:tr>
      <w:tr>
        <w:trPr>
          <w:trHeight w:val="252"/>
        </w:trPr>
        <w:tc>
          <w:tcPr>
            <w:tcW w:w="1500" w:type="dxa"/>
            <w:vAlign w:val="bottom"/>
            <w:shd w:val="clear" w:color="auto" w:fill="CCEEFF"/>
          </w:tcPr>
          <w:p>
            <w:pPr>
              <w:spacing w:after="0"/>
              <w:rPr>
                <w:sz w:val="21"/>
                <w:szCs w:val="21"/>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2013</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31</w:t>
            </w:r>
          </w:p>
        </w:tc>
      </w:tr>
      <w:tr>
        <w:trPr>
          <w:trHeight w:val="239"/>
        </w:trPr>
        <w:tc>
          <w:tcPr>
            <w:tcW w:w="1500" w:type="dxa"/>
            <w:vAlign w:val="bottom"/>
          </w:tcPr>
          <w:p>
            <w:pPr>
              <w:spacing w:after="0"/>
              <w:rPr>
                <w:sz w:val="20"/>
                <w:szCs w:val="20"/>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2014</w:t>
            </w:r>
          </w:p>
        </w:tc>
        <w:tc>
          <w:tcPr>
            <w:tcW w:w="22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30</w:t>
            </w:r>
          </w:p>
        </w:tc>
      </w:tr>
      <w:tr>
        <w:trPr>
          <w:trHeight w:val="245"/>
        </w:trPr>
        <w:tc>
          <w:tcPr>
            <w:tcW w:w="1500" w:type="dxa"/>
            <w:vAlign w:val="bottom"/>
            <w:shd w:val="clear" w:color="auto" w:fill="CCEEFF"/>
          </w:tcPr>
          <w:p>
            <w:pPr>
              <w:spacing w:after="0"/>
              <w:rPr>
                <w:sz w:val="21"/>
                <w:szCs w:val="21"/>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15</w:t>
            </w:r>
          </w:p>
        </w:tc>
      </w:tr>
      <w:tr>
        <w:trPr>
          <w:trHeight w:val="231"/>
        </w:trPr>
        <w:tc>
          <w:tcPr>
            <w:tcW w:w="1500" w:type="dxa"/>
            <w:vAlign w:val="bottom"/>
          </w:tcPr>
          <w:p>
            <w:pPr>
              <w:spacing w:after="0"/>
              <w:rPr>
                <w:sz w:val="20"/>
                <w:szCs w:val="20"/>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354</w:t>
            </w:r>
          </w:p>
        </w:tc>
      </w:tr>
      <w:tr>
        <w:trPr>
          <w:trHeight w:val="20"/>
        </w:trPr>
        <w:tc>
          <w:tcPr>
            <w:tcW w:w="150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tbl>
      <w:tblPr>
        <w:tblLayout w:type="fixed"/>
        <w:tblInd w:w="26" w:type="dxa"/>
        <w:tblCellMar>
          <w:top w:w="0" w:type="dxa"/>
          <w:left w:w="0" w:type="dxa"/>
          <w:bottom w:w="0" w:type="dxa"/>
          <w:right w:w="0" w:type="dxa"/>
        </w:tblCellMar>
      </w:tblPr>
      <w:tr>
        <w:trPr>
          <w:trHeight w:val="216"/>
        </w:trPr>
        <w:tc>
          <w:tcPr>
            <w:tcW w:w="5540" w:type="dxa"/>
            <w:vAlign w:val="bottom"/>
          </w:tcPr>
          <w:p>
            <w:pPr>
              <w:spacing w:after="0"/>
              <w:rPr>
                <w:sz w:val="20"/>
                <w:szCs w:val="20"/>
                <w:color w:val="auto"/>
              </w:rPr>
            </w:pPr>
            <w:r>
              <w:rPr>
                <w:rFonts w:ascii="Arial" w:cs="Arial" w:eastAsia="Arial" w:hAnsi="Arial"/>
                <w:sz w:val="16"/>
                <w:szCs w:val="16"/>
                <w:b w:val="1"/>
                <w:bCs w:val="1"/>
                <w:color w:val="auto"/>
              </w:rPr>
              <w:t>Note 10: Income Taxes</w:t>
            </w:r>
            <w:r>
              <w:rPr>
                <w:rFonts w:ascii="Arial" w:cs="Arial" w:eastAsia="Arial" w:hAnsi="Arial"/>
                <w:sz w:val="9"/>
                <w:szCs w:val="9"/>
                <w:color w:val="auto"/>
              </w:rPr>
              <w:t>&lt; font style="font-family:Arial;font-size:10pt;"&gt;</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8"/>
        </w:trPr>
        <w:tc>
          <w:tcPr>
            <w:tcW w:w="5540" w:type="dxa"/>
            <w:vAlign w:val="bottom"/>
          </w:tcPr>
          <w:p>
            <w:pPr>
              <w:spacing w:after="0"/>
              <w:rPr>
                <w:sz w:val="20"/>
                <w:szCs w:val="20"/>
                <w:color w:val="auto"/>
              </w:rPr>
            </w:pPr>
            <w:r>
              <w:rPr>
                <w:rFonts w:ascii="Arial" w:cs="Arial" w:eastAsia="Arial" w:hAnsi="Arial"/>
                <w:sz w:val="16"/>
                <w:szCs w:val="16"/>
                <w:color w:val="auto"/>
              </w:rPr>
              <w:t>The components of the (benefit) provision for income taxes are as follows:</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5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Year Ended</w:t>
            </w:r>
            <w:r>
              <w:rPr>
                <w:rFonts w:ascii="Arial" w:cs="Arial" w:eastAsia="Arial" w:hAnsi="Arial"/>
                <w:sz w:val="19"/>
                <w:szCs w:val="19"/>
                <w:b w:val="1"/>
                <w:bCs w:val="1"/>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1"/>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6"/>
                <w:szCs w:val="16"/>
                <w:b w:val="1"/>
                <w:bCs w:val="1"/>
                <w:color w:val="auto"/>
              </w:rPr>
              <w:t>August 28, 2010</w:t>
            </w:r>
          </w:p>
        </w:tc>
        <w:tc>
          <w:tcPr>
            <w:tcW w:w="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August 29, 2009</w:t>
            </w:r>
          </w:p>
        </w:tc>
        <w:tc>
          <w:tcPr>
            <w:tcW w:w="1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August 30, 2008</w:t>
            </w:r>
          </w:p>
        </w:tc>
      </w:tr>
      <w:tr>
        <w:trPr>
          <w:trHeight w:val="24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8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5540" w:type="dxa"/>
            <w:vAlign w:val="bottom"/>
          </w:tcPr>
          <w:p>
            <w:pPr>
              <w:ind w:left="140"/>
              <w:spacing w:after="0"/>
              <w:rPr>
                <w:sz w:val="20"/>
                <w:szCs w:val="20"/>
                <w:color w:val="auto"/>
              </w:rPr>
            </w:pPr>
            <w:r>
              <w:rPr>
                <w:rFonts w:ascii="Arial" w:cs="Arial" w:eastAsia="Arial" w:hAnsi="Arial"/>
                <w:sz w:val="16"/>
                <w:szCs w:val="16"/>
                <w:color w:val="auto"/>
              </w:rPr>
              <w:t>Federal</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(7,694)</w:t>
            </w:r>
          </w:p>
        </w:tc>
        <w:tc>
          <w:tcPr>
            <w:tcW w:w="42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738"/>
              <w:spacing w:after="0"/>
              <w:rPr>
                <w:sz w:val="20"/>
                <w:szCs w:val="20"/>
                <w:color w:val="auto"/>
              </w:rPr>
            </w:pPr>
            <w:r>
              <w:rPr>
                <w:rFonts w:ascii="Arial" w:cs="Arial" w:eastAsia="Arial" w:hAnsi="Arial"/>
                <w:sz w:val="16"/>
                <w:szCs w:val="16"/>
                <w:color w:val="auto"/>
              </w:rPr>
              <w:t>(17,882)</w:t>
            </w:r>
          </w:p>
        </w:tc>
        <w:tc>
          <w:tcPr>
            <w:tcW w:w="86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(2,132)</w:t>
            </w:r>
          </w:p>
        </w:tc>
      </w:tr>
      <w:tr>
        <w:trPr>
          <w:trHeight w:val="245"/>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8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42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6"/>
                <w:szCs w:val="16"/>
                <w:color w:val="auto"/>
              </w:rPr>
              <w:t>(1,049)</w:t>
            </w:r>
          </w:p>
        </w:tc>
        <w:tc>
          <w:tcPr>
            <w:tcW w:w="8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(4,212</w:t>
            </w: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8"/>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current benefit</w:t>
            </w: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(10,949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color w:val="auto"/>
              </w:rPr>
              <w:t>(18,931)</w:t>
            </w:r>
          </w:p>
        </w:tc>
        <w:tc>
          <w:tcPr>
            <w:tcW w:w="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(6,344)</w:t>
            </w:r>
          </w:p>
        </w:tc>
      </w:tr>
      <w:tr>
        <w:trPr>
          <w:trHeight w:val="24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8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84"/>
        </w:trPr>
        <w:tc>
          <w:tcPr>
            <w:tcW w:w="5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60" w:type="dxa"/>
            <w:vAlign w:val="bottom"/>
          </w:tcPr>
          <w:p>
            <w:pPr>
              <w:ind w:left="1180"/>
              <w:spacing w:after="0"/>
              <w:rPr>
                <w:sz w:val="20"/>
                <w:szCs w:val="20"/>
                <w:color w:val="auto"/>
              </w:rPr>
            </w:pPr>
            <w:r>
              <w:rPr>
                <w:rFonts w:ascii="Arial" w:cs="Arial" w:eastAsia="Arial" w:hAnsi="Arial"/>
                <w:sz w:val="16"/>
                <w:szCs w:val="16"/>
                <w:color w:val="auto"/>
              </w:rPr>
              <w:t>&lt; div</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Pr>
          <w:p>
            <w:pPr>
              <w:ind w:left="1180"/>
              <w:spacing w:after="0"/>
              <w:rPr>
                <w:sz w:val="20"/>
                <w:szCs w:val="20"/>
                <w:color w:val="auto"/>
              </w:rPr>
            </w:pPr>
            <w:r>
              <w:rPr>
                <w:rFonts w:ascii="Arial" w:cs="Arial" w:eastAsia="Arial" w:hAnsi="Arial"/>
                <w:sz w:val="16"/>
                <w:szCs w:val="16"/>
                <w:color w:val="auto"/>
              </w:rPr>
              <w:t>style="text-</w:t>
            </w: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540" w:type="dxa"/>
            <w:vAlign w:val="bottom"/>
          </w:tcPr>
          <w:p>
            <w:pPr>
              <w:ind w:left="140"/>
              <w:spacing w:after="0"/>
              <w:rPr>
                <w:sz w:val="20"/>
                <w:szCs w:val="20"/>
                <w:color w:val="auto"/>
              </w:rPr>
            </w:pPr>
            <w:r>
              <w:rPr>
                <w:rFonts w:ascii="Arial" w:cs="Arial" w:eastAsia="Arial" w:hAnsi="Arial"/>
                <w:sz w:val="16"/>
                <w:szCs w:val="16"/>
                <w:color w:val="auto"/>
              </w:rPr>
              <w:t>Federal</w:t>
            </w:r>
          </w:p>
        </w:tc>
        <w:tc>
          <w:tcPr>
            <w:tcW w:w="820" w:type="dxa"/>
            <w:vAlign w:val="bottom"/>
          </w:tcPr>
          <w:p>
            <w:pPr>
              <w:spacing w:after="0"/>
              <w:rPr>
                <w:sz w:val="18"/>
                <w:szCs w:val="18"/>
                <w:color w:val="auto"/>
              </w:rPr>
            </w:pPr>
          </w:p>
        </w:tc>
        <w:tc>
          <w:tcPr>
            <w:tcW w:w="860" w:type="dxa"/>
            <w:vAlign w:val="bottom"/>
          </w:tcPr>
          <w:p>
            <w:pPr>
              <w:jc w:val="right"/>
              <w:ind w:right="58"/>
              <w:spacing w:after="0"/>
              <w:rPr>
                <w:sz w:val="20"/>
                <w:szCs w:val="20"/>
                <w:color w:val="auto"/>
              </w:rPr>
            </w:pPr>
            <w:r>
              <w:rPr>
                <w:rFonts w:ascii="Arial" w:cs="Arial" w:eastAsia="Arial" w:hAnsi="Arial"/>
                <w:sz w:val="16"/>
                <w:szCs w:val="16"/>
                <w:color w:val="auto"/>
              </w:rPr>
              <w:t>1,260</w:t>
            </w:r>
          </w:p>
        </w:tc>
        <w:tc>
          <w:tcPr>
            <w:tcW w:w="4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34,559align:left;"&gt;</w:t>
            </w:r>
          </w:p>
        </w:tc>
        <w:tc>
          <w:tcPr>
            <w:tcW w:w="8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(1,630)</w:t>
            </w:r>
          </w:p>
        </w:tc>
      </w:tr>
      <w:tr>
        <w:trPr>
          <w:trHeight w:val="23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8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184</w:t>
            </w:r>
          </w:p>
        </w:tc>
        <w:tc>
          <w:tcPr>
            <w:tcW w:w="42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6"/>
                <w:szCs w:val="16"/>
                <w:color w:val="auto"/>
              </w:rPr>
              <w:t>5,075</w:t>
            </w:r>
          </w:p>
        </w:tc>
        <w:tc>
          <w:tcPr>
            <w:tcW w:w="8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(251)</w:t>
            </w:r>
          </w:p>
        </w:tc>
      </w:tr>
      <w:tr>
        <w:trPr>
          <w:trHeight w:val="238"/>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deferred provision (benefit)</w:t>
            </w:r>
          </w:p>
        </w:tc>
        <w:tc>
          <w:tcPr>
            <w:tcW w:w="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1,444</w:t>
            </w:r>
          </w:p>
        </w:tc>
        <w:tc>
          <w:tcPr>
            <w:tcW w:w="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798"/>
              <w:spacing w:after="0"/>
              <w:rPr>
                <w:sz w:val="20"/>
                <w:szCs w:val="20"/>
                <w:color w:val="auto"/>
              </w:rPr>
            </w:pPr>
            <w:r>
              <w:rPr>
                <w:rFonts w:ascii="Arial" w:cs="Arial" w:eastAsia="Arial" w:hAnsi="Arial"/>
                <w:sz w:val="16"/>
                <w:szCs w:val="16"/>
                <w:color w:val="auto"/>
              </w:rPr>
              <w:t>39,634</w:t>
            </w:r>
          </w:p>
        </w:tc>
        <w:tc>
          <w:tcPr>
            <w:tcW w:w="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(1,881)</w:t>
            </w:r>
          </w:p>
        </w:tc>
      </w:tr>
      <w:tr>
        <w:trPr>
          <w:trHeight w:val="24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(benefit) provision</w:t>
            </w: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(9,505)</w:t>
            </w:r>
          </w:p>
        </w:tc>
        <w:tc>
          <w:tcPr>
            <w:tcW w:w="4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798"/>
              <w:spacing w:after="0"/>
              <w:rPr>
                <w:sz w:val="20"/>
                <w:szCs w:val="20"/>
                <w:color w:val="auto"/>
              </w:rPr>
            </w:pPr>
            <w:r>
              <w:rPr>
                <w:rFonts w:ascii="Arial" w:cs="Arial" w:eastAsia="Arial" w:hAnsi="Arial"/>
                <w:sz w:val="16"/>
                <w:szCs w:val="16"/>
                <w:color w:val="auto"/>
              </w:rPr>
              <w:t>20,703</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(8,225)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4" w:lineRule="exact"/>
        <w:rPr>
          <w:sz w:val="20"/>
          <w:szCs w:val="20"/>
          <w:color w:val="auto"/>
        </w:rPr>
      </w:pPr>
    </w:p>
    <w:p>
      <w:pPr>
        <w:ind w:left="266" w:hanging="266"/>
        <w:spacing w:after="0"/>
        <w:tabs>
          <w:tab w:leader="none" w:pos="266" w:val="left"/>
        </w:tabs>
        <w:numPr>
          <w:ilvl w:val="0"/>
          <w:numId w:val="33"/>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120"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Current Benefit</w:t>
      </w:r>
    </w:p>
    <w:p>
      <w:pPr>
        <w:spacing w:after="0" w:line="106" w:lineRule="exact"/>
        <w:rPr>
          <w:sz w:val="20"/>
          <w:szCs w:val="20"/>
          <w:color w:val="auto"/>
        </w:rPr>
      </w:pPr>
    </w:p>
    <w:p>
      <w:pPr>
        <w:ind w:left="26"/>
        <w:spacing w:after="0" w:line="257" w:lineRule="auto"/>
        <w:rPr>
          <w:sz w:val="20"/>
          <w:szCs w:val="20"/>
          <w:color w:val="auto"/>
        </w:rPr>
      </w:pPr>
      <w:r>
        <w:rPr>
          <w:rFonts w:ascii="Arial" w:cs="Arial" w:eastAsia="Arial" w:hAnsi="Arial"/>
          <w:sz w:val="16"/>
          <w:szCs w:val="16"/>
          <w:color w:val="auto"/>
        </w:rPr>
        <w:t>Of the current federal benefit of $7.7 million for Fiscal 2010 reflected in the table above, $5.8 million relates to the carryback of our Fiscal 2009 losses and the remaining benefit relates to settlements of uncertain tax positions as a result of our federal audit. On November 6, 2009, the President of the United States signed into law the Worker, Homeownership, and Business Assistance Act of 2009, which expanded the NOL carryback period from two to five years, allowing us to carryback all Fiscal 2009 NOLs. We filed our original tax return and carryback claim in December 2009 and received our federal refund of $21.9 million during our second quarter of Fiscal 2010. During the third quarter of Fiscal 2010, we filed a superseding federal tax return and amended our original carryback request, recording an additional benefit of approximately $1.0 million. As a result, we recorded a total tax benefit of $5.8 million in Fiscal 2010 related to the portion of the 2009 NOL that was previously not able to be carried back and reduced the associated valuation allowance. The current federal benefit recorded in Fiscal 2009 was prima rily the amount of tax benefit that we were able to carryback under the then current legislation for taxable losses incurred during Fiscal 2009. The federal benefit recorded in Fiscal 2008 was primarily a result of tax planning initiatives recorded during the year.</w:t>
      </w:r>
    </w:p>
    <w:p>
      <w:pPr>
        <w:spacing w:after="0" w:line="67" w:lineRule="exact"/>
        <w:rPr>
          <w:sz w:val="20"/>
          <w:szCs w:val="20"/>
          <w:color w:val="auto"/>
        </w:rPr>
      </w:pPr>
    </w:p>
    <w:p>
      <w:pPr>
        <w:ind w:left="26" w:right="640"/>
        <w:spacing w:after="0" w:line="271" w:lineRule="auto"/>
        <w:rPr>
          <w:sz w:val="20"/>
          <w:szCs w:val="20"/>
          <w:color w:val="auto"/>
        </w:rPr>
      </w:pPr>
      <w:r>
        <w:rPr>
          <w:rFonts w:ascii="Arial" w:cs="Arial" w:eastAsia="Arial" w:hAnsi="Arial"/>
          <w:sz w:val="16"/>
          <w:szCs w:val="16"/>
          <w:color w:val="auto"/>
        </w:rPr>
        <w:t>The state benefit recorded in Fiscal 2010 and Fiscal 2009 is primarily a result of tax planning initiatives recorded during those years. The state benefit recorded during Fiscal 2008 is primarily a result of settlements of uncertain tax positions with various jurisdictions occurring during the year.</w:t>
      </w:r>
    </w:p>
    <w:p>
      <w:pPr>
        <w:spacing w:after="0" w:line="31"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Deferred Provision (Benefit)</w:t>
      </w:r>
    </w:p>
    <w:p>
      <w:pPr>
        <w:spacing w:after="0" w:line="106" w:lineRule="exact"/>
        <w:rPr>
          <w:sz w:val="20"/>
          <w:szCs w:val="20"/>
          <w:color w:val="auto"/>
        </w:rPr>
      </w:pPr>
    </w:p>
    <w:p>
      <w:pPr>
        <w:ind w:left="26" w:right="680"/>
        <w:spacing w:after="0" w:line="271" w:lineRule="auto"/>
        <w:rPr>
          <w:sz w:val="20"/>
          <w:szCs w:val="20"/>
          <w:color w:val="auto"/>
        </w:rPr>
      </w:pPr>
      <w:r>
        <w:rPr>
          <w:rFonts w:ascii="Arial" w:cs="Arial" w:eastAsia="Arial" w:hAnsi="Arial"/>
          <w:sz w:val="16"/>
          <w:szCs w:val="16"/>
          <w:color w:val="auto"/>
        </w:rPr>
        <w:t>The deferred federal tax expense recorded during Fiscal 2010 is primarily the result of tax planning initiatives and changes in the valuation allowance recorded during the year. The deferred federal tax expense reported during Fiscal</w:t>
      </w:r>
    </w:p>
    <w:p>
      <w:pPr>
        <w:spacing w:after="0" w:line="262"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46"/>
          </w:cols>
          <w:pgMar w:left="214" w:top="105" w:right="239" w:bottom="1440" w:gutter="0" w:footer="0" w:header="0"/>
        </w:sectPr>
      </w:pPr>
    </w:p>
    <w:bookmarkStart w:id="42" w:name="page43"/>
    <w:bookmarkEnd w:id="42"/>
    <w:p>
      <w:pPr>
        <w:jc w:val="center"/>
        <w:ind w:right="-25"/>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5" w:lineRule="exact"/>
        <w:rPr>
          <w:sz w:val="20"/>
          <w:szCs w:val="20"/>
          <w:color w:val="auto"/>
        </w:rPr>
      </w:pPr>
    </w:p>
    <w:p>
      <w:pPr>
        <w:ind w:left="26"/>
        <w:spacing w:after="0"/>
        <w:rPr>
          <w:sz w:val="20"/>
          <w:szCs w:val="20"/>
          <w:color w:val="auto"/>
        </w:rPr>
      </w:pPr>
      <w:r>
        <w:rPr>
          <w:rFonts w:ascii="Arial" w:cs="Arial" w:eastAsia="Arial" w:hAnsi="Arial"/>
          <w:sz w:val="16"/>
          <w:szCs w:val="16"/>
          <w:color w:val="auto"/>
        </w:rPr>
        <w:t>2009 is primarily a result of establishing a full valuation allowance on all deferre d tax assets during the year.</w:t>
      </w:r>
    </w:p>
    <w:p>
      <w:pPr>
        <w:spacing w:after="0" w:line="86" w:lineRule="exact"/>
        <w:rPr>
          <w:sz w:val="20"/>
          <w:szCs w:val="20"/>
          <w:color w:val="auto"/>
        </w:rPr>
      </w:pPr>
    </w:p>
    <w:p>
      <w:pPr>
        <w:ind w:left="26" w:right="300"/>
        <w:spacing w:after="0" w:line="271" w:lineRule="auto"/>
        <w:rPr>
          <w:sz w:val="20"/>
          <w:szCs w:val="20"/>
          <w:color w:val="auto"/>
        </w:rPr>
      </w:pPr>
      <w:r>
        <w:rPr>
          <w:rFonts w:ascii="Arial" w:cs="Arial" w:eastAsia="Arial" w:hAnsi="Arial"/>
          <w:sz w:val="16"/>
          <w:szCs w:val="16"/>
          <w:color w:val="auto"/>
        </w:rPr>
        <w:t>The deferred state tax expense reported during Fiscal 2009 is primarily a result of recording a full valuation allowance on all deferred tax assets during the year.</w:t>
      </w:r>
    </w:p>
    <w:p>
      <w:pPr>
        <w:spacing w:after="0" w:line="51" w:lineRule="exact"/>
        <w:rPr>
          <w:sz w:val="20"/>
          <w:szCs w:val="20"/>
          <w:color w:val="auto"/>
        </w:rPr>
      </w:pPr>
    </w:p>
    <w:p>
      <w:pPr>
        <w:ind w:left="26"/>
        <w:spacing w:after="0"/>
        <w:rPr>
          <w:sz w:val="20"/>
          <w:szCs w:val="20"/>
          <w:color w:val="auto"/>
        </w:rPr>
      </w:pPr>
      <w:r>
        <w:rPr>
          <w:rFonts w:ascii="Arial" w:cs="Arial" w:eastAsia="Arial" w:hAnsi="Arial"/>
          <w:sz w:val="16"/>
          <w:szCs w:val="16"/>
          <w:color w:val="auto"/>
        </w:rPr>
        <w:t>The following is a reconciliation of the U.S. statutory income tax rate to our effective tax rate:</w:t>
      </w:r>
    </w:p>
    <w:p>
      <w:pPr>
        <w:spacing w:after="0" w:line="152" w:lineRule="exact"/>
        <w:rPr>
          <w:sz w:val="20"/>
          <w:szCs w:val="20"/>
          <w:color w:val="auto"/>
        </w:rPr>
      </w:pPr>
    </w:p>
    <w:tbl>
      <w:tblPr>
        <w:tblLayout w:type="fixed"/>
        <w:tblInd w:w="26" w:type="dxa"/>
        <w:tblCellMar>
          <w:top w:w="0" w:type="dxa"/>
          <w:left w:w="0" w:type="dxa"/>
          <w:bottom w:w="0" w:type="dxa"/>
          <w:right w:w="0" w:type="dxa"/>
        </w:tblCellMar>
      </w:tblPr>
      <w:tr>
        <w:trPr>
          <w:trHeight w:val="229"/>
        </w:trPr>
        <w:tc>
          <w:tcPr>
            <w:tcW w:w="5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Year Ended</w:t>
            </w:r>
            <w:r>
              <w:rPr>
                <w:rFonts w:ascii="Arial" w:cs="Arial" w:eastAsia="Arial" w:hAnsi="Arial"/>
                <w:sz w:val="19"/>
                <w:szCs w:val="19"/>
                <w:b w:val="1"/>
                <w:bCs w:val="1"/>
                <w:color w:val="auto"/>
                <w:vertAlign w:val="superscript"/>
              </w:rPr>
              <w:t>(1)</w:t>
            </w:r>
          </w:p>
        </w:tc>
        <w:tc>
          <w:tcPr>
            <w:tcW w:w="1880" w:type="dxa"/>
            <w:vAlign w:val="bottom"/>
            <w:tcBorders>
              <w:bottom w:val="single" w:sz="8" w:color="auto"/>
            </w:tcBorders>
          </w:tcPr>
          <w:p>
            <w:pPr>
              <w:spacing w:after="0"/>
              <w:rPr>
                <w:sz w:val="19"/>
                <w:szCs w:val="19"/>
                <w:color w:val="auto"/>
              </w:rPr>
            </w:pPr>
          </w:p>
        </w:tc>
      </w:tr>
      <w:tr>
        <w:trPr>
          <w:trHeight w:val="231"/>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 percentage)</w:t>
            </w: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August 28, 2010</w:t>
            </w:r>
          </w:p>
        </w:tc>
        <w:tc>
          <w:tcPr>
            <w:tcW w:w="1780" w:type="dxa"/>
            <w:vAlign w:val="bottom"/>
            <w:tcBorders>
              <w:bottom w:val="single" w:sz="8" w:color="CCEEFF"/>
            </w:tcBorders>
          </w:tcPr>
          <w:p>
            <w:pPr>
              <w:jc w:val="right"/>
              <w:ind w:right="178"/>
              <w:spacing w:after="0"/>
              <w:rPr>
                <w:sz w:val="20"/>
                <w:szCs w:val="20"/>
                <w:color w:val="auto"/>
              </w:rPr>
            </w:pPr>
            <w:r>
              <w:rPr>
                <w:rFonts w:ascii="Arial" w:cs="Arial" w:eastAsia="Arial" w:hAnsi="Arial"/>
                <w:sz w:val="16"/>
                <w:szCs w:val="16"/>
                <w:b w:val="1"/>
                <w:bCs w:val="1"/>
                <w:color w:val="auto"/>
              </w:rPr>
              <w:t>August 29, 2009</w:t>
            </w:r>
          </w:p>
        </w:tc>
        <w:tc>
          <w:tcPr>
            <w:tcW w:w="18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August 30, 2008</w:t>
            </w:r>
          </w:p>
        </w:tc>
      </w:tr>
      <w:tr>
        <w:trPr>
          <w:trHeight w:val="207"/>
        </w:trPr>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&amp;n</w:t>
            </w:r>
          </w:p>
        </w:tc>
        <w:tc>
          <w:tcPr>
            <w:tcW w:w="17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statutory rate</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 bsp;</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9"/>
        </w:trPr>
        <w:tc>
          <w:tcPr>
            <w:tcW w:w="5540" w:type="dxa"/>
            <w:vAlign w:val="bottom"/>
          </w:tcPr>
          <w:p>
            <w:pPr>
              <w:ind w:left="20"/>
              <w:spacing w:after="0"/>
              <w:rPr>
                <w:sz w:val="20"/>
                <w:szCs w:val="20"/>
                <w:color w:val="auto"/>
              </w:rPr>
            </w:pPr>
            <w:r>
              <w:rPr>
                <w:rFonts w:ascii="Arial" w:cs="Arial" w:eastAsia="Arial" w:hAnsi="Arial"/>
                <w:sz w:val="16"/>
                <w:szCs w:val="16"/>
                <w:color w:val="auto"/>
              </w:rPr>
              <w:t>Tax-free and dividend income</w:t>
            </w:r>
          </w:p>
        </w:tc>
        <w:tc>
          <w:tcPr>
            <w:tcW w:w="2220" w:type="dxa"/>
            <w:vAlign w:val="bottom"/>
            <w:gridSpan w:val="2"/>
          </w:tcPr>
          <w:p>
            <w:pPr>
              <w:jc w:val="right"/>
              <w:ind w:right="278"/>
              <w:spacing w:after="0"/>
              <w:rPr>
                <w:sz w:val="20"/>
                <w:szCs w:val="20"/>
                <w:color w:val="auto"/>
              </w:rPr>
            </w:pPr>
            <w:r>
              <w:rPr>
                <w:rFonts w:ascii="Arial" w:cs="Arial" w:eastAsia="Arial" w:hAnsi="Arial"/>
                <w:sz w:val="16"/>
                <w:szCs w:val="16"/>
                <w:color w:val="auto"/>
              </w:rPr>
              <w:t>(136.5)%</w:t>
            </w:r>
          </w:p>
        </w:tc>
        <w:tc>
          <w:tcPr>
            <w:tcW w:w="1780" w:type="dxa"/>
            <w:vAlign w:val="bottom"/>
          </w:tcPr>
          <w:p>
            <w:pPr>
              <w:jc w:val="right"/>
              <w:spacing w:after="0"/>
              <w:rPr>
                <w:sz w:val="20"/>
                <w:szCs w:val="20"/>
                <w:color w:val="auto"/>
              </w:rPr>
            </w:pPr>
            <w:r>
              <w:rPr>
                <w:rFonts w:ascii="Arial" w:cs="Arial" w:eastAsia="Arial" w:hAnsi="Arial"/>
                <w:sz w:val="16"/>
                <w:szCs w:val="16"/>
                <w:color w:val="auto"/>
              </w:rPr>
              <w:t>(2.0)%</w:t>
            </w:r>
          </w:p>
        </w:tc>
        <w:tc>
          <w:tcPr>
            <w:tcW w:w="188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25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permanent items</w:t>
            </w:r>
          </w:p>
        </w:tc>
        <w:tc>
          <w:tcPr>
            <w:tcW w:w="2220" w:type="dxa"/>
            <w:vAlign w:val="bottom"/>
            <w:gridSpan w:val="2"/>
            <w:shd w:val="clear" w:color="auto" w:fill="CCEEFF"/>
          </w:tcPr>
          <w:p>
            <w:pPr>
              <w:jc w:val="right"/>
              <w:ind w:right="298"/>
              <w:spacing w:after="0"/>
              <w:rPr>
                <w:sz w:val="20"/>
                <w:szCs w:val="20"/>
                <w:color w:val="auto"/>
              </w:rPr>
            </w:pPr>
            <w:r>
              <w:rPr>
                <w:rFonts w:ascii="Arial" w:cs="Arial" w:eastAsia="Arial" w:hAnsi="Arial"/>
                <w:sz w:val="16"/>
                <w:szCs w:val="16"/>
                <w:color w:val="auto"/>
              </w:rPr>
              <w:t>187.2 %</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9"/>
        </w:trPr>
        <w:tc>
          <w:tcPr>
            <w:tcW w:w="554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2220" w:type="dxa"/>
            <w:vAlign w:val="bottom"/>
            <w:gridSpan w:val="2"/>
          </w:tcPr>
          <w:p>
            <w:pPr>
              <w:jc w:val="right"/>
              <w:ind w:right="298"/>
              <w:spacing w:after="0"/>
              <w:rPr>
                <w:sz w:val="20"/>
                <w:szCs w:val="20"/>
                <w:color w:val="auto"/>
              </w:rPr>
            </w:pPr>
            <w:r>
              <w:rPr>
                <w:rFonts w:ascii="Arial" w:cs="Arial" w:eastAsia="Arial" w:hAnsi="Arial"/>
                <w:sz w:val="16"/>
                <w:szCs w:val="16"/>
                <w:color w:val="auto"/>
              </w:rPr>
              <w:t>4.2 %</w:t>
            </w:r>
          </w:p>
        </w:tc>
        <w:tc>
          <w:tcPr>
            <w:tcW w:w="1780" w:type="dxa"/>
            <w:vAlign w:val="bottom"/>
          </w:tcPr>
          <w:p>
            <w:pPr>
              <w:jc w:val="right"/>
              <w:spacing w:after="0"/>
              <w:rPr>
                <w:sz w:val="20"/>
                <w:szCs w:val="20"/>
                <w:color w:val="auto"/>
              </w:rPr>
            </w:pPr>
            <w:r>
              <w:rPr>
                <w:rFonts w:ascii="Arial" w:cs="Arial" w:eastAsia="Arial" w:hAnsi="Arial"/>
                <w:sz w:val="16"/>
                <w:szCs w:val="16"/>
                <w:color w:val="auto"/>
              </w:rPr>
              <w:t>(2.5)%</w:t>
            </w:r>
          </w:p>
        </w:tc>
        <w:tc>
          <w:tcPr>
            <w:tcW w:w="188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5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20" w:type="dxa"/>
            <w:vAlign w:val="bottom"/>
          </w:tcPr>
          <w:p>
            <w:pPr>
              <w:spacing w:after="0"/>
              <w:rPr>
                <w:sz w:val="21"/>
                <w:szCs w:val="21"/>
                <w:color w:val="auto"/>
              </w:rPr>
            </w:pPr>
          </w:p>
        </w:tc>
        <w:tc>
          <w:tcPr>
            <w:tcW w:w="210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(735.3)%</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77.5 %</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39"/>
        </w:trPr>
        <w:tc>
          <w:tcPr>
            <w:tcW w:w="5540" w:type="dxa"/>
            <w:vAlign w:val="bottom"/>
          </w:tcPr>
          <w:p>
            <w:pPr>
              <w:ind w:left="20"/>
              <w:spacing w:after="0"/>
              <w:rPr>
                <w:sz w:val="20"/>
                <w:szCs w:val="20"/>
                <w:color w:val="auto"/>
              </w:rPr>
            </w:pPr>
            <w:r>
              <w:rPr>
                <w:rFonts w:ascii="Arial" w:cs="Arial" w:eastAsia="Arial" w:hAnsi="Arial"/>
                <w:sz w:val="16"/>
                <w:szCs w:val="16"/>
                <w:color w:val="auto"/>
              </w:rPr>
              <w:t>Amended state returns</w:t>
            </w:r>
          </w:p>
        </w:tc>
        <w:tc>
          <w:tcPr>
            <w:tcW w:w="2220" w:type="dxa"/>
            <w:vAlign w:val="bottom"/>
            <w:gridSpan w:val="2"/>
          </w:tcPr>
          <w:p>
            <w:pPr>
              <w:jc w:val="right"/>
              <w:ind w:right="278"/>
              <w:spacing w:after="0"/>
              <w:rPr>
                <w:sz w:val="20"/>
                <w:szCs w:val="20"/>
                <w:color w:val="auto"/>
              </w:rPr>
            </w:pPr>
            <w:r>
              <w:rPr>
                <w:rFonts w:ascii="Arial" w:cs="Arial" w:eastAsia="Arial" w:hAnsi="Arial"/>
                <w:sz w:val="16"/>
                <w:szCs w:val="16"/>
                <w:color w:val="auto"/>
              </w:rPr>
              <w:t>(193.4)%</w:t>
            </w:r>
          </w:p>
        </w:tc>
        <w:tc>
          <w:tcPr>
            <w:tcW w:w="1780" w:type="dxa"/>
            <w:vAlign w:val="bottom"/>
          </w:tcPr>
          <w:p>
            <w:pPr>
              <w:jc w:val="right"/>
              <w:spacing w:after="0"/>
              <w:rPr>
                <w:sz w:val="20"/>
                <w:szCs w:val="20"/>
                <w:color w:val="auto"/>
              </w:rPr>
            </w:pPr>
            <w:r>
              <w:rPr>
                <w:rFonts w:ascii="Arial" w:cs="Arial" w:eastAsia="Arial" w:hAnsi="Arial"/>
                <w:sz w:val="16"/>
                <w:szCs w:val="16"/>
                <w:color w:val="auto"/>
              </w:rPr>
              <w:t>— %</w:t>
            </w:r>
          </w:p>
        </w:tc>
        <w:tc>
          <w:tcPr>
            <w:tcW w:w="18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stock options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 %</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39"/>
        </w:trPr>
        <w:tc>
          <w:tcPr>
            <w:tcW w:w="5540" w:type="dxa"/>
            <w:vAlign w:val="bottom"/>
          </w:tcPr>
          <w:p>
            <w:pPr>
              <w:ind w:left="20"/>
              <w:spacing w:after="0"/>
              <w:rPr>
                <w:sz w:val="20"/>
                <w:szCs w:val="20"/>
                <w:color w:val="auto"/>
              </w:rPr>
            </w:pPr>
            <w:r>
              <w:rPr>
                <w:rFonts w:ascii="Arial" w:cs="Arial" w:eastAsia="Arial" w:hAnsi="Arial"/>
                <w:sz w:val="16"/>
                <w:szCs w:val="16"/>
                <w:color w:val="auto"/>
              </w:rPr>
              <w:t>Uncertain tax positions settlements &amp; adjustments</w:t>
            </w:r>
          </w:p>
        </w:tc>
        <w:tc>
          <w:tcPr>
            <w:tcW w:w="2220" w:type="dxa"/>
            <w:vAlign w:val="bottom"/>
            <w:gridSpan w:val="2"/>
          </w:tcPr>
          <w:p>
            <w:pPr>
              <w:jc w:val="right"/>
              <w:ind w:right="278"/>
              <w:spacing w:after="0"/>
              <w:rPr>
                <w:sz w:val="20"/>
                <w:szCs w:val="20"/>
                <w:color w:val="auto"/>
              </w:rPr>
            </w:pPr>
            <w:r>
              <w:rPr>
                <w:rFonts w:ascii="Arial" w:cs="Arial" w:eastAsia="Arial" w:hAnsi="Arial"/>
                <w:sz w:val="16"/>
                <w:szCs w:val="16"/>
                <w:color w:val="auto"/>
              </w:rPr>
              <w:t>(430.6)%</w:t>
            </w:r>
          </w:p>
        </w:tc>
        <w:tc>
          <w:tcPr>
            <w:tcW w:w="1780" w:type="dxa"/>
            <w:vAlign w:val="bottom"/>
          </w:tcPr>
          <w:p>
            <w:pPr>
              <w:jc w:val="right"/>
              <w:spacing w:after="0"/>
              <w:rPr>
                <w:sz w:val="20"/>
                <w:szCs w:val="20"/>
                <w:color w:val="auto"/>
              </w:rPr>
            </w:pPr>
            <w:r>
              <w:rPr>
                <w:rFonts w:ascii="Arial" w:cs="Arial" w:eastAsia="Arial" w:hAnsi="Arial"/>
                <w:sz w:val="16"/>
                <w:szCs w:val="16"/>
                <w:color w:val="auto"/>
              </w:rPr>
              <w:t>(0.9)%</w:t>
            </w:r>
          </w:p>
        </w:tc>
        <w:tc>
          <w:tcPr>
            <w:tcW w:w="188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25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rPr>
              <w:t>(11.6)%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24"/>
        </w:trPr>
        <w:tc>
          <w:tcPr>
            <w:tcW w:w="5540" w:type="dxa"/>
            <w:vAlign w:val="bottom"/>
          </w:tcPr>
          <w:p>
            <w:pPr>
              <w:ind w:left="20"/>
              <w:spacing w:after="0"/>
              <w:rPr>
                <w:sz w:val="20"/>
                <w:szCs w:val="20"/>
                <w:color w:val="auto"/>
              </w:rPr>
            </w:pPr>
            <w:r>
              <w:rPr>
                <w:rFonts w:ascii="Arial" w:cs="Arial" w:eastAsia="Arial" w:hAnsi="Arial"/>
                <w:sz w:val="16"/>
                <w:szCs w:val="16"/>
                <w:color w:val="auto"/>
              </w:rPr>
              <w:t>Effective tax (benefit) provision rate</w:t>
            </w:r>
          </w:p>
        </w:tc>
        <w:tc>
          <w:tcPr>
            <w:tcW w:w="2220" w:type="dxa"/>
            <w:vAlign w:val="bottom"/>
            <w:gridSpan w:val="2"/>
          </w:tcPr>
          <w:p>
            <w:pPr>
              <w:jc w:val="right"/>
              <w:ind w:right="278"/>
              <w:spacing w:after="0"/>
              <w:rPr>
                <w:sz w:val="20"/>
                <w:szCs w:val="20"/>
                <w:color w:val="auto"/>
              </w:rPr>
            </w:pPr>
            <w:r>
              <w:rPr>
                <w:rFonts w:ascii="Arial" w:cs="Arial" w:eastAsia="Arial" w:hAnsi="Arial"/>
                <w:sz w:val="16"/>
                <w:szCs w:val="16"/>
                <w:color w:val="auto"/>
              </w:rPr>
              <w:t>(1,281.0)%</w:t>
            </w:r>
          </w:p>
        </w:tc>
        <w:tc>
          <w:tcPr>
            <w:tcW w:w="1780" w:type="dxa"/>
            <w:vAlign w:val="bottom"/>
          </w:tcPr>
          <w:p>
            <w:pPr>
              <w:jc w:val="right"/>
              <w:spacing w:after="0"/>
              <w:rPr>
                <w:sz w:val="20"/>
                <w:szCs w:val="20"/>
                <w:color w:val="auto"/>
              </w:rPr>
            </w:pPr>
            <w:r>
              <w:rPr>
                <w:rFonts w:ascii="Arial" w:cs="Arial" w:eastAsia="Arial" w:hAnsi="Arial"/>
                <w:sz w:val="16"/>
                <w:szCs w:val="16"/>
                <w:color w:val="auto"/>
              </w:rPr>
              <w:t>35.6 %</w:t>
            </w:r>
          </w:p>
        </w:tc>
        <w:tc>
          <w:tcPr>
            <w:tcW w:w="1880" w:type="dxa"/>
            <w:vAlign w:val="bottom"/>
          </w:tcPr>
          <w:p>
            <w:pPr>
              <w:jc w:val="right"/>
              <w:spacing w:after="0"/>
              <w:rPr>
                <w:sz w:val="20"/>
                <w:szCs w:val="20"/>
                <w:color w:val="auto"/>
              </w:rPr>
            </w:pPr>
            <w:r>
              <w:rPr>
                <w:rFonts w:ascii="Arial" w:cs="Arial" w:eastAsia="Arial" w:hAnsi="Arial"/>
                <w:sz w:val="16"/>
                <w:szCs w:val="16"/>
                <w:color w:val="auto"/>
              </w:rPr>
              <w:t>(151.2)%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8255</wp:posOffset>
            </wp:positionV>
            <wp:extent cx="36683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68395" cy="7620"/>
                    </a:xfrm>
                    <a:prstGeom prst="rect">
                      <a:avLst/>
                    </a:prstGeom>
                    <a:noFill/>
                  </pic:spPr>
                </pic:pic>
              </a:graphicData>
            </a:graphic>
          </wp:anchor>
        </w:drawing>
        <w:drawing>
          <wp:anchor simplePos="0" relativeHeight="251657728" behindDoc="1" locked="0" layoutInCell="0" allowOverlap="1">
            <wp:simplePos x="0" y="0"/>
            <wp:positionH relativeFrom="column">
              <wp:posOffset>3606165</wp:posOffset>
            </wp:positionH>
            <wp:positionV relativeFrom="paragraph">
              <wp:posOffset>24130</wp:posOffset>
            </wp:positionV>
            <wp:extent cx="36683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68395" cy="7620"/>
                    </a:xfrm>
                    <a:prstGeom prst="rect">
                      <a:avLst/>
                    </a:prstGeom>
                    <a:noFill/>
                  </pic:spPr>
                </pic:pic>
              </a:graphicData>
            </a:graphic>
          </wp:anchor>
        </w:drawing>
      </w:r>
    </w:p>
    <w:p>
      <w:pPr>
        <w:spacing w:after="0" w:line="34" w:lineRule="exact"/>
        <w:rPr>
          <w:sz w:val="20"/>
          <w:szCs w:val="20"/>
          <w:color w:val="auto"/>
        </w:rPr>
      </w:pPr>
    </w:p>
    <w:p>
      <w:pPr>
        <w:ind w:left="266" w:hanging="266"/>
        <w:spacing w:after="0"/>
        <w:tabs>
          <w:tab w:leader="none" w:pos="266" w:val="left"/>
        </w:tabs>
        <w:numPr>
          <w:ilvl w:val="0"/>
          <w:numId w:val="34"/>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 iscal years contained 52 weeks.</w:t>
      </w:r>
    </w:p>
    <w:p>
      <w:pPr>
        <w:spacing w:after="0" w:line="336" w:lineRule="exact"/>
        <w:rPr>
          <w:sz w:val="20"/>
          <w:szCs w:val="20"/>
          <w:color w:val="auto"/>
        </w:rPr>
      </w:pPr>
    </w:p>
    <w:p>
      <w:pPr>
        <w:ind w:left="26"/>
        <w:spacing w:after="0"/>
        <w:rPr>
          <w:sz w:val="20"/>
          <w:szCs w:val="20"/>
          <w:color w:val="auto"/>
        </w:rPr>
      </w:pPr>
      <w:r>
        <w:rPr>
          <w:rFonts w:ascii="Arial" w:cs="Arial" w:eastAsia="Arial" w:hAnsi="Arial"/>
          <w:sz w:val="16"/>
          <w:szCs w:val="16"/>
          <w:color w:val="auto"/>
        </w:rPr>
        <w:t>Significant items comprising our net deferred tax assets are as follows:</w:t>
      </w:r>
    </w:p>
    <w:p>
      <w:pPr>
        <w:spacing w:after="0" w:line="123" w:lineRule="exact"/>
        <w:rPr>
          <w:sz w:val="20"/>
          <w:szCs w:val="20"/>
          <w:color w:val="auto"/>
        </w:rPr>
      </w:pPr>
    </w:p>
    <w:tbl>
      <w:tblPr>
        <w:tblLayout w:type="fixed"/>
        <w:tblInd w:w="26"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ind w:left="760"/>
              <w:spacing w:after="0"/>
              <w:rPr>
                <w:sz w:val="20"/>
                <w:szCs w:val="20"/>
                <w:color w:val="auto"/>
              </w:rPr>
            </w:pPr>
            <w:r>
              <w:rPr>
                <w:rFonts w:ascii="Arial" w:cs="Arial" w:eastAsia="Arial" w:hAnsi="Arial"/>
                <w:sz w:val="16"/>
                <w:szCs w:val="16"/>
                <w:color w:val="auto"/>
              </w:rPr>
              <w:t>&lt;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6"/>
                <w:szCs w:val="16"/>
                <w:color w:val="auto"/>
                <w:w w:val="95"/>
              </w:rPr>
              <w:t>/td&gt;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0"/>
        </w:trPr>
        <w:tc>
          <w:tcPr>
            <w:tcW w:w="4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August 28, 2010</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August 29, 2009</w:t>
            </w:r>
          </w:p>
        </w:tc>
        <w:tc>
          <w:tcPr>
            <w:tcW w:w="820" w:type="dxa"/>
            <w:vAlign w:val="bottom"/>
            <w:tcBorders>
              <w:bottom w:val="single" w:sz="8" w:color="auto"/>
            </w:tcBorders>
          </w:tcPr>
          <w:p>
            <w:pPr>
              <w:spacing w:after="0"/>
              <w:rPr>
                <w:sz w:val="20"/>
                <w:szCs w:val="20"/>
                <w:color w:val="auto"/>
              </w:rPr>
            </w:pPr>
          </w:p>
        </w:tc>
      </w:tr>
      <w:tr>
        <w:trPr>
          <w:trHeight w:val="23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Liabilities</w:t>
            </w: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w w:val="99"/>
              </w:rPr>
              <w:t>Total</w:t>
            </w:r>
          </w:p>
        </w:tc>
        <w:tc>
          <w:tcPr>
            <w:tcW w:w="820" w:type="dxa"/>
            <w:vAlign w:val="bottom"/>
            <w:tcBorders>
              <w:bottom w:val="single" w:sz="8" w:color="auto"/>
            </w:tcBorders>
          </w:tcPr>
          <w:p>
            <w:pPr>
              <w:spacing w:after="0"/>
              <w:rPr>
                <w:sz w:val="20"/>
                <w:szCs w:val="20"/>
                <w:color w:val="auto"/>
              </w:rPr>
            </w:pPr>
          </w:p>
        </w:tc>
      </w:tr>
      <w:tr>
        <w:trPr>
          <w:trHeight w:val="244"/>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5"/>
        </w:trPr>
        <w:tc>
          <w:tcPr>
            <w:tcW w:w="4160" w:type="dxa"/>
            <w:vAlign w:val="bottom"/>
          </w:tcPr>
          <w:p>
            <w:pPr>
              <w:ind w:left="140"/>
              <w:spacing w:after="0"/>
              <w:rPr>
                <w:sz w:val="20"/>
                <w:szCs w:val="20"/>
                <w:color w:val="auto"/>
              </w:rPr>
            </w:pPr>
            <w:r>
              <w:rPr>
                <w:rFonts w:ascii="Arial" w:cs="Arial" w:eastAsia="Arial" w:hAnsi="Arial"/>
                <w:sz w:val="16"/>
                <w:szCs w:val="16"/>
                <w:color w:val="auto"/>
              </w:rPr>
              <w:t>Warranty reserves</w:t>
            </w:r>
          </w:p>
        </w:tc>
        <w:tc>
          <w:tcPr>
            <w:tcW w:w="2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2,592</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2,592</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8"/>
              <w:spacing w:after="0"/>
              <w:rPr>
                <w:sz w:val="20"/>
                <w:szCs w:val="20"/>
                <w:color w:val="auto"/>
              </w:rPr>
            </w:pPr>
            <w:r>
              <w:rPr>
                <w:rFonts w:ascii="Arial" w:cs="Arial" w:eastAsia="Arial" w:hAnsi="Arial"/>
                <w:sz w:val="16"/>
                <w:szCs w:val="16"/>
                <w:color w:val="auto"/>
              </w:rPr>
              <w:t>2,393</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58"/>
              <w:spacing w:after="0"/>
              <w:rPr>
                <w:sz w:val="20"/>
                <w:szCs w:val="20"/>
                <w:color w:val="auto"/>
              </w:rPr>
            </w:pPr>
            <w:r>
              <w:rPr>
                <w:rFonts w:ascii="Arial" w:cs="Arial" w:eastAsia="Arial" w:hAnsi="Arial"/>
                <w:sz w:val="16"/>
                <w:szCs w:val="16"/>
                <w:color w:val="auto"/>
              </w:rPr>
              <w:t>—  $</w:t>
            </w: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2,393</w:t>
            </w:r>
          </w:p>
        </w:tc>
      </w:tr>
      <w:tr>
        <w:trPr>
          <w:trHeight w:val="245"/>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Self-insurance reserve</w:t>
            </w:r>
          </w:p>
        </w:tc>
        <w:tc>
          <w:tcPr>
            <w:tcW w:w="220" w:type="dxa"/>
            <w:vAlign w:val="bottom"/>
          </w:tcPr>
          <w:p>
            <w:pPr>
              <w:spacing w:after="0"/>
              <w:rPr>
                <w:sz w:val="21"/>
                <w:szCs w:val="21"/>
                <w:color w:val="auto"/>
              </w:rPr>
            </w:pPr>
          </w:p>
        </w:tc>
        <w:tc>
          <w:tcPr>
            <w:tcW w:w="900" w:type="dxa"/>
            <w:vAlign w:val="bottom"/>
            <w:tcBorders>
              <w:right w:val="single" w:sz="8" w:color="CCEEFF"/>
            </w:tcBorders>
          </w:tcPr>
          <w:p>
            <w:pPr>
              <w:jc w:val="right"/>
              <w:ind w:right="18"/>
              <w:spacing w:after="0"/>
              <w:rPr>
                <w:sz w:val="20"/>
                <w:szCs w:val="20"/>
                <w:color w:val="auto"/>
              </w:rPr>
            </w:pPr>
            <w:r>
              <w:rPr>
                <w:rFonts w:ascii="Arial" w:cs="Arial" w:eastAsia="Arial" w:hAnsi="Arial"/>
                <w:sz w:val="16"/>
                <w:szCs w:val="16"/>
                <w:color w:val="auto"/>
              </w:rPr>
              <w:t>1,657</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1,657&lt; /div&gt;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1,752</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1,752</w:t>
            </w:r>
          </w:p>
        </w:tc>
      </w:tr>
      <w:tr>
        <w:trPr>
          <w:trHeight w:val="239"/>
        </w:trPr>
        <w:tc>
          <w:tcPr>
            <w:tcW w:w="4160" w:type="dxa"/>
            <w:vAlign w:val="bottom"/>
          </w:tcPr>
          <w:p>
            <w:pPr>
              <w:ind w:left="140"/>
              <w:spacing w:after="0"/>
              <w:rPr>
                <w:sz w:val="20"/>
                <w:szCs w:val="20"/>
                <w:color w:val="auto"/>
              </w:rPr>
            </w:pPr>
            <w:r>
              <w:rPr>
                <w:rFonts w:ascii="Arial" w:cs="Arial" w:eastAsia="Arial" w:hAnsi="Arial"/>
                <w:sz w:val="16"/>
                <w:szCs w:val="16"/>
                <w:color w:val="auto"/>
              </w:rPr>
              <w:t>Accrued vacation</w:t>
            </w:r>
          </w:p>
        </w:tc>
        <w:tc>
          <w:tcPr>
            <w:tcW w:w="22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1,658</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8"/>
              <w:spacing w:after="0"/>
              <w:rPr>
                <w:sz w:val="20"/>
                <w:szCs w:val="20"/>
                <w:color w:val="auto"/>
              </w:rPr>
            </w:pPr>
            <w:r>
              <w:rPr>
                <w:rFonts w:ascii="Arial" w:cs="Arial" w:eastAsia="Arial" w:hAnsi="Arial"/>
                <w:sz w:val="16"/>
                <w:szCs w:val="16"/>
                <w:color w:val="auto"/>
              </w:rPr>
              <w:t>1,842</w:t>
            </w:r>
          </w:p>
        </w:tc>
        <w:tc>
          <w:tcPr>
            <w:tcW w:w="16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1,842</w:t>
            </w:r>
          </w:p>
        </w:tc>
      </w:tr>
      <w:tr>
        <w:trPr>
          <w:trHeight w:val="245"/>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reserves</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3,816</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4,087</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2,940</w:t>
            </w:r>
          </w:p>
        </w:tc>
      </w:tr>
      <w:tr>
        <w:trPr>
          <w:trHeight w:val="20"/>
        </w:trPr>
        <w:tc>
          <w:tcPr>
            <w:tcW w:w="4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25"/>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current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9,723</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9,461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10,074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8,927</w:t>
            </w:r>
          </w:p>
        </w:tc>
      </w:tr>
      <w:tr>
        <w:trPr>
          <w:trHeight w:val="244"/>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9"/>
        </w:trPr>
        <w:tc>
          <w:tcPr>
            <w:tcW w:w="4160" w:type="dxa"/>
            <w:vAlign w:val="bottom"/>
          </w:tcPr>
          <w:p>
            <w:pPr>
              <w:ind w:left="140"/>
              <w:spacing w:after="0"/>
              <w:rPr>
                <w:sz w:val="20"/>
                <w:szCs w:val="20"/>
                <w:color w:val="auto"/>
              </w:rPr>
            </w:pPr>
            <w:r>
              <w:rPr>
                <w:rFonts w:ascii="Arial" w:cs="Arial" w:eastAsia="Arial" w:hAnsi="Arial"/>
                <w:sz w:val="16"/>
                <w:szCs w:val="16"/>
                <w:color w:val="auto"/>
              </w:rPr>
              <w:t>Deferred compensation</w:t>
            </w:r>
          </w:p>
        </w:tc>
        <w:tc>
          <w:tcPr>
            <w:tcW w:w="22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13,879</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13,879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8"/>
              <w:spacing w:after="0"/>
              <w:rPr>
                <w:sz w:val="20"/>
                <w:szCs w:val="20"/>
                <w:color w:val="auto"/>
              </w:rPr>
            </w:pPr>
            <w:r>
              <w:rPr>
                <w:rFonts w:ascii="Arial" w:cs="Arial" w:eastAsia="Arial" w:hAnsi="Arial"/>
                <w:sz w:val="16"/>
                <w:szCs w:val="16"/>
                <w:color w:val="auto"/>
              </w:rPr>
              <w:t>14,439</w:t>
            </w:r>
          </w:p>
        </w:tc>
        <w:tc>
          <w:tcPr>
            <w:tcW w:w="16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14,439</w:t>
            </w:r>
          </w:p>
        </w:tc>
      </w:tr>
      <w:tr>
        <w:trPr>
          <w:trHeight w:val="203"/>
        </w:trPr>
        <w:tc>
          <w:tcPr>
            <w:tcW w:w="4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3"/>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Postretirement health care benefits</w:t>
            </w:r>
          </w:p>
        </w:tc>
        <w:tc>
          <w:tcPr>
            <w:tcW w:w="22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14,688</w:t>
            </w:r>
          </w:p>
        </w:tc>
        <w:tc>
          <w:tcPr>
            <w:tcW w:w="1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&lt; /td&gt;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12,940</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12,940</w:t>
            </w:r>
          </w:p>
        </w:tc>
      </w:tr>
      <w:tr>
        <w:trPr>
          <w:trHeight w:val="239"/>
        </w:trPr>
        <w:tc>
          <w:tcPr>
            <w:tcW w:w="4160" w:type="dxa"/>
            <w:vAlign w:val="bottom"/>
          </w:tcPr>
          <w:p>
            <w:pPr>
              <w:ind w:left="140"/>
              <w:spacing w:after="0"/>
              <w:rPr>
                <w:sz w:val="20"/>
                <w:szCs w:val="20"/>
                <w:color w:val="auto"/>
              </w:rPr>
            </w:pPr>
            <w:r>
              <w:rPr>
                <w:rFonts w:ascii="Arial" w:cs="Arial" w:eastAsia="Arial" w:hAnsi="Arial"/>
                <w:sz w:val="16"/>
                <w:szCs w:val="16"/>
                <w:color w:val="auto"/>
              </w:rPr>
              <w:t>Unrecognized tax benefit</w:t>
            </w:r>
          </w:p>
        </w:tc>
        <w:tc>
          <w:tcPr>
            <w:tcW w:w="22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1,756</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8"/>
              <w:spacing w:after="0"/>
              <w:rPr>
                <w:sz w:val="20"/>
                <w:szCs w:val="20"/>
                <w:color w:val="auto"/>
              </w:rPr>
            </w:pPr>
            <w:r>
              <w:rPr>
                <w:rFonts w:ascii="Arial" w:cs="Arial" w:eastAsia="Arial" w:hAnsi="Arial"/>
                <w:sz w:val="16"/>
                <w:szCs w:val="16"/>
                <w:color w:val="auto"/>
              </w:rPr>
              <w:t>2,249</w:t>
            </w:r>
          </w:p>
        </w:tc>
        <w:tc>
          <w:tcPr>
            <w:tcW w:w="16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2,249</w:t>
            </w:r>
          </w:p>
        </w:tc>
      </w:tr>
      <w:tr>
        <w:trPr>
          <w:trHeight w:val="252"/>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credits and NOL carryforwards</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3,217</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8,370</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8,370</w:t>
            </w:r>
          </w:p>
        </w:tc>
      </w:tr>
      <w:tr>
        <w:trPr>
          <w:trHeight w:val="239"/>
        </w:trPr>
        <w:tc>
          <w:tcPr>
            <w:tcW w:w="416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(2,766)</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(2,766)</w:t>
            </w:r>
          </w:p>
        </w:tc>
      </w:tr>
      <w:tr>
        <w:trPr>
          <w:trHeight w:val="245"/>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1,142</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1,142</w:t>
            </w:r>
          </w:p>
        </w:tc>
      </w:tr>
      <w:tr>
        <w:trPr>
          <w:trHeight w:val="225"/>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noncurrent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34,528</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(2,160)</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32,368</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39,140</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36,374</w:t>
            </w:r>
          </w:p>
        </w:tc>
      </w:tr>
      <w:tr>
        <w:trPr>
          <w:trHeight w:val="244"/>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deferred tax assets</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44,251</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(2,422)</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41,829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49,214</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45,301</w:t>
            </w:r>
          </w:p>
        </w:tc>
      </w:tr>
      <w:tr>
        <w:trPr>
          <w:trHeight w:val="23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2,422</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(41,829)</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(49,214)</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3,913</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(45,301)</w:t>
            </w:r>
          </w:p>
        </w:tc>
      </w:tr>
      <w:tr>
        <w:trPr>
          <w:trHeight w:val="244"/>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6"/>
        <w:spacing w:after="0"/>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purposes and the amounts used for income tax purposes. At August 28, 2010, our deferred tax assets included $1.8 million of unused tax credits, of which</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$365,000 can be carried forward 20 years and $1.4 million will expire in Fiscal 2014. In addition, at August 28, 2010, our deferred tax assets also included</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$1.5 million of NOL carryforwards, $115,000 of which is Federal NOLs that can be carried forward 20 years, and state NOLs in the amount of $1.3 million that</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will begin to expire in Fiscal 2013, if not otherwise used by us. A valuation allowance of $(41.8) million has been recognized to offset the related deferred tax</w:t>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color w:val="auto"/>
        </w:rPr>
        <w:t>assets due to the uncertainty of realizing the deferred tax assets.</w:t>
      </w:r>
    </w:p>
    <w:p>
      <w:pPr>
        <w:spacing w:after="0" w:line="139"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Unrecognized Tax Benefits</w:t>
      </w:r>
    </w:p>
    <w:p>
      <w:pPr>
        <w:spacing w:after="0" w:line="32" w:lineRule="exact"/>
        <w:rPr>
          <w:sz w:val="20"/>
          <w:szCs w:val="20"/>
          <w:color w:val="auto"/>
        </w:rPr>
      </w:pPr>
    </w:p>
    <w:p>
      <w:pPr>
        <w:ind w:left="26" w:right="100"/>
        <w:spacing w:after="0" w:line="261" w:lineRule="auto"/>
        <w:rPr>
          <w:sz w:val="20"/>
          <w:szCs w:val="20"/>
          <w:color w:val="auto"/>
        </w:rPr>
      </w:pPr>
      <w:r>
        <w:rPr>
          <w:rFonts w:ascii="Arial" w:cs="Arial" w:eastAsia="Arial" w:hAnsi="Arial"/>
          <w:sz w:val="16"/>
          <w:szCs w:val="16"/>
          <w:color w:val="auto"/>
        </w:rPr>
        <w:t xml:space="preserve">At the beginning of Fiscal 2008, we adopted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prescribes criteria for the financial statement recognition and measurement of tax positions taken or expected to be taken in a tax return, among other items. In addition, ASC 740 provides guidance on classification of tax liabilities, interest and penalties, accounting interim periods, disclosure and transition with respect to the application of the new accounting standard. As a result of this adoption, we recognized a cumulative effect adjustment of $8.5 million as a reduction to the balance of retained earnings,</w:t>
      </w:r>
    </w:p>
    <w:p>
      <w:pPr>
        <w:sectPr>
          <w:pgSz w:w="11900" w:h="16838" w:orient="portrait"/>
          <w:cols w:equalWidth="0" w:num="1">
            <w:col w:w="11446"/>
          </w:cols>
          <w:pgMar w:left="214" w:top="153" w:right="239" w:bottom="1440" w:gutter="0" w:footer="0" w:header="0"/>
        </w:sectPr>
      </w:pPr>
    </w:p>
    <w:p>
      <w:pPr>
        <w:spacing w:after="0" w:line="343" w:lineRule="exact"/>
        <w:rPr>
          <w:sz w:val="20"/>
          <w:szCs w:val="20"/>
          <w:color w:val="auto"/>
        </w:rPr>
      </w:pPr>
    </w:p>
    <w:p>
      <w:pPr>
        <w:jc w:val="center"/>
        <w:ind w:right="-45"/>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46"/>
          </w:cols>
          <w:pgMar w:left="214" w:top="153" w:right="239" w:bottom="1440" w:gutter="0" w:footer="0" w:header="0"/>
          <w:type w:val="continuous"/>
        </w:sectPr>
      </w:pPr>
    </w:p>
    <w:bookmarkStart w:id="43" w:name="page44"/>
    <w:bookmarkEnd w:id="43"/>
    <w:p>
      <w:pPr>
        <w:jc w:val="center"/>
        <w:ind w:right="-25"/>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5" w:lineRule="exact"/>
        <w:rPr>
          <w:sz w:val="20"/>
          <w:szCs w:val="20"/>
          <w:color w:val="auto"/>
        </w:rPr>
      </w:pPr>
    </w:p>
    <w:p>
      <w:pPr>
        <w:jc w:val="both"/>
        <w:ind w:left="26" w:right="300"/>
        <w:spacing w:after="0" w:line="263" w:lineRule="auto"/>
        <w:rPr>
          <w:sz w:val="20"/>
          <w:szCs w:val="20"/>
          <w:color w:val="auto"/>
        </w:rPr>
      </w:pPr>
      <w:r>
        <w:rPr>
          <w:rFonts w:ascii="Arial" w:cs="Arial" w:eastAsia="Arial" w:hAnsi="Arial"/>
          <w:sz w:val="16"/>
          <w:szCs w:val="16"/>
          <w:color w:val="auto"/>
        </w:rPr>
        <w:t>an increase of $7.1 million in deferred tax assets, and an increase of $15.6 million in tax liabilities. The amount of unrecognized tax benefits totaled $21.8 million, of which $8.3 million was accrued for interest and penalties. It is our policy to recognize interest and penalties accrued relative to unrecognized tax benefits into tax expense.</w:t>
      </w:r>
    </w:p>
    <w:p>
      <w:pPr>
        <w:spacing w:after="0" w:line="131" w:lineRule="exact"/>
        <w:rPr>
          <w:sz w:val="20"/>
          <w:szCs w:val="20"/>
          <w:color w:val="auto"/>
        </w:rPr>
      </w:pPr>
    </w:p>
    <w:tbl>
      <w:tblPr>
        <w:tblLayout w:type="fixed"/>
        <w:tblInd w:w="26" w:type="dxa"/>
        <w:tblCellMar>
          <w:top w:w="0" w:type="dxa"/>
          <w:left w:w="0" w:type="dxa"/>
          <w:bottom w:w="0" w:type="dxa"/>
          <w:right w:w="0" w:type="dxa"/>
        </w:tblCellMar>
      </w:tblPr>
      <w:tr>
        <w:trPr>
          <w:trHeight w:val="196"/>
        </w:trPr>
        <w:tc>
          <w:tcPr>
            <w:tcW w:w="6760" w:type="dxa"/>
            <w:vAlign w:val="bottom"/>
          </w:tcPr>
          <w:p>
            <w:pPr>
              <w:spacing w:after="0"/>
              <w:rPr>
                <w:sz w:val="20"/>
                <w:szCs w:val="20"/>
                <w:color w:val="auto"/>
              </w:rPr>
            </w:pPr>
            <w:r>
              <w:rPr>
                <w:rFonts w:ascii="Arial" w:cs="Arial" w:eastAsia="Arial" w:hAnsi="Arial"/>
                <w:sz w:val="16"/>
                <w:szCs w:val="16"/>
                <w:color w:val="auto"/>
              </w:rPr>
              <w:t>Changes in the unrecognized tax benefits are as follows: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5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gridSpan w:val="2"/>
          </w:tcPr>
          <w:p>
            <w:pPr>
              <w:jc w:val="right"/>
              <w:ind w:right="215"/>
              <w:spacing w:after="0"/>
              <w:rPr>
                <w:sz w:val="20"/>
                <w:szCs w:val="20"/>
                <w:color w:val="auto"/>
              </w:rPr>
            </w:pPr>
            <w:r>
              <w:rPr>
                <w:rFonts w:ascii="Arial" w:cs="Arial" w:eastAsia="Arial" w:hAnsi="Arial"/>
                <w:sz w:val="16"/>
                <w:szCs w:val="16"/>
                <w:b w:val="1"/>
                <w:bCs w:val="1"/>
                <w:color w:val="auto"/>
              </w:rPr>
              <w:t>Fiscal 2010</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Fiscal 2009</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Fiscal 2008</w:t>
            </w:r>
          </w:p>
        </w:tc>
        <w:tc>
          <w:tcPr>
            <w:tcW w:w="280" w:type="dxa"/>
            <w:vAlign w:val="bottom"/>
            <w:tcBorders>
              <w:bottom w:val="single" w:sz="8" w:color="auto"/>
            </w:tcBorders>
          </w:tcPr>
          <w:p>
            <w:pPr>
              <w:spacing w:after="0"/>
              <w:rPr>
                <w:sz w:val="24"/>
                <w:szCs w:val="24"/>
                <w:color w:val="auto"/>
              </w:rPr>
            </w:pPr>
          </w:p>
        </w:tc>
      </w:tr>
      <w:tr>
        <w:trPr>
          <w:trHeight w:val="244"/>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 beginning balance</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(9,469)</w:t>
            </w:r>
          </w:p>
        </w:tc>
        <w:tc>
          <w:tcPr>
            <w:tcW w:w="4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(21,807)</w:t>
            </w:r>
          </w:p>
        </w:tc>
        <w:tc>
          <w:tcPr>
            <w:tcW w:w="280" w:type="dxa"/>
            <w:vAlign w:val="bottom"/>
            <w:shd w:val="clear" w:color="auto" w:fill="CCEEFF"/>
          </w:tcPr>
          <w:p>
            <w:pPr>
              <w:spacing w:after="0"/>
              <w:rPr>
                <w:sz w:val="21"/>
                <w:szCs w:val="21"/>
                <w:color w:val="auto"/>
              </w:rPr>
            </w:pPr>
          </w:p>
        </w:tc>
      </w:tr>
      <w:tr>
        <w:trPr>
          <w:trHeight w:val="245"/>
        </w:trPr>
        <w:tc>
          <w:tcPr>
            <w:tcW w:w="6760" w:type="dxa"/>
            <w:vAlign w:val="bottom"/>
          </w:tcPr>
          <w:p>
            <w:pPr>
              <w:ind w:left="20"/>
              <w:spacing w:after="0"/>
              <w:rPr>
                <w:sz w:val="20"/>
                <w:szCs w:val="20"/>
                <w:color w:val="auto"/>
              </w:rPr>
            </w:pPr>
            <w:r>
              <w:rPr>
                <w:rFonts w:ascii="Arial" w:cs="Arial" w:eastAsia="Arial" w:hAnsi="Arial"/>
                <w:sz w:val="16"/>
                <w:szCs w:val="16"/>
                <w:color w:val="auto"/>
              </w:rPr>
              <w:t>Gross increases - tax positions in a prior period</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8"/>
              <w:spacing w:after="0"/>
              <w:rPr>
                <w:sz w:val="20"/>
                <w:szCs w:val="20"/>
                <w:color w:val="auto"/>
              </w:rPr>
            </w:pPr>
            <w:r>
              <w:rPr>
                <w:rFonts w:ascii="Arial" w:cs="Arial" w:eastAsia="Arial" w:hAnsi="Arial"/>
                <w:sz w:val="16"/>
                <w:szCs w:val="16"/>
                <w:color w:val="auto"/>
              </w:rPr>
              <w:t>(57)</w:t>
            </w:r>
          </w:p>
        </w:tc>
        <w:tc>
          <w:tcPr>
            <w:tcW w:w="400" w:type="dxa"/>
            <w:vAlign w:val="bottom"/>
          </w:tcPr>
          <w:p>
            <w:pPr>
              <w:spacing w:after="0"/>
              <w:rPr>
                <w:sz w:val="21"/>
                <w:szCs w:val="21"/>
                <w:color w:val="auto"/>
              </w:rPr>
            </w:pPr>
          </w:p>
        </w:tc>
        <w:tc>
          <w:tcPr>
            <w:tcW w:w="1180" w:type="dxa"/>
            <w:vAlign w:val="bottom"/>
          </w:tcPr>
          <w:p>
            <w:pPr>
              <w:jc w:val="right"/>
              <w:ind w:right="278"/>
              <w:spacing w:after="0"/>
              <w:rPr>
                <w:sz w:val="20"/>
                <w:szCs w:val="20"/>
                <w:color w:val="auto"/>
              </w:rPr>
            </w:pPr>
            <w:r>
              <w:rPr>
                <w:rFonts w:ascii="Arial" w:cs="Arial" w:eastAsia="Arial" w:hAnsi="Arial"/>
                <w:sz w:val="16"/>
                <w:szCs w:val="16"/>
                <w:color w:val="auto"/>
              </w:rPr>
              <w:t>(979)</w:t>
            </w:r>
          </w:p>
        </w:tc>
        <w:tc>
          <w:tcPr>
            <w:tcW w:w="280" w:type="dxa"/>
            <w:vAlign w:val="bottom"/>
          </w:tcPr>
          <w:p>
            <w:pPr>
              <w:spacing w:after="0"/>
              <w:rPr>
                <w:sz w:val="21"/>
                <w:szCs w:val="21"/>
                <w:color w:val="auto"/>
              </w:rPr>
            </w:pPr>
          </w:p>
        </w:tc>
      </w:tr>
      <w:tr>
        <w:trPr>
          <w:trHeight w:val="245"/>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decreases - tax positions in a prior period</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2,900</w:t>
            </w:r>
          </w:p>
        </w:tc>
        <w:tc>
          <w:tcPr>
            <w:tcW w:w="340" w:type="dxa"/>
            <w:vAlign w:val="bottom"/>
            <w:shd w:val="clear" w:color="auto" w:fill="CCEEFF"/>
          </w:tcPr>
          <w:p>
            <w:pPr>
              <w:jc w:val="right"/>
              <w:ind w:right="115"/>
              <w:spacing w:after="0"/>
              <w:rPr>
                <w:sz w:val="20"/>
                <w:szCs w:val="20"/>
                <w:color w:val="auto"/>
              </w:rPr>
            </w:pPr>
            <w:r>
              <w:rPr>
                <w:rFonts w:ascii="Arial" w:cs="Arial" w:eastAsia="Arial" w:hAnsi="Arial"/>
                <w:sz w:val="10"/>
                <w:szCs w:val="10"/>
                <w:color w:val="auto"/>
              </w:rPr>
              <w:t>(1)</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677</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7,218</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r>
      <w:tr>
        <w:trPr>
          <w:trHeight w:val="239"/>
        </w:trPr>
        <w:tc>
          <w:tcPr>
            <w:tcW w:w="6760" w:type="dxa"/>
            <w:vAlign w:val="bottom"/>
          </w:tcPr>
          <w:p>
            <w:pPr>
              <w:ind w:left="20"/>
              <w:spacing w:after="0"/>
              <w:rPr>
                <w:sz w:val="20"/>
                <w:szCs w:val="20"/>
                <w:color w:val="auto"/>
              </w:rPr>
            </w:pPr>
            <w:r>
              <w:rPr>
                <w:rFonts w:ascii="Arial" w:cs="Arial" w:eastAsia="Arial" w:hAnsi="Arial"/>
                <w:sz w:val="16"/>
                <w:szCs w:val="16"/>
                <w:color w:val="auto"/>
              </w:rPr>
              <w:t>Gross increases - current period tax positions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78"/>
              <w:spacing w:after="0"/>
              <w:rPr>
                <w:sz w:val="20"/>
                <w:szCs w:val="20"/>
                <w:color w:val="auto"/>
              </w:rPr>
            </w:pPr>
            <w:r>
              <w:rPr>
                <w:rFonts w:ascii="Arial" w:cs="Arial" w:eastAsia="Arial" w:hAnsi="Arial"/>
                <w:sz w:val="16"/>
                <w:szCs w:val="16"/>
                <w:color w:val="auto"/>
              </w:rPr>
              <w:t>(163)</w:t>
            </w:r>
          </w:p>
        </w:tc>
        <w:tc>
          <w:tcPr>
            <w:tcW w:w="400" w:type="dxa"/>
            <w:vAlign w:val="bottom"/>
          </w:tcPr>
          <w:p>
            <w:pPr>
              <w:spacing w:after="0"/>
              <w:rPr>
                <w:sz w:val="20"/>
                <w:szCs w:val="20"/>
                <w:color w:val="auto"/>
              </w:rPr>
            </w:pPr>
          </w:p>
        </w:tc>
        <w:tc>
          <w:tcPr>
            <w:tcW w:w="1180" w:type="dxa"/>
            <w:vAlign w:val="bottom"/>
          </w:tcPr>
          <w:p>
            <w:pPr>
              <w:jc w:val="right"/>
              <w:ind w:right="278"/>
              <w:spacing w:after="0"/>
              <w:rPr>
                <w:sz w:val="20"/>
                <w:szCs w:val="20"/>
                <w:color w:val="auto"/>
              </w:rPr>
            </w:pPr>
            <w:r>
              <w:rPr>
                <w:rFonts w:ascii="Arial" w:cs="Arial" w:eastAsia="Arial" w:hAnsi="Arial"/>
                <w:sz w:val="16"/>
                <w:szCs w:val="16"/>
                <w:color w:val="auto"/>
              </w:rPr>
              <w:t>(1,862)</w:t>
            </w:r>
          </w:p>
        </w:tc>
        <w:tc>
          <w:tcPr>
            <w:tcW w:w="280" w:type="dxa"/>
            <w:vAlign w:val="bottom"/>
          </w:tcPr>
          <w:p>
            <w:pPr>
              <w:spacing w:after="0"/>
              <w:rPr>
                <w:sz w:val="20"/>
                <w:szCs w:val="20"/>
                <w:color w:val="auto"/>
              </w:rPr>
            </w:pPr>
          </w:p>
        </w:tc>
      </w:tr>
      <w:tr>
        <w:trPr>
          <w:trHeight w:val="245"/>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546</w:t>
            </w:r>
          </w:p>
        </w:tc>
        <w:tc>
          <w:tcPr>
            <w:tcW w:w="3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0"/>
                <w:szCs w:val="10"/>
                <w:color w:val="auto"/>
              </w:rPr>
              <w:t>(2)</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6"/>
                <w:szCs w:val="16"/>
                <w:color w:val="auto"/>
              </w:rPr>
              <w:t>7,961</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r>
      <w:tr>
        <w:trPr>
          <w:trHeight w:val="207"/>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)&lt;</w:t>
            </w:r>
          </w:p>
        </w:tc>
        <w:tc>
          <w:tcPr>
            <w:tcW w:w="280" w:type="dxa"/>
            <w:vAlign w:val="bottom"/>
          </w:tcPr>
          <w:p>
            <w:pPr>
              <w:spacing w:after="0"/>
              <w:rPr>
                <w:sz w:val="18"/>
                <w:szCs w:val="18"/>
                <w:color w:val="auto"/>
              </w:rPr>
            </w:pPr>
          </w:p>
        </w:tc>
      </w:tr>
      <w:tr>
        <w:trPr>
          <w:trHeight w:val="233"/>
        </w:trPr>
        <w:tc>
          <w:tcPr>
            <w:tcW w:w="6760" w:type="dxa"/>
            <w:vAlign w:val="bottom"/>
          </w:tcPr>
          <w:p>
            <w:pPr>
              <w:ind w:left="20"/>
              <w:spacing w:after="0"/>
              <w:rPr>
                <w:sz w:val="20"/>
                <w:szCs w:val="20"/>
                <w:color w:val="auto"/>
              </w:rPr>
            </w:pPr>
            <w:r>
              <w:rPr>
                <w:rFonts w:ascii="Arial" w:cs="Arial" w:eastAsia="Arial" w:hAnsi="Arial"/>
                <w:sz w:val="16"/>
                <w:szCs w:val="16"/>
                <w:color w:val="auto"/>
              </w:rPr>
              <w:t>Unrecognized tax benefits - ending balance</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(9,012)</w:t>
            </w:r>
          </w:p>
        </w:tc>
        <w:tc>
          <w:tcPr>
            <w:tcW w:w="4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(9,469/div&gt;</w:t>
            </w:r>
          </w:p>
        </w:tc>
        <w:tc>
          <w:tcPr>
            <w:tcW w:w="280" w:type="dxa"/>
            <w:vAlign w:val="bottom"/>
            <w:tcBorders>
              <w:bottom w:val="single" w:sz="8" w:color="auto"/>
            </w:tcBorders>
          </w:tcPr>
          <w:p>
            <w:pPr>
              <w:spacing w:after="0"/>
              <w:rPr>
                <w:sz w:val="20"/>
                <w:szCs w:val="20"/>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326" w:right="20" w:hanging="302"/>
        <w:spacing w:after="0" w:line="236" w:lineRule="auto"/>
        <w:tabs>
          <w:tab w:leader="none" w:pos="326" w:val="left"/>
        </w:tabs>
        <w:numPr>
          <w:ilvl w:val="0"/>
          <w:numId w:val="35"/>
        </w:numPr>
        <w:rPr>
          <w:rFonts w:ascii="Arial" w:cs="Arial" w:eastAsia="Arial" w:hAnsi="Arial"/>
          <w:sz w:val="10"/>
          <w:szCs w:val="10"/>
          <w:color w:val="auto"/>
        </w:rPr>
      </w:pPr>
      <w:r>
        <w:rPr>
          <w:rFonts w:ascii="Arial" w:cs="Arial" w:eastAsia="Arial" w:hAnsi="Arial"/>
          <w:sz w:val="13"/>
          <w:szCs w:val="13"/>
          <w:color w:val="auto"/>
        </w:rPr>
        <w:t>The $2.9 million decrease in unrecognized benefit reserves is primarily a reduction of reserves associated with positive settlements of uncertain tax positions related to the finalization of the IRS examination of our federal income tax returns for Fiscal 2006 through Fiscal 2008.</w:t>
      </w:r>
    </w:p>
    <w:p>
      <w:pPr>
        <w:ind w:left="326" w:hanging="302"/>
        <w:spacing w:after="0" w:line="236" w:lineRule="auto"/>
        <w:tabs>
          <w:tab w:leader="none" w:pos="326" w:val="left"/>
        </w:tabs>
        <w:numPr>
          <w:ilvl w:val="0"/>
          <w:numId w:val="35"/>
        </w:numPr>
        <w:rPr>
          <w:rFonts w:ascii="Arial" w:cs="Arial" w:eastAsia="Arial" w:hAnsi="Arial"/>
          <w:sz w:val="10"/>
          <w:szCs w:val="10"/>
          <w:color w:val="auto"/>
        </w:rPr>
      </w:pPr>
      <w:r>
        <w:rPr>
          <w:rFonts w:ascii="Arial" w:cs="Arial" w:eastAsia="Arial" w:hAnsi="Arial"/>
          <w:sz w:val="13"/>
          <w:szCs w:val="13"/>
          <w:color w:val="auto"/>
        </w:rPr>
        <w:t>The $546,000 reduction in reserves is actual cash payments as result of settlements of uncertain tax positions in various taxing jurisdictions.</w:t>
      </w:r>
    </w:p>
    <w:p>
      <w:pPr>
        <w:ind w:left="326" w:right="60" w:hanging="302"/>
        <w:spacing w:after="0" w:line="241" w:lineRule="auto"/>
        <w:tabs>
          <w:tab w:leader="none" w:pos="326" w:val="left"/>
        </w:tabs>
        <w:numPr>
          <w:ilvl w:val="0"/>
          <w:numId w:val="35"/>
        </w:numPr>
        <w:rPr>
          <w:rFonts w:ascii="Arial" w:cs="Arial" w:eastAsia="Arial" w:hAnsi="Arial"/>
          <w:sz w:val="10"/>
          <w:szCs w:val="10"/>
          <w:color w:val="auto"/>
        </w:rPr>
      </w:pPr>
      <w:r>
        <w:rPr>
          <w:rFonts w:ascii="Arial" w:cs="Arial" w:eastAsia="Arial" w:hAnsi="Arial"/>
          <w:sz w:val="13"/>
          <w:szCs w:val="13"/>
          <w:color w:val="auto"/>
        </w:rPr>
        <w:t>During Fiscal 2008, there were favorable settlements of uncertain tax positions with various taxing jurisdictions. The original unrecognized tax benefit associated with these positions was $14.6 million, of which $8.0 million was paid in cash and included in "Settlements." The $6.6 million balance of this reserve, inclusive of related deferred taxes, is included in "Gross decreases-tax positions in a prior period."</w:t>
      </w:r>
    </w:p>
    <w:p>
      <w:pPr>
        <w:spacing w:after="0" w:line="182" w:lineRule="exact"/>
        <w:rPr>
          <w:sz w:val="20"/>
          <w:szCs w:val="20"/>
          <w:color w:val="auto"/>
        </w:rPr>
      </w:pPr>
    </w:p>
    <w:p>
      <w:pPr>
        <w:ind w:left="26" w:right="200"/>
        <w:spacing w:after="0" w:line="271" w:lineRule="auto"/>
        <w:rPr>
          <w:sz w:val="20"/>
          <w:szCs w:val="20"/>
          <w:color w:val="auto"/>
        </w:rPr>
      </w:pPr>
      <w:r>
        <w:rPr>
          <w:rFonts w:ascii="Arial" w:cs="Arial" w:eastAsia="Arial" w:hAnsi="Arial"/>
          <w:sz w:val="16"/>
          <w:szCs w:val="16"/>
          <w:color w:val="auto"/>
        </w:rPr>
        <w:t>If the remaining uncertain positions are ultimately resolved, all of the $5.9 million could have a positive impact on our effective tax rate, as the deferred tax assets associated with these positions have a full valuation allowance established against them. Currently, $2.5 million is accrued for interest and penalties.</w:t>
      </w:r>
    </w:p>
    <w:p>
      <w:pPr>
        <w:spacing w:after="0" w:line="124" w:lineRule="exact"/>
        <w:rPr>
          <w:sz w:val="20"/>
          <w:szCs w:val="20"/>
          <w:color w:val="auto"/>
        </w:rPr>
      </w:pPr>
    </w:p>
    <w:p>
      <w:pPr>
        <w:ind w:left="26" w:right="100"/>
        <w:spacing w:after="0" w:line="25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income tax returns for Fiscal 2006 through Fiscal 2008 were under examination by the IRS and finalized during the third quarter of Fiscal 2010.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33" w:lineRule="exact"/>
        <w:rPr>
          <w:sz w:val="20"/>
          <w:szCs w:val="20"/>
          <w:color w:val="auto"/>
        </w:rPr>
      </w:pPr>
    </w:p>
    <w:p>
      <w:pPr>
        <w:ind w:left="206"/>
        <w:spacing w:after="0"/>
        <w:rPr>
          <w:sz w:val="20"/>
          <w:szCs w:val="20"/>
          <w:color w:val="auto"/>
        </w:rPr>
      </w:pPr>
      <w:r>
        <w:rPr>
          <w:rFonts w:ascii="Arial" w:cs="Arial" w:eastAsia="Arial" w:hAnsi="Arial"/>
          <w:sz w:val="16"/>
          <w:szCs w:val="16"/>
          <w:color w:val="auto"/>
        </w:rPr>
        <w:t>We do not believe within the next twelve months there will be a significant change in the total amount of unrecognized tax benefits as of August 28, 2010.</w:t>
      </w:r>
    </w:p>
    <w:p>
      <w:pPr>
        <w:spacing w:after="0" w:line="336" w:lineRule="exact"/>
        <w:rPr>
          <w:sz w:val="20"/>
          <w:szCs w:val="20"/>
          <w:color w:val="auto"/>
        </w:rPr>
      </w:pPr>
    </w:p>
    <w:tbl>
      <w:tblPr>
        <w:tblLayout w:type="fixed"/>
        <w:tblInd w:w="26" w:type="dxa"/>
        <w:tblCellMar>
          <w:top w:w="0" w:type="dxa"/>
          <w:left w:w="0" w:type="dxa"/>
          <w:bottom w:w="0" w:type="dxa"/>
          <w:right w:w="0" w:type="dxa"/>
        </w:tblCellMar>
      </w:tblPr>
      <w:tr>
        <w:trPr>
          <w:trHeight w:val="216"/>
        </w:trPr>
        <w:tc>
          <w:tcPr>
            <w:tcW w:w="6280" w:type="dxa"/>
            <w:vAlign w:val="bottom"/>
          </w:tcPr>
          <w:p>
            <w:pPr>
              <w:spacing w:after="0"/>
              <w:rPr>
                <w:sz w:val="20"/>
                <w:szCs w:val="20"/>
                <w:color w:val="auto"/>
              </w:rPr>
            </w:pPr>
            <w:r>
              <w:rPr>
                <w:rFonts w:ascii="Arial" w:cs="Arial" w:eastAsia="Arial" w:hAnsi="Arial"/>
                <w:sz w:val="16"/>
                <w:szCs w:val="16"/>
                <w:b w:val="1"/>
                <w:bCs w:val="1"/>
                <w:color w:val="auto"/>
              </w:rPr>
              <w:t>Note 11: Financial Income and Expense</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1"/>
        </w:trPr>
        <w:tc>
          <w:tcPr>
            <w:tcW w:w="6280" w:type="dxa"/>
            <w:vAlign w:val="bottom"/>
          </w:tcPr>
          <w:p>
            <w:pPr>
              <w:spacing w:after="0"/>
              <w:rPr>
                <w:sz w:val="20"/>
                <w:szCs w:val="20"/>
                <w:color w:val="auto"/>
              </w:rPr>
            </w:pPr>
            <w:r>
              <w:rPr>
                <w:rFonts w:ascii="Arial" w:cs="Arial" w:eastAsia="Arial" w:hAnsi="Arial"/>
                <w:sz w:val="16"/>
                <w:szCs w:val="16"/>
                <w:color w:val="auto"/>
              </w:rPr>
              <w:t>The following is a reconciliation of financial income:</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6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19"/>
                <w:szCs w:val="19"/>
                <w:b w:val="1"/>
                <w:bCs w:val="1"/>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August 28, 2010</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August 29, 2009</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August 30, 2008</w:t>
            </w:r>
          </w:p>
        </w:tc>
      </w:tr>
      <w:tr>
        <w:trPr>
          <w:trHeight w:val="23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COLI appreciation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098"/>
              <w:spacing w:after="0"/>
              <w:rPr>
                <w:sz w:val="20"/>
                <w:szCs w:val="20"/>
                <w:color w:val="auto"/>
              </w:rPr>
            </w:pPr>
            <w:r>
              <w:rPr>
                <w:rFonts w:ascii="Arial" w:cs="Arial" w:eastAsia="Arial" w:hAnsi="Arial"/>
                <w:sz w:val="16"/>
                <w:szCs w:val="16"/>
                <w:color w:val="auto"/>
                <w:w w:val="94"/>
              </w:rPr>
              <w:t>3,021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2,368</w:t>
            </w:r>
          </w:p>
        </w:tc>
      </w:tr>
      <w:tr>
        <w:trPr>
          <w:trHeight w:val="226"/>
        </w:trPr>
        <w:tc>
          <w:tcPr>
            <w:tcW w:w="6280" w:type="dxa"/>
            <w:vAlign w:val="bottom"/>
          </w:tcPr>
          <w:p>
            <w:pPr>
              <w:ind w:left="20"/>
              <w:spacing w:after="0"/>
              <w:rPr>
                <w:sz w:val="20"/>
                <w:szCs w:val="20"/>
                <w:color w:val="auto"/>
              </w:rPr>
            </w:pPr>
            <w:r>
              <w:rPr>
                <w:rFonts w:ascii="Arial" w:cs="Arial" w:eastAsia="Arial" w:hAnsi="Arial"/>
                <w:sz w:val="16"/>
                <w:szCs w:val="16"/>
                <w:color w:val="auto"/>
              </w:rPr>
              <w:t>COLI death benefits</w:t>
            </w: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80" w:type="dxa"/>
            <w:vAlign w:val="bottom"/>
          </w:tcPr>
          <w:p>
            <w:pPr>
              <w:jc w:val="right"/>
              <w:ind w:right="18"/>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91</w:t>
            </w:r>
          </w:p>
        </w:tc>
      </w:tr>
      <w:tr>
        <w:trPr>
          <w:trHeight w:val="24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COLI premiums</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(426)</w:t>
            </w:r>
          </w:p>
        </w:tc>
      </w:tr>
      <w:tr>
        <w:trPr>
          <w:trHeight w:val="22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COLI interest expense</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(1,957)</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(1,420)</w:t>
            </w:r>
          </w:p>
        </w:tc>
      </w:tr>
      <w:tr>
        <w:trPr>
          <w:trHeight w:val="225"/>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COLI</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582</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613</w:t>
            </w:r>
          </w:p>
        </w:tc>
      </w:tr>
      <w:tr>
        <w:trPr>
          <w:trHeight w:val="225"/>
        </w:trPr>
        <w:tc>
          <w:tcPr>
            <w:tcW w:w="6280" w:type="dxa"/>
            <w:vAlign w:val="bottom"/>
          </w:tcPr>
          <w:p>
            <w:pPr>
              <w:ind w:left="20"/>
              <w:spacing w:after="0"/>
              <w:rPr>
                <w:sz w:val="20"/>
                <w:szCs w:val="20"/>
                <w:color w:val="auto"/>
              </w:rPr>
            </w:pPr>
            <w:r>
              <w:rPr>
                <w:rFonts w:ascii="Arial" w:cs="Arial" w:eastAsia="Arial" w:hAnsi="Arial"/>
                <w:sz w:val="16"/>
                <w:szCs w:val="16"/>
                <w:color w:val="auto"/>
              </w:rPr>
              <w:t>Wells Fargo termination fee</w:t>
            </w: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9"/>
                <w:szCs w:val="19"/>
                <w:color w:val="auto"/>
              </w:rPr>
            </w:pPr>
          </w:p>
        </w:tc>
        <w:tc>
          <w:tcPr>
            <w:tcW w:w="15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Line of credit expenses (e.g. commitment fee, unused fee)</w:t>
            </w:r>
          </w:p>
        </w:tc>
        <w:tc>
          <w:tcPr>
            <w:tcW w:w="1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5"/>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line of credit expense</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(967)</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1,023</w:t>
            </w: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3,709</w:t>
            </w:r>
          </w:p>
        </w:tc>
      </w:tr>
      <w:tr>
        <w:trPr>
          <w:trHeight w:val="22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gain on foreign currency transactions</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w:t>
            </w:r>
          </w:p>
        </w:tc>
      </w:tr>
      <w:tr>
        <w:trPr>
          <w:trHeight w:val="232"/>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financial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4,314</w:t>
            </w:r>
          </w:p>
        </w:tc>
        <w:tc>
          <w:tcPr>
            <w:tcW w:w="100" w:type="dxa"/>
            <w:vAlign w:val="bottom"/>
            <w:tcBorders>
              <w:bottom w:val="single" w:sz="8" w:color="auto"/>
            </w:tcBorders>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266" w:hanging="266"/>
        <w:spacing w:after="0"/>
        <w:tabs>
          <w:tab w:leader="none" w:pos="266" w:val="left"/>
        </w:tabs>
        <w:numPr>
          <w:ilvl w:val="0"/>
          <w:numId w:val="36"/>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169"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Note 12: Stock-based Compensation Plans</w:t>
      </w:r>
    </w:p>
    <w:p>
      <w:pPr>
        <w:spacing w:after="0" w:line="179" w:lineRule="exact"/>
        <w:rPr>
          <w:sz w:val="20"/>
          <w:szCs w:val="20"/>
          <w:color w:val="auto"/>
        </w:rPr>
      </w:pPr>
    </w:p>
    <w:p>
      <w:pPr>
        <w:ind w:left="26" w:right="280"/>
        <w:spacing w:after="0" w:line="263" w:lineRule="auto"/>
        <w:rPr>
          <w:sz w:val="20"/>
          <w:szCs w:val="20"/>
          <w:color w:val="auto"/>
        </w:rPr>
      </w:pPr>
      <w:r>
        <w:rPr>
          <w:rFonts w:ascii="Arial" w:cs="Arial" w:eastAsia="Arial" w:hAnsi="Arial"/>
          <w:sz w:val="16"/>
          <w:szCs w:val="16"/>
          <w:color w:val="auto"/>
        </w:rPr>
        <w:t>We have a 2004 Incentive Compensation Plan approved by shareholders (as amended, the "Plan") in place which allows us to grant or issue non-qualified stock options, incentive stock options, share awards and other equity compensation to key employees and to non-employee directors. No more than 4.0 million shares of common stock may be issued under</w:t>
      </w:r>
    </w:p>
    <w:p>
      <w:pPr>
        <w:spacing w:after="0" w:line="342"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46"/>
          </w:cols>
          <w:pgMar w:left="214" w:top="154" w:right="239" w:bottom="1440" w:gutter="0" w:footer="0" w:header="0"/>
        </w:sectPr>
      </w:pPr>
    </w:p>
    <w:bookmarkStart w:id="44" w:name="page45"/>
    <w:bookmarkEnd w:id="44"/>
    <w:p>
      <w:pPr>
        <w:jc w:val="center"/>
        <w:ind w:right="-19"/>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5"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the Plan and no more than 2.0 million of those shares may be used for awards other than stock options or stock appreciation rights. Shares subject to awards that are forfeited, terminated, expire unexercised, settled in cash, exchanged for other awards, tendered to satisfy the purchase price of an award, withheld to satisfy tax obligations or otherwise lapse again become available for awards.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Share Awards</w:t>
      </w:r>
    </w:p>
    <w:p>
      <w:pPr>
        <w:spacing w:after="0" w:line="3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With respect to stock options, the Plan replaced the 1997 Stock Option Plan. Any stock options previously granted under the 1997 Stock Option Plan continue to be exercisable in accordance with their original terms and conditions.</w:t>
      </w:r>
    </w:p>
    <w:p>
      <w:pPr>
        <w:ind w:right="40"/>
        <w:spacing w:after="0" w:line="257" w:lineRule="auto"/>
        <w:rPr>
          <w:sz w:val="20"/>
          <w:szCs w:val="20"/>
          <w:color w:val="auto"/>
        </w:rPr>
      </w:pPr>
      <w:r>
        <w:rPr>
          <w:rFonts w:ascii="Arial" w:cs="Arial" w:eastAsia="Arial" w:hAnsi="Arial"/>
          <w:sz w:val="16"/>
          <w:szCs w:val="16"/>
          <w:color w:val="auto"/>
        </w:rPr>
        <w:t>The term of any options granted under the Plan may not exceed ten years from the date of the grant. Stock options are granted at the closing market price on the date of grant. Options issued to key employees generally vest over a three-year period in equal annual installment, beginning one year after the date of grant, with immediate vesting upon retirement or upon a change of control (as defined in the Plan), if earlier. Historically, options issued to directors vested six months after grant. Share awards vest based either upon continued employment, beginning one year after the date of grant, with immediate vesting upon retirement or upon a change of control (as defined in the Plan) (collectively, "time-based") or upon attainment of established goals. Share awards that are not time-based typically vest at the end of a one 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128" w:lineRule="exact"/>
        <w:rPr>
          <w:sz w:val="20"/>
          <w:szCs w:val="20"/>
          <w:color w:val="auto"/>
        </w:rPr>
      </w:pPr>
    </w:p>
    <w:p>
      <w:pPr>
        <w:ind w:right="220"/>
        <w:spacing w:after="0" w:line="322" w:lineRule="auto"/>
        <w:rPr>
          <w:sz w:val="20"/>
          <w:szCs w:val="20"/>
          <w:color w:val="auto"/>
        </w:rPr>
      </w:pPr>
      <w:r>
        <w:rPr>
          <w:rFonts w:ascii="Arial" w:cs="Arial" w:eastAsia="Arial" w:hAnsi="Arial"/>
          <w:sz w:val="15"/>
          <w:szCs w:val="15"/>
          <w:color w:val="auto"/>
        </w:rPr>
        <w:t>Prior to Fiscal 2007, stock-based compensation generally consisted only of stock options. In Fiscal 2007 and Fiscal 2008, we granted restricted time-based share awards to key employees and directors instead of stock options. No stock options or restricted share awards were granted in Fiscal 2009 or Fiscal 2010.</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Plans</w:t>
      </w:r>
    </w:p>
    <w:p>
      <w:pPr>
        <w:spacing w:after="0" w:line="32"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During Fiscal 2009 and Fiscal 2010, the Human Resources Committee of our Board of Directors established annual incentive plans for the officers that were in part payable in restricted stock. Certain diluted EPS and return on invested capit al targets had to be met to achieve payment under these plans; these targets were not met for Fiscal 2009 or Fiscal 2010 and no stock-based compensation has been recognized for these plans.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Plans</w:t>
      </w:r>
    </w:p>
    <w:p>
      <w:pPr>
        <w:spacing w:after="0" w:line="3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Fiscal 2009 and Fiscal 2010, the Human Resources Committee of our Board of Directors established two different three-year restricted stock plans (Officers Long-Term Incentive Plan Fiscal 2009-2011 and Officers Long-Term Incentive Plan Fiscal 2010-2012) to serve as an incentive to our senior management team to achieve certain return on equity ("ROE") targets. If the ROE target is met, restricted stock will be awarded at the end of each three year period with a one-year restriction on sale upon award. In the event t hat we do not achieve the required ROE targets, no restricted stock will be granted.</w:t>
      </w:r>
    </w:p>
    <w:p>
      <w:pPr>
        <w:spacing w:after="0" w:line="279" w:lineRule="exact"/>
        <w:rPr>
          <w:sz w:val="20"/>
          <w:szCs w:val="20"/>
          <w:color w:val="auto"/>
        </w:rPr>
      </w:pPr>
    </w:p>
    <w:p>
      <w:pPr>
        <w:jc w:val="center"/>
        <w:ind w:left="260" w:right="80"/>
        <w:spacing w:after="0" w:line="256" w:lineRule="auto"/>
        <w:rPr>
          <w:sz w:val="20"/>
          <w:szCs w:val="20"/>
          <w:color w:val="auto"/>
        </w:rPr>
      </w:pPr>
      <w:r>
        <w:rPr>
          <w:rFonts w:ascii="Arial" w:cs="Arial" w:eastAsia="Arial" w:hAnsi="Arial"/>
          <w:sz w:val="16"/>
          <w:szCs w:val="16"/>
          <w:color w:val="auto"/>
        </w:rPr>
        <w:t>Based on our performance in Fiscal 2009 and Fiscal 2010, no stock-based compensation expense has been recognized for these plans. If it becomes probable that certain of the ROE performance targets will be achieved, the corresponding estimated cost of the grant will be recorded as compensation expense over the performance period. The probability of reaching the targets is evaluated each reporting period. If it becomes probable that certain of the target performance levels will be achieved, a cumulative adjustment will be recorded and future compensation expense will increase based on the currently projected performance levels. If we later determine that it is not probable that the minimum ROE performance threshold for the grants will be met, no further</w:t>
      </w:r>
    </w:p>
    <w:p>
      <w:pPr>
        <w:ind w:right="1060" w:firstLine="1090"/>
        <w:spacing w:after="0" w:line="352" w:lineRule="auto"/>
        <w:rPr>
          <w:sz w:val="20"/>
          <w:szCs w:val="20"/>
          <w:color w:val="auto"/>
        </w:rPr>
      </w:pPr>
      <w:r>
        <w:rPr>
          <w:rFonts w:ascii="Arial" w:cs="Arial" w:eastAsia="Arial" w:hAnsi="Arial"/>
          <w:sz w:val="16"/>
          <w:szCs w:val="16"/>
          <w:color w:val="auto"/>
        </w:rPr>
        <w:t xml:space="preserve">compensation cost will be recogn ized and any previously recognized compensation cost related to these plans will be reversed. </w:t>
      </w:r>
      <w:r>
        <w:rPr>
          <w:rFonts w:ascii="Arial" w:cs="Arial" w:eastAsia="Arial" w:hAnsi="Arial"/>
          <w:sz w:val="16"/>
          <w:szCs w:val="16"/>
          <w:b w:val="1"/>
          <w:bCs w:val="1"/>
          <w:color w:val="auto"/>
        </w:rPr>
        <w:t>Director's Awards</w:t>
      </w:r>
    </w:p>
    <w:p>
      <w:pPr>
        <w:ind w:right="60"/>
        <w:spacing w:after="0" w:line="261" w:lineRule="auto"/>
        <w:rPr>
          <w:sz w:val="20"/>
          <w:szCs w:val="20"/>
          <w:color w:val="auto"/>
        </w:rPr>
      </w:pPr>
      <w:r>
        <w:rPr>
          <w:rFonts w:ascii="Arial" w:cs="Arial" w:eastAsia="Arial" w:hAnsi="Arial"/>
          <w:sz w:val="16"/>
          <w:szCs w:val="16"/>
          <w:color w:val="auto"/>
        </w:rPr>
        <w:t>Non-employee directors may elect to receive all or part of their annual retainer and board fees in the form of Winnebago Industries stock units credited in the form of shares of our common stock instead of cash. The directors are restricted from selling these shares until their retirement. During Fiscal 2010, there were 14,975 stock units awarded to our non-employee directors in lieu of cash compensation. The aggregate intrinsic value of these awards as of August 28, 2010 wa s $931,000 with 102,856 stock units outstanding.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00"/>
          </w:cols>
          <w:pgMar w:left="240" w:top="154" w:right="259" w:bottom="1440" w:gutter="0" w:footer="0" w:header="0"/>
        </w:sectPr>
      </w:pPr>
    </w:p>
    <w:bookmarkStart w:id="45" w:name="page46"/>
    <w:bookmarkEnd w:id="45"/>
    <w:tbl>
      <w:tblPr>
        <w:tblLayout w:type="fixed"/>
        <w:tblInd w:w="26" w:type="dxa"/>
        <w:tblCellMar>
          <w:top w:w="0" w:type="dxa"/>
          <w:left w:w="0" w:type="dxa"/>
          <w:bottom w:w="0" w:type="dxa"/>
          <w:right w:w="0" w:type="dxa"/>
        </w:tblCellMar>
      </w:tblPr>
      <w:tr>
        <w:trPr>
          <w:trHeight w:val="172"/>
        </w:trPr>
        <w:tc>
          <w:tcPr>
            <w:tcW w:w="5140" w:type="dxa"/>
            <w:vAlign w:val="bottom"/>
          </w:tcPr>
          <w:p>
            <w:pPr>
              <w:spacing w:after="0"/>
              <w:rPr>
                <w:sz w:val="14"/>
                <w:szCs w:val="14"/>
                <w:color w:val="auto"/>
              </w:rPr>
            </w:pPr>
          </w:p>
        </w:tc>
        <w:tc>
          <w:tcPr>
            <w:tcW w:w="2600" w:type="dxa"/>
            <w:vAlign w:val="bottom"/>
            <w:gridSpan w:val="4"/>
          </w:tcPr>
          <w:p>
            <w:pPr>
              <w:jc w:val="right"/>
              <w:ind w:right="1378"/>
              <w:spacing w:after="0"/>
              <w:rPr>
                <w:rFonts w:ascii="Arial" w:cs="Arial" w:eastAsia="Arial" w:hAnsi="Arial"/>
                <w:sz w:val="15"/>
                <w:szCs w:val="15"/>
                <w:color w:val="0000FF"/>
                <w:w w:val="94"/>
              </w:rPr>
            </w:pPr>
            <w:hyperlink w:anchor="page1">
              <w:r>
                <w:rPr>
                  <w:rFonts w:ascii="Arial" w:cs="Arial" w:eastAsia="Arial" w:hAnsi="Arial"/>
                  <w:sz w:val="15"/>
                  <w:szCs w:val="15"/>
                  <w:color w:val="0000FF"/>
                  <w:w w:val="94"/>
                </w:rPr>
                <w:t>Table of Contents</w:t>
              </w:r>
            </w:hyperlink>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408"/>
        </w:trPr>
        <w:tc>
          <w:tcPr>
            <w:tcW w:w="5140" w:type="dxa"/>
            <w:vAlign w:val="bottom"/>
          </w:tcPr>
          <w:p>
            <w:pPr>
              <w:spacing w:after="0"/>
              <w:rPr>
                <w:sz w:val="20"/>
                <w:szCs w:val="20"/>
                <w:color w:val="auto"/>
              </w:rPr>
            </w:pPr>
            <w:r>
              <w:rPr>
                <w:rFonts w:ascii="Arial" w:cs="Arial" w:eastAsia="Arial" w:hAnsi="Arial"/>
                <w:sz w:val="16"/>
                <w:szCs w:val="16"/>
                <w:b w:val="1"/>
                <w:bCs w:val="1"/>
                <w:color w:val="auto"/>
              </w:rPr>
              <w:t>Stock-Based Compensation</w:t>
            </w:r>
          </w:p>
        </w:tc>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8040" w:type="dxa"/>
            <w:vAlign w:val="bottom"/>
            <w:gridSpan w:val="6"/>
          </w:tcPr>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69"/>
        </w:trPr>
        <w:tc>
          <w:tcPr>
            <w:tcW w:w="5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19"/>
                <w:szCs w:val="19"/>
                <w:b w:val="1"/>
                <w:bCs w:val="1"/>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19"/>
        </w:trPr>
        <w:tc>
          <w:tcPr>
            <w:tcW w:w="5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6"/>
                <w:szCs w:val="16"/>
                <w:b w:val="1"/>
                <w:bCs w:val="1"/>
                <w:color w:val="auto"/>
              </w:rPr>
              <w:t>August 28, 2010</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August 29, 2009</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 ugust 30, 2008</w:t>
            </w:r>
          </w:p>
        </w:tc>
      </w:tr>
      <w:tr>
        <w:trPr>
          <w:trHeight w:val="23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 expense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401</w:t>
            </w:r>
          </w:p>
        </w:tc>
      </w:tr>
      <w:tr>
        <w:trPr>
          <w:trHeight w:val="239"/>
        </w:trPr>
        <w:tc>
          <w:tcPr>
            <w:tcW w:w="5140" w:type="dxa"/>
            <w:vAlign w:val="bottom"/>
          </w:tcPr>
          <w:p>
            <w:pPr>
              <w:ind w:left="20"/>
              <w:spacing w:after="0"/>
              <w:rPr>
                <w:sz w:val="20"/>
                <w:szCs w:val="20"/>
                <w:color w:val="auto"/>
              </w:rPr>
            </w:pPr>
            <w:r>
              <w:rPr>
                <w:rFonts w:ascii="Arial" w:cs="Arial" w:eastAsia="Arial" w:hAnsi="Arial"/>
                <w:sz w:val="16"/>
                <w:szCs w:val="16"/>
                <w:color w:val="auto"/>
              </w:rPr>
              <w:t>Share awards: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0"/>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Time-based employee award expense</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3,073</w:t>
            </w:r>
          </w:p>
        </w:tc>
      </w:tr>
      <w:tr>
        <w:trPr>
          <w:trHeight w:val="239"/>
        </w:trPr>
        <w:tc>
          <w:tcPr>
            <w:tcW w:w="5140" w:type="dxa"/>
            <w:vAlign w:val="bottom"/>
          </w:tcPr>
          <w:p>
            <w:pPr>
              <w:ind w:left="120"/>
              <w:spacing w:after="0"/>
              <w:rPr>
                <w:sz w:val="20"/>
                <w:szCs w:val="20"/>
                <w:color w:val="auto"/>
              </w:rPr>
            </w:pPr>
            <w:r>
              <w:rPr>
                <w:rFonts w:ascii="Arial" w:cs="Arial" w:eastAsia="Arial" w:hAnsi="Arial"/>
                <w:sz w:val="16"/>
                <w:szCs w:val="16"/>
                <w:color w:val="auto"/>
              </w:rPr>
              <w:t>Time-based directors award expense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20" w:type="dxa"/>
            <w:vAlign w:val="bottom"/>
          </w:tcPr>
          <w:p>
            <w:pPr>
              <w:jc w:val="right"/>
              <w:ind w:right="18"/>
              <w:spacing w:after="0"/>
              <w:rPr>
                <w:sz w:val="20"/>
                <w:szCs w:val="20"/>
                <w:color w:val="auto"/>
              </w:rPr>
            </w:pPr>
            <w:r>
              <w:rPr>
                <w:rFonts w:ascii="Arial" w:cs="Arial" w:eastAsia="Arial" w:hAnsi="Arial"/>
                <w:sz w:val="16"/>
                <w:szCs w:val="16"/>
                <w:color w:val="auto"/>
              </w:rPr>
              <w:t>231</w:t>
            </w:r>
          </w:p>
        </w:tc>
      </w:tr>
      <w:tr>
        <w:trPr>
          <w:trHeight w:val="233"/>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Directors stock unit expense</w:t>
            </w:r>
          </w:p>
        </w:tc>
        <w:tc>
          <w:tcPr>
            <w:tcW w:w="8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211</w:t>
            </w:r>
          </w:p>
        </w:tc>
      </w:tr>
      <w:tr>
        <w:trPr>
          <w:trHeight w:val="243"/>
        </w:trPr>
        <w:tc>
          <w:tcPr>
            <w:tcW w:w="5140" w:type="dxa"/>
            <w:vAlign w:val="bottom"/>
          </w:tcPr>
          <w:p>
            <w:pPr>
              <w:ind w:left="20"/>
              <w:spacing w:after="0"/>
              <w:rPr>
                <w:sz w:val="20"/>
                <w:szCs w:val="20"/>
                <w:color w:val="auto"/>
              </w:rPr>
            </w:pPr>
            <w:r>
              <w:rPr>
                <w:rFonts w:ascii="Arial" w:cs="Arial" w:eastAsia="Arial" w:hAnsi="Arial"/>
                <w:sz w:val="16"/>
                <w:szCs w:val="16"/>
                <w:color w:val="auto"/>
              </w:rPr>
              <w:t>Total stock-based compensation</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546</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1,011</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8"/>
              <w:spacing w:after="0"/>
              <w:rPr>
                <w:sz w:val="20"/>
                <w:szCs w:val="20"/>
                <w:color w:val="auto"/>
              </w:rPr>
            </w:pPr>
            <w:r>
              <w:rPr>
                <w:rFonts w:ascii="Arial" w:cs="Arial" w:eastAsia="Arial" w:hAnsi="Arial"/>
                <w:sz w:val="16"/>
                <w:szCs w:val="16"/>
                <w:color w:val="auto"/>
              </w:rPr>
              <w:t>3,916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635</wp:posOffset>
            </wp:positionV>
            <wp:extent cx="34817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1705" cy="7620"/>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16510</wp:posOffset>
            </wp:positionV>
            <wp:extent cx="348170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1705" cy="7620"/>
                    </a:xfrm>
                    <a:prstGeom prst="rect">
                      <a:avLst/>
                    </a:prstGeom>
                    <a:noFill/>
                  </pic:spPr>
                </pic:pic>
              </a:graphicData>
            </a:graphic>
          </wp:anchor>
        </w:drawing>
      </w:r>
    </w:p>
    <w:p>
      <w:pPr>
        <w:spacing w:after="0" w:line="22" w:lineRule="exact"/>
        <w:rPr>
          <w:sz w:val="20"/>
          <w:szCs w:val="20"/>
          <w:color w:val="auto"/>
        </w:rPr>
      </w:pPr>
    </w:p>
    <w:p>
      <w:pPr>
        <w:ind w:left="266" w:hanging="266"/>
        <w:spacing w:after="0"/>
        <w:tabs>
          <w:tab w:leader="none" w:pos="266" w:val="left"/>
        </w:tabs>
        <w:numPr>
          <w:ilvl w:val="0"/>
          <w:numId w:val="37"/>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120" w:lineRule="exact"/>
        <w:rPr>
          <w:sz w:val="20"/>
          <w:szCs w:val="20"/>
          <w:color w:val="auto"/>
        </w:rPr>
      </w:pPr>
    </w:p>
    <w:p>
      <w:pPr>
        <w:ind w:left="5186"/>
        <w:spacing w:after="0"/>
        <w:rPr>
          <w:sz w:val="20"/>
          <w:szCs w:val="20"/>
          <w:color w:val="auto"/>
        </w:rPr>
      </w:pPr>
      <w:r>
        <w:rPr>
          <w:rFonts w:ascii="Arial" w:cs="Arial" w:eastAsia="Arial" w:hAnsi="Arial"/>
          <w:sz w:val="16"/>
          <w:szCs w:val="16"/>
          <w:b w:val="1"/>
          <w:bCs w:val="1"/>
          <w:i w:val="1"/>
          <w:iCs w:val="1"/>
          <w:color w:val="auto"/>
        </w:rPr>
        <w:t>Stock Options</w:t>
      </w:r>
    </w:p>
    <w:p>
      <w:pPr>
        <w:spacing w:after="0" w:line="32" w:lineRule="exact"/>
        <w:rPr>
          <w:sz w:val="20"/>
          <w:szCs w:val="20"/>
          <w:color w:val="auto"/>
        </w:rPr>
      </w:pPr>
    </w:p>
    <w:p>
      <w:pPr>
        <w:ind w:left="26"/>
        <w:spacing w:after="0"/>
        <w:rPr>
          <w:sz w:val="20"/>
          <w:szCs w:val="20"/>
          <w:color w:val="auto"/>
        </w:rPr>
      </w:pPr>
      <w:r>
        <w:rPr>
          <w:rFonts w:ascii="Arial" w:cs="Arial" w:eastAsia="Arial" w:hAnsi="Arial"/>
          <w:sz w:val="16"/>
          <w:szCs w:val="16"/>
          <w:color w:val="auto"/>
        </w:rPr>
        <w:t>A summary of stock option activity for Fiscal 2010, 2009 and 2008 is as follows:</w:t>
      </w:r>
    </w:p>
    <w:p>
      <w:pPr>
        <w:spacing w:after="0" w:line="197"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3"/>
                <w:szCs w:val="13"/>
                <w:b w:val="1"/>
                <w:bCs w:val="1"/>
                <w:color w:val="auto"/>
              </w:rPr>
              <w:t>Year Ended</w:t>
            </w:r>
            <w:r>
              <w:rPr>
                <w:rFonts w:ascii="Arial" w:cs="Arial" w:eastAsia="Arial" w:hAnsi="Arial"/>
                <w:sz w:val="16"/>
                <w:szCs w:val="16"/>
                <w:b w:val="1"/>
                <w:bCs w:val="1"/>
                <w:color w:val="auto"/>
                <w:vertAlign w:val="superscript"/>
              </w:rPr>
              <w:t>(1)</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32"/>
        </w:trPr>
        <w:tc>
          <w:tcPr>
            <w:tcW w:w="3660" w:type="dxa"/>
            <w:vAlign w:val="bottom"/>
          </w:tcPr>
          <w:p>
            <w:pPr>
              <w:spacing w:after="0"/>
              <w:rPr>
                <w:sz w:val="20"/>
                <w:szCs w:val="20"/>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8"/>
              </w:rPr>
              <w:t>August 28, 2010</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August 29, 2009</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August 30, 2008</w:t>
            </w:r>
          </w:p>
        </w:tc>
        <w:tc>
          <w:tcPr>
            <w:tcW w:w="680" w:type="dxa"/>
            <w:vAlign w:val="bottom"/>
            <w:tcBorders>
              <w:bottom w:val="single" w:sz="8" w:color="auto"/>
            </w:tcBorders>
          </w:tcPr>
          <w:p>
            <w:pPr>
              <w:spacing w:after="0"/>
              <w:rPr>
                <w:sz w:val="20"/>
                <w:szCs w:val="20"/>
                <w:color w:val="auto"/>
              </w:rPr>
            </w:pPr>
          </w:p>
        </w:tc>
      </w:tr>
      <w:tr>
        <w:trPr>
          <w:trHeight w:val="158"/>
        </w:trPr>
        <w:tc>
          <w:tcPr>
            <w:tcW w:w="3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75"/>
              <w:spacing w:after="0"/>
              <w:rPr>
                <w:sz w:val="20"/>
                <w:szCs w:val="20"/>
                <w:color w:val="auto"/>
              </w:rPr>
            </w:pPr>
            <w:r>
              <w:rPr>
                <w:rFonts w:ascii="Arial" w:cs="Arial" w:eastAsia="Arial" w:hAnsi="Arial"/>
                <w:sz w:val="13"/>
                <w:szCs w:val="13"/>
                <w:b w:val="1"/>
                <w:bCs w:val="1"/>
                <w:color w:val="auto"/>
                <w:w w:val="96"/>
              </w:rPr>
              <w:t>Wtd. Avg.</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Wtd. Avg.</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Wtd. Avg.</w:t>
            </w:r>
          </w:p>
        </w:tc>
      </w:tr>
      <w:tr>
        <w:trPr>
          <w:trHeight w:val="147"/>
        </w:trPr>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jc w:val="right"/>
              <w:ind w:right="55"/>
              <w:spacing w:after="0" w:line="148" w:lineRule="exact"/>
              <w:rPr>
                <w:sz w:val="20"/>
                <w:szCs w:val="20"/>
                <w:color w:val="auto"/>
              </w:rPr>
            </w:pPr>
            <w:r>
              <w:rPr>
                <w:rFonts w:ascii="Arial" w:cs="Arial" w:eastAsia="Arial" w:hAnsi="Arial"/>
                <w:sz w:val="13"/>
                <w:szCs w:val="13"/>
                <w:b w:val="1"/>
                <w:bCs w:val="1"/>
                <w:color w:val="auto"/>
              </w:rPr>
              <w:t>Price per</w:t>
            </w:r>
          </w:p>
        </w:tc>
        <w:tc>
          <w:tcPr>
            <w:tcW w:w="120" w:type="dxa"/>
            <w:vAlign w:val="bottom"/>
          </w:tcPr>
          <w:p>
            <w:pPr>
              <w:spacing w:after="0"/>
              <w:rPr>
                <w:sz w:val="12"/>
                <w:szCs w:val="12"/>
                <w:color w:val="auto"/>
              </w:rPr>
            </w:pPr>
          </w:p>
        </w:tc>
        <w:tc>
          <w:tcPr>
            <w:tcW w:w="760" w:type="dxa"/>
            <w:vAlign w:val="bottom"/>
          </w:tcPr>
          <w:p>
            <w:pPr>
              <w:jc w:val="center"/>
              <w:ind w:right="75"/>
              <w:spacing w:after="0" w:line="148" w:lineRule="exact"/>
              <w:rPr>
                <w:sz w:val="20"/>
                <w:szCs w:val="20"/>
                <w:color w:val="auto"/>
              </w:rPr>
            </w:pPr>
            <w:r>
              <w:rPr>
                <w:rFonts w:ascii="Arial" w:cs="Arial" w:eastAsia="Arial" w:hAnsi="Arial"/>
                <w:sz w:val="13"/>
                <w:szCs w:val="13"/>
                <w:b w:val="1"/>
                <w:bCs w:val="1"/>
                <w:color w:val="auto"/>
              </w:rPr>
              <w:t>Exercise</w:t>
            </w:r>
          </w:p>
        </w:tc>
        <w:tc>
          <w:tcPr>
            <w:tcW w:w="1020" w:type="dxa"/>
            <w:vAlign w:val="bottom"/>
          </w:tcPr>
          <w:p>
            <w:pPr>
              <w:spacing w:after="0"/>
              <w:rPr>
                <w:sz w:val="12"/>
                <w:szCs w:val="12"/>
                <w:color w:val="auto"/>
              </w:rPr>
            </w:pPr>
          </w:p>
        </w:tc>
        <w:tc>
          <w:tcPr>
            <w:tcW w:w="760" w:type="dxa"/>
            <w:vAlign w:val="bottom"/>
          </w:tcPr>
          <w:p>
            <w:pPr>
              <w:jc w:val="right"/>
              <w:ind w:right="55"/>
              <w:spacing w:after="0" w:line="148" w:lineRule="exact"/>
              <w:rPr>
                <w:sz w:val="20"/>
                <w:szCs w:val="20"/>
                <w:color w:val="auto"/>
              </w:rPr>
            </w:pPr>
            <w:r>
              <w:rPr>
                <w:rFonts w:ascii="Arial" w:cs="Arial" w:eastAsia="Arial" w:hAnsi="Arial"/>
                <w:sz w:val="13"/>
                <w:szCs w:val="13"/>
                <w:b w:val="1"/>
                <w:bCs w:val="1"/>
                <w:color w:val="auto"/>
              </w:rPr>
              <w:t>Price per</w:t>
            </w:r>
          </w:p>
        </w:tc>
        <w:tc>
          <w:tcPr>
            <w:tcW w:w="100" w:type="dxa"/>
            <w:vAlign w:val="bottom"/>
          </w:tcPr>
          <w:p>
            <w:pPr>
              <w:spacing w:after="0"/>
              <w:rPr>
                <w:sz w:val="12"/>
                <w:szCs w:val="12"/>
                <w:color w:val="auto"/>
              </w:rPr>
            </w:pPr>
          </w:p>
        </w:tc>
        <w:tc>
          <w:tcPr>
            <w:tcW w:w="68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rPr>
              <w:t>Exercise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5"/>
              <w:spacing w:after="0" w:line="148" w:lineRule="exact"/>
              <w:rPr>
                <w:sz w:val="20"/>
                <w:szCs w:val="20"/>
                <w:color w:val="auto"/>
              </w:rPr>
            </w:pPr>
            <w:r>
              <w:rPr>
                <w:rFonts w:ascii="Arial" w:cs="Arial" w:eastAsia="Arial" w:hAnsi="Arial"/>
                <w:sz w:val="13"/>
                <w:szCs w:val="13"/>
                <w:b w:val="1"/>
                <w:bCs w:val="1"/>
                <w:color w:val="auto"/>
              </w:rPr>
              <w:t>Price per</w:t>
            </w:r>
          </w:p>
        </w:tc>
        <w:tc>
          <w:tcPr>
            <w:tcW w:w="10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Exercise</w:t>
            </w:r>
          </w:p>
        </w:tc>
      </w:tr>
      <w:tr>
        <w:trPr>
          <w:trHeight w:val="178"/>
        </w:trPr>
        <w:tc>
          <w:tcPr>
            <w:tcW w:w="3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Sha res</w:t>
            </w: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Share</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Price/Share</w:t>
            </w: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Shares</w:t>
            </w: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Share</w:t>
            </w: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Price/Share</w:t>
            </w: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Share</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Price/Share</w:t>
            </w:r>
          </w:p>
        </w:tc>
      </w:tr>
      <w:tr>
        <w:trPr>
          <w:trHeight w:val="243"/>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beginning of year</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1,010,224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$9 - $36</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27.31</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1,044,899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 $36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1,137,975</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 $36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26.32</w:t>
            </w:r>
          </w:p>
        </w:tc>
      </w:tr>
      <w:tr>
        <w:trPr>
          <w:trHeight w:val="240"/>
        </w:trPr>
        <w:tc>
          <w:tcPr>
            <w:tcW w:w="3660" w:type="dxa"/>
            <w:vAlign w:val="bottom"/>
          </w:tcPr>
          <w:p>
            <w:pPr>
              <w:ind w:left="20"/>
              <w:spacing w:after="0"/>
              <w:rPr>
                <w:sz w:val="20"/>
                <w:szCs w:val="20"/>
                <w:color w:val="auto"/>
              </w:rPr>
            </w:pPr>
            <w:r>
              <w:rPr>
                <w:rFonts w:ascii="Arial" w:cs="Arial" w:eastAsia="Arial" w:hAnsi="Arial"/>
                <w:sz w:val="13"/>
                <w:szCs w:val="13"/>
                <w:color w:val="auto"/>
              </w:rPr>
              <w:t>Options granted</w:t>
            </w:r>
          </w:p>
        </w:tc>
        <w:tc>
          <w:tcPr>
            <w:tcW w:w="1040" w:type="dxa"/>
            <w:vAlign w:val="bottom"/>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color w:val="auto"/>
              </w:rPr>
              <w:t>&amp;mda sh;</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51"/>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 exercised</w:t>
            </w:r>
          </w:p>
        </w:tc>
        <w:tc>
          <w:tcPr>
            <w:tcW w:w="1040" w:type="dxa"/>
            <w:vAlign w:val="bottom"/>
            <w:shd w:val="clear" w:color="auto" w:fill="CCEEFF"/>
          </w:tcPr>
          <w:p>
            <w:pPr>
              <w:jc w:val="right"/>
              <w:ind w:right="115"/>
              <w:spacing w:after="0" w:line="251" w:lineRule="exact"/>
              <w:rPr>
                <w:sz w:val="20"/>
                <w:szCs w:val="20"/>
                <w:color w:val="auto"/>
              </w:rPr>
            </w:pPr>
            <w:r>
              <w:rPr>
                <w:rFonts w:ascii="Arial" w:cs="Arial" w:eastAsia="Arial" w:hAnsi="Arial"/>
                <w:sz w:val="13"/>
                <w:szCs w:val="13"/>
                <w:color w:val="auto"/>
              </w:rPr>
              <w:t>(30,500</w:t>
            </w:r>
            <w:r>
              <w:rPr>
                <w:rFonts w:ascii="Arial" w:cs="Arial" w:eastAsia="Arial" w:hAnsi="Arial"/>
                <w:sz w:val="26"/>
                <w:szCs w:val="26"/>
                <w:color w:val="auto"/>
                <w:vertAlign w:val="superscript"/>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9 - 11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9.20</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(1,000)</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9.25</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(59,201)</w:t>
            </w:r>
          </w:p>
        </w:tc>
        <w:tc>
          <w:tcPr>
            <w:tcW w:w="120" w:type="dxa"/>
            <w:vAlign w:val="bottom"/>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5 - 27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10.86</w:t>
            </w:r>
          </w:p>
        </w:tc>
      </w:tr>
      <w:tr>
        <w:trPr>
          <w:trHeight w:val="159"/>
        </w:trPr>
        <w:tc>
          <w:tcPr>
            <w:tcW w:w="3660" w:type="dxa"/>
            <w:vAlign w:val="bottom"/>
          </w:tcPr>
          <w:p>
            <w:pPr>
              <w:ind w:left="20"/>
              <w:spacing w:after="0"/>
              <w:rPr>
                <w:sz w:val="20"/>
                <w:szCs w:val="20"/>
                <w:color w:val="auto"/>
              </w:rPr>
            </w:pPr>
            <w:r>
              <w:rPr>
                <w:rFonts w:ascii="Arial" w:cs="Arial" w:eastAsia="Arial" w:hAnsi="Arial"/>
                <w:sz w:val="13"/>
                <w:szCs w:val="13"/>
                <w:color w:val="auto"/>
              </w:rPr>
              <w:t>Options cancelled</w:t>
            </w: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28"/>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&lt; /td&gt;</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(38,909)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9 - 36</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29.18</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(33,675)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7 - 32</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(33,875)</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26 - 32</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29.25</w:t>
            </w:r>
          </w:p>
        </w:tc>
      </w:tr>
      <w:tr>
        <w:trPr>
          <w:trHeight w:val="238"/>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end of year</w:t>
            </w:r>
          </w:p>
        </w:tc>
        <w:tc>
          <w:tcPr>
            <w:tcW w:w="10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940,815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$9 - $36</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27.82</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1,010,224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$9 - $36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1,044,899</w:t>
            </w: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$7 - $36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27.10</w:t>
            </w:r>
          </w:p>
        </w:tc>
      </w:tr>
      <w:tr>
        <w:trPr>
          <w:trHeight w:val="232"/>
        </w:trPr>
        <w:tc>
          <w:tcPr>
            <w:tcW w:w="3660" w:type="dxa"/>
            <w:vAlign w:val="bottom"/>
          </w:tcPr>
          <w:p>
            <w:pPr>
              <w:ind w:left="20"/>
              <w:spacing w:after="0"/>
              <w:rPr>
                <w:sz w:val="20"/>
                <w:szCs w:val="20"/>
                <w:color w:val="auto"/>
              </w:rPr>
            </w:pPr>
            <w:r>
              <w:rPr>
                <w:rFonts w:ascii="Arial" w:cs="Arial" w:eastAsia="Arial" w:hAnsi="Arial"/>
                <w:sz w:val="13"/>
                <w:szCs w:val="13"/>
                <w:color w:val="auto"/>
              </w:rPr>
              <w:t>Exercisab le at end of year</w:t>
            </w:r>
          </w:p>
        </w:tc>
        <w:tc>
          <w:tcPr>
            <w:tcW w:w="1040" w:type="dxa"/>
            <w:vAlign w:val="bottom"/>
          </w:tcPr>
          <w:p>
            <w:pPr>
              <w:jc w:val="right"/>
              <w:ind w:right="155"/>
              <w:spacing w:after="0"/>
              <w:rPr>
                <w:sz w:val="20"/>
                <w:szCs w:val="20"/>
                <w:color w:val="auto"/>
              </w:rPr>
            </w:pPr>
            <w:r>
              <w:rPr>
                <w:rFonts w:ascii="Arial" w:cs="Arial" w:eastAsia="Arial" w:hAnsi="Arial"/>
                <w:sz w:val="13"/>
                <w:szCs w:val="13"/>
                <w:color w:val="auto"/>
              </w:rPr>
              <w:t>940,815</w:t>
            </w:r>
          </w:p>
        </w:tc>
        <w:tc>
          <w:tcPr>
            <w:tcW w:w="700" w:type="dxa"/>
            <w:vAlign w:val="bottom"/>
          </w:tcPr>
          <w:p>
            <w:pPr>
              <w:jc w:val="right"/>
              <w:spacing w:after="0"/>
              <w:rPr>
                <w:sz w:val="20"/>
                <w:szCs w:val="20"/>
                <w:color w:val="auto"/>
              </w:rPr>
            </w:pPr>
            <w:r>
              <w:rPr>
                <w:rFonts w:ascii="Arial" w:cs="Arial" w:eastAsia="Arial" w:hAnsi="Arial"/>
                <w:sz w:val="13"/>
                <w:szCs w:val="13"/>
                <w:color w:val="auto"/>
              </w:rPr>
              <w:t>$9 - $36</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27.82</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1,010,224</w:t>
            </w:r>
          </w:p>
        </w:tc>
        <w:tc>
          <w:tcPr>
            <w:tcW w:w="760" w:type="dxa"/>
            <w:vAlign w:val="bottom"/>
          </w:tcPr>
          <w:p>
            <w:pPr>
              <w:jc w:val="right"/>
              <w:spacing w:after="0"/>
              <w:rPr>
                <w:sz w:val="20"/>
                <w:szCs w:val="20"/>
                <w:color w:val="auto"/>
              </w:rPr>
            </w:pPr>
            <w:r>
              <w:rPr>
                <w:rFonts w:ascii="Arial" w:cs="Arial" w:eastAsia="Arial" w:hAnsi="Arial"/>
                <w:sz w:val="13"/>
                <w:szCs w:val="13"/>
                <w:color w:val="auto"/>
              </w:rPr>
              <w:t>$9 - $36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27.31</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971,540</w:t>
            </w:r>
          </w:p>
        </w:tc>
        <w:tc>
          <w:tcPr>
            <w:tcW w:w="780" w:type="dxa"/>
            <w:vAlign w:val="bottom"/>
          </w:tcPr>
          <w:p>
            <w:pPr>
              <w:jc w:val="right"/>
              <w:spacing w:after="0"/>
              <w:rPr>
                <w:sz w:val="20"/>
                <w:szCs w:val="20"/>
                <w:color w:val="auto"/>
              </w:rPr>
            </w:pPr>
            <w:r>
              <w:rPr>
                <w:rFonts w:ascii="Arial" w:cs="Arial" w:eastAsia="Arial" w:hAnsi="Arial"/>
                <w:sz w:val="13"/>
                <w:szCs w:val="13"/>
                <w:color w:val="auto"/>
              </w:rPr>
              <w:t>$7 - $36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27.09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6985</wp:posOffset>
            </wp:positionV>
            <wp:extent cx="48602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60290" cy="7620"/>
                    </a:xfrm>
                    <a:prstGeom prst="rect">
                      <a:avLst/>
                    </a:prstGeom>
                    <a:noFill/>
                  </pic:spPr>
                </pic:pic>
              </a:graphicData>
            </a:graphic>
          </wp:anchor>
        </w:drawing>
      </w:r>
    </w:p>
    <w:p>
      <w:pPr>
        <w:spacing w:after="0" w:line="8" w:lineRule="exact"/>
        <w:rPr>
          <w:sz w:val="20"/>
          <w:szCs w:val="20"/>
          <w:color w:val="auto"/>
        </w:rPr>
      </w:pPr>
    </w:p>
    <w:p>
      <w:pPr>
        <w:ind w:left="266" w:hanging="266"/>
        <w:spacing w:after="0"/>
        <w:tabs>
          <w:tab w:leader="none" w:pos="266" w:val="left"/>
        </w:tabs>
        <w:numPr>
          <w:ilvl w:val="0"/>
          <w:numId w:val="38"/>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140" w:lineRule="exact"/>
        <w:rPr>
          <w:sz w:val="20"/>
          <w:szCs w:val="20"/>
          <w:color w:val="auto"/>
        </w:rPr>
      </w:pPr>
    </w:p>
    <w:p>
      <w:pPr>
        <w:ind w:left="26" w:right="120"/>
        <w:spacing w:after="0" w:line="271" w:lineRule="auto"/>
        <w:rPr>
          <w:sz w:val="20"/>
          <w:szCs w:val="20"/>
          <w:color w:val="auto"/>
        </w:rPr>
      </w:pPr>
      <w:r>
        <w:rPr>
          <w:rFonts w:ascii="Arial" w:cs="Arial" w:eastAsia="Arial" w:hAnsi="Arial"/>
          <w:sz w:val="16"/>
          <w:szCs w:val="16"/>
          <w:color w:val="auto"/>
        </w:rPr>
        <w:t>The weighted average remaining contractual life for options outstanding and exercisable at August 28, 2010 was 3.87 years. The aggregate intrinsic value of options outstanding and exercisable at August 28, 2010 was $600. Other values related to options are as follows:</w:t>
      </w:r>
    </w:p>
    <w:p>
      <w:pPr>
        <w:spacing w:after="0" w:line="104" w:lineRule="exact"/>
        <w:rPr>
          <w:sz w:val="20"/>
          <w:szCs w:val="20"/>
          <w:color w:val="auto"/>
        </w:rPr>
      </w:pPr>
    </w:p>
    <w:tbl>
      <w:tblPr>
        <w:tblLayout w:type="fixed"/>
        <w:tblInd w:w="46"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940" w:type="dxa"/>
            <w:vAlign w:val="bottom"/>
          </w:tcPr>
          <w:p>
            <w:pPr>
              <w:jc w:val="right"/>
              <w:ind w:right="598"/>
              <w:spacing w:after="0"/>
              <w:rPr>
                <w:sz w:val="20"/>
                <w:szCs w:val="20"/>
                <w:color w:val="auto"/>
              </w:rPr>
            </w:pPr>
            <w:r>
              <w:rPr>
                <w:rFonts w:ascii="Arial" w:cs="Arial" w:eastAsia="Arial" w:hAnsi="Arial"/>
                <w:sz w:val="16"/>
                <w:szCs w:val="16"/>
                <w:b w:val="1"/>
                <w:bCs w:val="1"/>
                <w:color w:val="auto"/>
              </w:rPr>
              <w:t>2010</w:t>
            </w:r>
          </w:p>
        </w:tc>
        <w:tc>
          <w:tcPr>
            <w:tcW w:w="1720" w:type="dxa"/>
            <w:vAlign w:val="bottom"/>
          </w:tcPr>
          <w:p>
            <w:pPr>
              <w:jc w:val="right"/>
              <w:ind w:right="598"/>
              <w:spacing w:after="0"/>
              <w:rPr>
                <w:sz w:val="20"/>
                <w:szCs w:val="20"/>
                <w:color w:val="auto"/>
              </w:rPr>
            </w:pPr>
            <w:r>
              <w:rPr>
                <w:rFonts w:ascii="Arial" w:cs="Arial" w:eastAsia="Arial" w:hAnsi="Arial"/>
                <w:sz w:val="16"/>
                <w:szCs w:val="16"/>
                <w:b w:val="1"/>
                <w:bCs w:val="1"/>
                <w:color w:val="auto"/>
              </w:rPr>
              <w:t>2009</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8255</wp:posOffset>
            </wp:positionV>
            <wp:extent cx="2180590" cy="155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80590" cy="155575"/>
                    </a:xfrm>
                    <a:prstGeom prst="rect">
                      <a:avLst/>
                    </a:prstGeom>
                    <a:noFill/>
                  </pic:spPr>
                </pic:pic>
              </a:graphicData>
            </a:graphic>
          </wp:anchor>
        </w:drawing>
      </w:r>
    </w:p>
    <w:p>
      <w:pPr>
        <w:sectPr>
          <w:pgSz w:w="11900" w:h="16838" w:orient="portrait"/>
          <w:cols w:equalWidth="0" w:num="1">
            <w:col w:w="11446"/>
          </w:cols>
          <w:pgMar w:left="214" w:top="126" w:right="239" w:bottom="1440" w:gutter="0" w:footer="0" w:header="0"/>
        </w:sectPr>
      </w:pPr>
    </w:p>
    <w:tbl>
      <w:tblPr>
        <w:tblLayout w:type="fixed"/>
        <w:tblInd w:w="26" w:type="dxa"/>
        <w:tblCellMar>
          <w:top w:w="0" w:type="dxa"/>
          <w:left w:w="0" w:type="dxa"/>
          <w:bottom w:w="0" w:type="dxa"/>
          <w:right w:w="0" w:type="dxa"/>
        </w:tblCellMar>
      </w:tblPr>
      <w:tr>
        <w:trPr>
          <w:trHeight w:val="239"/>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xml:space="preserve">Aggregate intrinsic value of o ptions exercised </w:t>
            </w:r>
            <w:r>
              <w:rPr>
                <w:rFonts w:ascii="Arial" w:cs="Arial" w:eastAsia="Arial" w:hAnsi="Arial"/>
                <w:sz w:val="19"/>
                <w:szCs w:val="19"/>
                <w:color w:val="auto"/>
                <w:vertAlign w:val="superscript"/>
              </w:rPr>
              <w:t>(1)</w:t>
            </w:r>
          </w:p>
        </w:tc>
        <w:tc>
          <w:tcPr>
            <w:tcW w:w="720" w:type="dxa"/>
            <w:vAlign w:val="bottom"/>
            <w:tcBorders>
              <w:top w:val="single" w:sz="8" w:color="CCEEFF"/>
            </w:tcBorders>
            <w:shd w:val="clear" w:color="auto" w:fill="CCEEFF"/>
          </w:tcPr>
          <w:p>
            <w:pPr>
              <w:jc w:val="right"/>
              <w:ind w:right="518"/>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cash proceeds from the exercise of stock options</w:t>
            </w: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9"/>
                <w:szCs w:val="19"/>
                <w:color w:val="auto"/>
              </w:rPr>
            </w:pPr>
          </w:p>
        </w:tc>
      </w:tr>
      <w:tr>
        <w:trPr>
          <w:trHeight w:val="236"/>
        </w:trPr>
        <w:tc>
          <w:tcPr>
            <w:tcW w:w="6280" w:type="dxa"/>
            <w:vAlign w:val="bottom"/>
          </w:tcPr>
          <w:p>
            <w:pPr>
              <w:ind w:left="20"/>
              <w:spacing w:after="0"/>
              <w:rPr>
                <w:sz w:val="20"/>
                <w:szCs w:val="20"/>
                <w:color w:val="auto"/>
              </w:rPr>
            </w:pPr>
            <w:r>
              <w:rPr>
                <w:rFonts w:ascii="Arial" w:cs="Arial" w:eastAsia="Arial" w:hAnsi="Arial"/>
                <w:sz w:val="16"/>
                <w:szCs w:val="16"/>
                <w:color w:val="auto"/>
              </w:rPr>
              <w:t>Actual income tax benefit realized from stock option exercises</w:t>
            </w:r>
          </w:p>
        </w:tc>
        <w:tc>
          <w:tcPr>
            <w:tcW w:w="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-140335</wp:posOffset>
            </wp:positionV>
            <wp:extent cx="7259320" cy="147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320" cy="147955"/>
                    </a:xfrm>
                    <a:prstGeom prst="rect">
                      <a:avLst/>
                    </a:prstGeom>
                    <a:noFill/>
                  </pic:spPr>
                </pic:pic>
              </a:graphicData>
            </a:graphic>
          </wp:anchor>
        </w:drawing>
      </w:r>
    </w:p>
    <w:p>
      <w:pPr>
        <w:ind w:left="286" w:hanging="286"/>
        <w:spacing w:after="0"/>
        <w:tabs>
          <w:tab w:leader="none" w:pos="286" w:val="left"/>
        </w:tabs>
        <w:numPr>
          <w:ilvl w:val="0"/>
          <w:numId w:val="39"/>
        </w:numPr>
        <w:rPr>
          <w:rFonts w:ascii="Arial" w:cs="Arial" w:eastAsia="Arial" w:hAnsi="Arial"/>
          <w:sz w:val="10"/>
          <w:szCs w:val="10"/>
          <w:color w:val="auto"/>
        </w:rPr>
      </w:pPr>
      <w:r>
        <w:rPr>
          <w:rFonts w:ascii="Arial" w:cs="Arial" w:eastAsia="Arial" w:hAnsi="Arial"/>
          <w:sz w:val="16"/>
          <w:szCs w:val="16"/>
          <w:color w:val="auto"/>
        </w:rPr>
        <w:t>&lt; /font&gt;</w:t>
      </w:r>
      <w:r>
        <w:rPr>
          <w:rFonts w:ascii="Arial" w:cs="Arial" w:eastAsia="Arial" w:hAnsi="Arial"/>
          <w:sz w:val="13"/>
          <w:szCs w:val="13"/>
          <w:color w:val="auto"/>
        </w:rPr>
        <w:t>The amount by which the closing price of our stock on the date of exercise exceeded the exercise price.</w:t>
      </w:r>
    </w:p>
    <w:p>
      <w:pPr>
        <w:spacing w:after="0" w:line="125" w:lineRule="exact"/>
        <w:rPr>
          <w:sz w:val="20"/>
          <w:szCs w:val="20"/>
          <w:color w:val="auto"/>
        </w:rPr>
      </w:pPr>
    </w:p>
    <w:p>
      <w:pPr>
        <w:ind w:left="26"/>
        <w:spacing w:after="0"/>
        <w:rPr>
          <w:sz w:val="20"/>
          <w:szCs w:val="20"/>
          <w:color w:val="auto"/>
        </w:rPr>
      </w:pPr>
      <w:r>
        <w:rPr>
          <w:rFonts w:ascii="Arial" w:cs="Arial" w:eastAsia="Arial" w:hAnsi="Arial"/>
          <w:sz w:val="16"/>
          <w:szCs w:val="16"/>
          <w:b w:val="1"/>
          <w:bCs w:val="1"/>
          <w:i w:val="1"/>
          <w:iCs w:val="1"/>
          <w:color w:val="auto"/>
        </w:rPr>
        <w:t>Employee Share Awards</w:t>
      </w:r>
    </w:p>
    <w:p>
      <w:pPr>
        <w:spacing w:after="0" w:line="32" w:lineRule="exact"/>
        <w:rPr>
          <w:sz w:val="20"/>
          <w:szCs w:val="20"/>
          <w:color w:val="auto"/>
        </w:rPr>
      </w:pPr>
    </w:p>
    <w:p>
      <w:pPr>
        <w:ind w:left="26"/>
        <w:spacing w:after="0"/>
        <w:rPr>
          <w:sz w:val="20"/>
          <w:szCs w:val="20"/>
          <w:color w:val="auto"/>
        </w:rPr>
      </w:pPr>
      <w:r>
        <w:rPr>
          <w:rFonts w:ascii="Arial" w:cs="Arial" w:eastAsia="Arial" w:hAnsi="Arial"/>
          <w:sz w:val="16"/>
          <w:szCs w:val="16"/>
          <w:color w:val="auto"/>
        </w:rPr>
        <w:t>A summary of nonvested employee share award activity for Fiscal 2010, 2009 and 2008 is as follows:</w:t>
      </w:r>
    </w:p>
    <w:p>
      <w:pPr>
        <w:spacing w:after="0" w:line="123" w:lineRule="exact"/>
        <w:rPr>
          <w:sz w:val="20"/>
          <w:szCs w:val="20"/>
          <w:color w:val="auto"/>
        </w:rPr>
      </w:pPr>
    </w:p>
    <w:p>
      <w:pPr>
        <w:ind w:left="1886"/>
        <w:spacing w:after="0"/>
        <w:rPr>
          <w:sz w:val="20"/>
          <w:szCs w:val="20"/>
          <w:color w:val="auto"/>
        </w:rPr>
      </w:pPr>
      <w:r>
        <w:rPr>
          <w:rFonts w:ascii="Arial" w:cs="Arial" w:eastAsia="Arial" w:hAnsi="Arial"/>
          <w:sz w:val="15"/>
          <w:szCs w:val="15"/>
          <w:color w:val="auto"/>
        </w:rPr>
        <w:t>&lt; td style="vertical-align:bottom;background-color:#cceeff;padding-left:2px;padding-top:2px;padding-bottom:2px;"&gt;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497</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643</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(53,930</w:t>
      </w:r>
    </w:p>
    <w:p>
      <w:pPr>
        <w:spacing w:after="0" w:line="41" w:lineRule="exact"/>
        <w:rPr>
          <w:sz w:val="20"/>
          <w:szCs w:val="20"/>
          <w:color w:val="auto"/>
        </w:rPr>
      </w:pPr>
    </w:p>
    <w:p>
      <w:pPr>
        <w:sectPr>
          <w:pgSz w:w="11900" w:h="16838" w:orient="portrait"/>
          <w:cols w:equalWidth="0" w:num="2">
            <w:col w:w="10186" w:space="720"/>
            <w:col w:w="540"/>
          </w:cols>
          <w:pgMar w:left="214" w:top="126" w:right="239" w:bottom="1440" w:gutter="0" w:footer="0" w:header="0"/>
          <w:type w:val="continuous"/>
        </w:sectPr>
      </w:pPr>
    </w:p>
    <w:tbl>
      <w:tblPr>
        <w:tblLayout w:type="fixed"/>
        <w:tblInd w:w="26" w:type="dxa"/>
        <w:tblCellMar>
          <w:top w:w="0" w:type="dxa"/>
          <w:left w:w="0" w:type="dxa"/>
          <w:bottom w:w="0" w:type="dxa"/>
          <w:right w:w="0" w:type="dxa"/>
        </w:tblCellMar>
      </w:tblPr>
      <w:tr>
        <w:trPr>
          <w:trHeight w:val="229"/>
        </w:trPr>
        <w:tc>
          <w:tcPr>
            <w:tcW w:w="1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1580"/>
              <w:spacing w:after="0"/>
              <w:rPr>
                <w:sz w:val="20"/>
                <w:szCs w:val="20"/>
                <w:color w:val="auto"/>
              </w:rPr>
            </w:pPr>
            <w:r>
              <w:rPr>
                <w:rFonts w:ascii="Arial" w:cs="Arial" w:eastAsia="Arial" w:hAnsi="Arial"/>
                <w:sz w:val="16"/>
                <w:szCs w:val="16"/>
                <w:b w:val="1"/>
                <w:bCs w:val="1"/>
                <w:color w:val="auto"/>
              </w:rPr>
              <w:t>Year Ended</w:t>
            </w:r>
            <w:r>
              <w:rPr>
                <w:rFonts w:ascii="Arial" w:cs="Arial" w:eastAsia="Arial" w:hAnsi="Arial"/>
                <w:sz w:val="19"/>
                <w:szCs w:val="19"/>
                <w:b w:val="1"/>
                <w:bCs w:val="1"/>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25"/>
        </w:trPr>
        <w:tc>
          <w:tcPr>
            <w:tcW w:w="1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1138"/>
              <w:spacing w:after="0"/>
              <w:rPr>
                <w:sz w:val="20"/>
                <w:szCs w:val="20"/>
                <w:color w:val="auto"/>
              </w:rPr>
            </w:pPr>
            <w:r>
              <w:rPr>
                <w:rFonts w:ascii="Arial" w:cs="Arial" w:eastAsia="Arial" w:hAnsi="Arial"/>
                <w:sz w:val="16"/>
                <w:szCs w:val="16"/>
                <w:b w:val="1"/>
                <w:bCs w:val="1"/>
                <w:color w:val="auto"/>
              </w:rPr>
              <w:t>August 28, 2010</w:t>
            </w:r>
          </w:p>
        </w:tc>
        <w:tc>
          <w:tcPr>
            <w:tcW w:w="3300" w:type="dxa"/>
            <w:vAlign w:val="bottom"/>
            <w:tcBorders>
              <w:bottom w:val="single" w:sz="8" w:color="auto"/>
            </w:tcBorders>
            <w:gridSpan w:val="4"/>
          </w:tcPr>
          <w:p>
            <w:pPr>
              <w:jc w:val="right"/>
              <w:ind w:right="1260"/>
              <w:spacing w:after="0"/>
              <w:rPr>
                <w:sz w:val="20"/>
                <w:szCs w:val="20"/>
                <w:color w:val="auto"/>
              </w:rPr>
            </w:pPr>
            <w:r>
              <w:rPr>
                <w:rFonts w:ascii="Arial" w:cs="Arial" w:eastAsia="Arial" w:hAnsi="Arial"/>
                <w:sz w:val="16"/>
                <w:szCs w:val="16"/>
                <w:b w:val="1"/>
                <w:bCs w:val="1"/>
                <w:color w:val="auto"/>
              </w:rPr>
              <w:t>August 29, 2009</w:t>
            </w:r>
          </w:p>
        </w:tc>
        <w:tc>
          <w:tcPr>
            <w:tcW w:w="258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August 30, 2008</w:t>
            </w:r>
          </w:p>
        </w:tc>
      </w:tr>
      <w:tr>
        <w:trPr>
          <w:trHeight w:val="180"/>
        </w:trPr>
        <w:tc>
          <w:tcPr>
            <w:tcW w:w="1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00"/>
              <w:spacing w:after="0" w:line="180" w:lineRule="exact"/>
              <w:rPr>
                <w:sz w:val="20"/>
                <w:szCs w:val="20"/>
                <w:color w:val="auto"/>
              </w:rPr>
            </w:pPr>
            <w:r>
              <w:rPr>
                <w:rFonts w:ascii="Arial" w:cs="Arial" w:eastAsia="Arial" w:hAnsi="Arial"/>
                <w:sz w:val="16"/>
                <w:szCs w:val="16"/>
                <w:b w:val="1"/>
                <w:bCs w:val="1"/>
                <w:color w:val="auto"/>
              </w:rPr>
              <w:t>Weighted</w:t>
            </w:r>
          </w:p>
        </w:tc>
      </w:tr>
      <w:tr>
        <w:trPr>
          <w:trHeight w:val="184"/>
        </w:trPr>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00" w:type="dxa"/>
            <w:vAlign w:val="bottom"/>
            <w:gridSpan w:val="3"/>
          </w:tcPr>
          <w:p>
            <w:pPr>
              <w:jc w:val="right"/>
              <w:ind w:right="338"/>
              <w:spacing w:after="0"/>
              <w:rPr>
                <w:sz w:val="20"/>
                <w:szCs w:val="20"/>
                <w:color w:val="auto"/>
              </w:rPr>
            </w:pPr>
            <w:r>
              <w:rPr>
                <w:rFonts w:ascii="Arial" w:cs="Arial" w:eastAsia="Arial" w:hAnsi="Arial"/>
                <w:sz w:val="16"/>
                <w:szCs w:val="16"/>
                <w:b w:val="1"/>
                <w:bCs w:val="1"/>
                <w:color w:val="auto"/>
              </w:rPr>
              <w:t>W eighted Average</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Weighted Average</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Average Grant</w:t>
            </w:r>
          </w:p>
        </w:tc>
      </w:tr>
      <w:tr>
        <w:trPr>
          <w:trHeight w:val="223"/>
        </w:trPr>
        <w:tc>
          <w:tcPr>
            <w:tcW w:w="1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Shares</w:t>
            </w:r>
          </w:p>
        </w:tc>
        <w:tc>
          <w:tcPr>
            <w:tcW w:w="210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6"/>
                <w:szCs w:val="16"/>
                <w:b w:val="1"/>
                <w:bCs w:val="1"/>
                <w:color w:val="auto"/>
              </w:rPr>
              <w:t>Grant Date Fair Value</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Shares</w:t>
            </w:r>
          </w:p>
        </w:tc>
        <w:tc>
          <w:tcPr>
            <w:tcW w:w="23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Grant Date Fair Value</w:t>
            </w: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b w:val="1"/>
                <w:bCs w:val="1"/>
                <w:color w:val="auto"/>
              </w:rPr>
              <w:t>Date Fair Value</w:t>
            </w:r>
          </w:p>
        </w:tc>
      </w:tr>
      <w:tr>
        <w:trPr>
          <w:trHeight w:val="232"/>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year</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82,240</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758"/>
              <w:spacing w:after="0"/>
              <w:rPr>
                <w:sz w:val="20"/>
                <w:szCs w:val="20"/>
                <w:color w:val="auto"/>
              </w:rPr>
            </w:pPr>
            <w:r>
              <w:rPr>
                <w:rFonts w:ascii="Arial" w:cs="Arial" w:eastAsia="Arial" w:hAnsi="Arial"/>
                <w:sz w:val="16"/>
                <w:szCs w:val="16"/>
                <w:color w:val="auto"/>
              </w:rPr>
              <w:t>29.97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138,112</w:t>
            </w:r>
          </w:p>
        </w:tc>
        <w:tc>
          <w:tcPr>
            <w:tcW w:w="4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38"/>
              <w:spacing w:after="0"/>
              <w:rPr>
                <w:sz w:val="20"/>
                <w:szCs w:val="20"/>
                <w:color w:val="auto"/>
              </w:rPr>
            </w:pPr>
            <w:r>
              <w:rPr>
                <w:rFonts w:ascii="Arial" w:cs="Arial" w:eastAsia="Arial" w:hAnsi="Arial"/>
                <w:sz w:val="16"/>
                <w:szCs w:val="16"/>
                <w:color w:val="auto"/>
              </w:rPr>
              <w:t>30.36</w:t>
            </w: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89,850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34.36</w:t>
            </w:r>
          </w:p>
        </w:tc>
      </w:tr>
      <w:tr>
        <w:trPr>
          <w:trHeight w:val="226"/>
        </w:trPr>
        <w:tc>
          <w:tcPr>
            <w:tcW w:w="1680" w:type="dxa"/>
            <w:vAlign w:val="bottom"/>
          </w:tcPr>
          <w:p>
            <w:pPr>
              <w:ind w:left="20"/>
              <w:spacing w:after="0"/>
              <w:rPr>
                <w:sz w:val="20"/>
                <w:szCs w:val="20"/>
                <w:color w:val="auto"/>
              </w:rPr>
            </w:pPr>
            <w:r>
              <w:rPr>
                <w:rFonts w:ascii="Arial" w:cs="Arial" w:eastAsia="Arial" w:hAnsi="Arial"/>
                <w:sz w:val="16"/>
                <w:szCs w:val="16"/>
                <w:color w:val="auto"/>
              </w:rPr>
              <w:t>Granted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240"/>
              <w:spacing w:after="0"/>
              <w:rPr>
                <w:sz w:val="20"/>
                <w:szCs w:val="20"/>
                <w:color w:val="auto"/>
              </w:rPr>
            </w:pPr>
            <w:r>
              <w:rPr>
                <w:rFonts w:ascii="Arial" w:cs="Arial" w:eastAsia="Arial" w:hAnsi="Arial"/>
                <w:sz w:val="16"/>
                <w:szCs w:val="16"/>
                <w:color w:val="auto"/>
              </w:rPr>
              <w:t>129,200</w:t>
            </w:r>
          </w:p>
        </w:tc>
        <w:tc>
          <w:tcPr>
            <w:tcW w:w="960" w:type="dxa"/>
            <w:vAlign w:val="bottom"/>
          </w:tcPr>
          <w:p>
            <w:pPr>
              <w:spacing w:after="0"/>
              <w:rPr>
                <w:sz w:val="19"/>
                <w:szCs w:val="19"/>
                <w:color w:val="auto"/>
              </w:rPr>
            </w:pPr>
          </w:p>
        </w:tc>
        <w:tc>
          <w:tcPr>
            <w:tcW w:w="1540" w:type="dxa"/>
            <w:vAlign w:val="bottom"/>
            <w:gridSpan w:val="3"/>
          </w:tcPr>
          <w:p>
            <w:pPr>
              <w:jc w:val="right"/>
              <w:ind w:right="1038"/>
              <w:spacing w:after="0"/>
              <w:rPr>
                <w:sz w:val="20"/>
                <w:szCs w:val="20"/>
                <w:color w:val="auto"/>
              </w:rPr>
            </w:pPr>
            <w:r>
              <w:rPr>
                <w:rFonts w:ascii="Arial" w:cs="Arial" w:eastAsia="Arial" w:hAnsi="Arial"/>
                <w:sz w:val="16"/>
                <w:szCs w:val="16"/>
                <w:color w:val="auto"/>
                <w:w w:val="99"/>
              </w:rPr>
              <w:t>26.61</w:t>
            </w:r>
          </w:p>
        </w:tc>
        <w:tc>
          <w:tcPr>
            <w:tcW w:w="80" w:type="dxa"/>
            <w:vAlign w:val="bottom"/>
          </w:tcPr>
          <w:p>
            <w:pPr>
              <w:spacing w:after="0"/>
              <w:rPr>
                <w:sz w:val="19"/>
                <w:szCs w:val="19"/>
                <w:color w:val="auto"/>
              </w:rPr>
            </w:pPr>
          </w:p>
        </w:tc>
      </w:tr>
      <w:tr>
        <w:trPr>
          <w:trHeight w:val="240"/>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30.90</w:t>
            </w:r>
          </w:p>
        </w:tc>
        <w:tc>
          <w:tcPr>
            <w:tcW w:w="15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(54,672)</w:t>
            </w:r>
          </w:p>
        </w:tc>
        <w:tc>
          <w:tcPr>
            <w:tcW w:w="9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30.95</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(79,938)</w:t>
            </w:r>
          </w:p>
        </w:tc>
        <w:tc>
          <w:tcPr>
            <w:tcW w:w="960" w:type="dxa"/>
            <w:vAlign w:val="bottom"/>
            <w:tcBorders>
              <w:right w:val="single" w:sz="8" w:color="CCEEFF"/>
            </w:tcBorders>
            <w:shd w:val="clear" w:color="auto" w:fill="CCEEFF"/>
          </w:tcPr>
          <w:p>
            <w:pPr>
              <w:spacing w:after="0"/>
              <w:rPr>
                <w:sz w:val="20"/>
                <w:szCs w:val="20"/>
                <w:color w:val="auto"/>
              </w:rPr>
            </w:pPr>
          </w:p>
        </w:tc>
        <w:tc>
          <w:tcPr>
            <w:tcW w:w="1540" w:type="dxa"/>
            <w:vAlign w:val="bottom"/>
            <w:gridSpan w:val="3"/>
            <w:shd w:val="clear" w:color="auto" w:fill="CCEEFF"/>
          </w:tcPr>
          <w:p>
            <w:pPr>
              <w:jc w:val="right"/>
              <w:ind w:right="1038"/>
              <w:spacing w:after="0"/>
              <w:rPr>
                <w:sz w:val="20"/>
                <w:szCs w:val="20"/>
                <w:color w:val="auto"/>
              </w:rPr>
            </w:pPr>
            <w:r>
              <w:rPr>
                <w:rFonts w:ascii="Arial" w:cs="Arial" w:eastAsia="Arial" w:hAnsi="Arial"/>
                <w:sz w:val="16"/>
                <w:szCs w:val="16"/>
                <w:color w:val="auto"/>
                <w:w w:val="99"/>
              </w:rPr>
              <w:t>28.79</w:t>
            </w:r>
          </w:p>
        </w:tc>
        <w:tc>
          <w:tcPr>
            <w:tcW w:w="80" w:type="dxa"/>
            <w:vAlign w:val="bottom"/>
          </w:tcPr>
          <w:p>
            <w:pPr>
              <w:spacing w:after="0"/>
              <w:rPr>
                <w:sz w:val="20"/>
                <w:szCs w:val="20"/>
                <w:color w:val="auto"/>
              </w:rPr>
            </w:pPr>
          </w:p>
        </w:tc>
      </w:tr>
      <w:tr>
        <w:trPr>
          <w:trHeight w:val="226"/>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(200)</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8"/>
              <w:spacing w:after="0"/>
              <w:rPr>
                <w:sz w:val="20"/>
                <w:szCs w:val="20"/>
                <w:color w:val="auto"/>
              </w:rPr>
            </w:pPr>
            <w:r>
              <w:rPr>
                <w:rFonts w:ascii="Arial" w:cs="Arial" w:eastAsia="Arial" w:hAnsi="Arial"/>
                <w:sz w:val="16"/>
                <w:szCs w:val="16"/>
                <w:color w:val="auto"/>
              </w:rPr>
              <w:t>28.21</w:t>
            </w:r>
          </w:p>
        </w:tc>
        <w:tc>
          <w:tcPr>
            <w:tcW w:w="1400" w:type="dxa"/>
            <w:vAlign w:val="bottom"/>
            <w:tcBorders>
              <w:bottom w:val="single" w:sz="8" w:color="auto"/>
            </w:tcBorders>
            <w:gridSpan w:val="2"/>
          </w:tcPr>
          <w:p>
            <w:pPr>
              <w:jc w:val="right"/>
              <w:ind w:right="338"/>
              <w:spacing w:after="0"/>
              <w:rPr>
                <w:sz w:val="20"/>
                <w:szCs w:val="20"/>
                <w:color w:val="auto"/>
              </w:rPr>
            </w:pPr>
            <w:r>
              <w:rPr>
                <w:rFonts w:ascii="Arial" w:cs="Arial" w:eastAsia="Arial" w:hAnsi="Arial"/>
                <w:sz w:val="16"/>
                <w:szCs w:val="16"/>
                <w:color w:val="auto"/>
              </w:rPr>
              <w:t>(1,200)</w:t>
            </w:r>
          </w:p>
        </w:tc>
        <w:tc>
          <w:tcPr>
            <w:tcW w:w="16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color w:val="auto"/>
              </w:rPr>
              <w:t>30.26</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6"/>
                <w:szCs w:val="16"/>
                <w:color w:val="auto"/>
              </w:rPr>
              <w:t>(1,000)</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30.67</w:t>
            </w:r>
          </w:p>
        </w:tc>
      </w:tr>
      <w:tr>
        <w:trPr>
          <w:trHeight w:val="244"/>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of year</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28,110</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rPr>
              <w:t>28.21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82,240</w:t>
            </w:r>
          </w:p>
        </w:tc>
        <w:tc>
          <w:tcPr>
            <w:tcW w:w="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6"/>
                <w:szCs w:val="16"/>
                <w:color w:val="auto"/>
              </w:rPr>
              <w:t>29.97</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CCEEFF"/>
            </w:tcBorders>
          </w:tcPr>
          <w:p>
            <w:pPr>
              <w:jc w:val="right"/>
              <w:spacing w:after="0"/>
              <w:rPr>
                <w:sz w:val="20"/>
                <w:szCs w:val="20"/>
                <w:color w:val="auto"/>
              </w:rPr>
            </w:pPr>
            <w:r>
              <w:rPr>
                <w:rFonts w:ascii="Arial" w:cs="Arial" w:eastAsia="Arial" w:hAnsi="Arial"/>
                <w:sz w:val="16"/>
                <w:szCs w:val="16"/>
                <w:color w:val="auto"/>
              </w:rPr>
              <w:t>138,112</w:t>
            </w: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30.36</w:t>
            </w:r>
          </w:p>
        </w:tc>
      </w:tr>
      <w:tr>
        <w:trPr>
          <w:trHeight w:val="20"/>
        </w:trPr>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266" w:hanging="266"/>
        <w:spacing w:after="0"/>
        <w:tabs>
          <w:tab w:leader="none" w:pos="266" w:val="left"/>
        </w:tabs>
        <w:numPr>
          <w:ilvl w:val="0"/>
          <w:numId w:val="40"/>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140" w:lineRule="exact"/>
        <w:rPr>
          <w:sz w:val="20"/>
          <w:szCs w:val="20"/>
          <w:color w:val="auto"/>
        </w:rPr>
      </w:pPr>
    </w:p>
    <w:p>
      <w:pPr>
        <w:ind w:left="26"/>
        <w:spacing w:after="0"/>
        <w:rPr>
          <w:sz w:val="20"/>
          <w:szCs w:val="20"/>
          <w:color w:val="auto"/>
        </w:rPr>
      </w:pPr>
      <w:r>
        <w:rPr>
          <w:rFonts w:ascii="Arial" w:cs="Arial" w:eastAsia="Arial" w:hAnsi="Arial"/>
          <w:sz w:val="16"/>
          <w:szCs w:val="16"/>
          <w:color w:val="auto"/>
        </w:rPr>
        <w:t>The aggregate intrinsic value of employee awards outstanding at August 28, 2010 was $254,000.</w:t>
      </w:r>
    </w:p>
    <w:p>
      <w:pPr>
        <w:spacing w:after="0" w:line="159" w:lineRule="exact"/>
        <w:rPr>
          <w:sz w:val="20"/>
          <w:szCs w:val="20"/>
          <w:color w:val="auto"/>
        </w:rPr>
      </w:pPr>
    </w:p>
    <w:p>
      <w:pPr>
        <w:ind w:left="46"/>
        <w:spacing w:after="0"/>
        <w:rPr>
          <w:sz w:val="20"/>
          <w:szCs w:val="20"/>
          <w:color w:val="auto"/>
        </w:rPr>
      </w:pPr>
      <w:r>
        <w:rPr>
          <w:rFonts w:ascii="Arial" w:cs="Arial" w:eastAsia="Arial" w:hAnsi="Arial"/>
          <w:sz w:val="16"/>
          <w:szCs w:val="16"/>
          <w:color w:val="auto"/>
        </w:rPr>
        <w:t>As of August 28, 2010, there was $38,000 of unrecognized compensation expense related to restricted stock awards that is expected to be recognized over a</w:t>
      </w:r>
    </w:p>
    <w:p>
      <w:pPr>
        <w:spacing w:after="0" w:line="12"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weighted average period of less than two months. The total fair value of awards</w:t>
      </w:r>
    </w:p>
    <w:p>
      <w:pPr>
        <w:spacing w:after="0" w:line="223"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46"/>
          </w:cols>
          <w:pgMar w:left="214" w:top="126" w:right="239" w:bottom="1440" w:gutter="0" w:footer="0" w:header="0"/>
          <w:type w:val="continuous"/>
        </w:sectPr>
      </w:pPr>
    </w:p>
    <w:bookmarkStart w:id="46" w:name="page47"/>
    <w:bookmarkEnd w:id="46"/>
    <w:p>
      <w:pPr>
        <w:jc w:val="center"/>
        <w:ind w:right="-5"/>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vested during Fiscal 2010, Fiscal 2009 and Fiscal 2008 was $1.7 million, $1.7 million and $2.3 million, respectively.</w:t>
      </w:r>
    </w:p>
    <w:p>
      <w:pPr>
        <w:spacing w:after="0" w:line="189"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 xml:space="preserve">Note 13: </w:t>
      </w:r>
      <w:r>
        <w:rPr>
          <w:rFonts w:ascii="Arial" w:cs="Arial" w:eastAsia="Arial" w:hAnsi="Arial"/>
          <w:sz w:val="16"/>
          <w:szCs w:val="16"/>
          <w:color w:val="auto"/>
        </w:rPr>
        <w:t>Net Revenues Classifications</w:t>
      </w:r>
    </w:p>
    <w:p>
      <w:pPr>
        <w:spacing w:after="0" w:line="179" w:lineRule="exact"/>
        <w:rPr>
          <w:sz w:val="20"/>
          <w:szCs w:val="20"/>
          <w:color w:val="auto"/>
        </w:rPr>
      </w:pPr>
    </w:p>
    <w:p>
      <w:pPr>
        <w:ind w:left="26"/>
        <w:spacing w:after="0"/>
        <w:rPr>
          <w:sz w:val="20"/>
          <w:szCs w:val="20"/>
          <w:color w:val="auto"/>
        </w:rPr>
      </w:pPr>
      <w:r>
        <w:rPr>
          <w:rFonts w:ascii="Arial" w:cs="Arial" w:eastAsia="Arial" w:hAnsi="Arial"/>
          <w:sz w:val="16"/>
          <w:szCs w:val="16"/>
          <w:color w:val="auto"/>
        </w:rPr>
        <w:t>Net revenue by product class:</w:t>
      </w:r>
    </w:p>
    <w:p>
      <w:pPr>
        <w:spacing w:after="0" w:line="1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&lt; td colspan="2" style="vertical-align:bottom;padding-left:2px;padding-top:2px;padding-bottom:2px;"&gt;</w:t>
      </w:r>
    </w:p>
    <w:p>
      <w:pPr>
        <w:spacing w:after="0" w:line="24" w:lineRule="exact"/>
        <w:rPr>
          <w:sz w:val="20"/>
          <w:szCs w:val="20"/>
          <w:color w:val="auto"/>
        </w:rPr>
      </w:pPr>
    </w:p>
    <w:tbl>
      <w:tblPr>
        <w:tblLayout w:type="fixed"/>
        <w:tblInd w:w="26"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13,655</w:t>
            </w:r>
          </w:p>
        </w:tc>
      </w:tr>
      <w:tr>
        <w:trPr>
          <w:trHeight w:val="246"/>
        </w:trPr>
        <w:tc>
          <w:tcPr>
            <w:tcW w:w="38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19"/>
                <w:szCs w:val="19"/>
                <w:b w:val="1"/>
                <w:bCs w:val="1"/>
                <w:color w:val="auto"/>
                <w:vertAlign w:val="superscript"/>
              </w:rPr>
              <w:t>(1)</w:t>
            </w:r>
          </w:p>
        </w:tc>
        <w:tc>
          <w:tcPr>
            <w:tcW w:w="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1"/>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152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6"/>
                <w:szCs w:val="16"/>
                <w:b w:val="1"/>
                <w:bCs w:val="1"/>
                <w:color w:val="auto"/>
              </w:rPr>
              <w:t>August 28, 2010</w:t>
            </w:r>
          </w:p>
        </w:tc>
        <w:tc>
          <w:tcPr>
            <w:tcW w:w="112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6"/>
                <w:szCs w:val="16"/>
                <w:b w:val="1"/>
                <w:bCs w:val="1"/>
                <w:color w:val="auto"/>
              </w:rPr>
              <w:t>August 29, 2009</w:t>
            </w:r>
          </w:p>
        </w:tc>
        <w:tc>
          <w:tcPr>
            <w:tcW w:w="96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6"/>
                <w:szCs w:val="16"/>
                <w:b w:val="1"/>
                <w:bCs w:val="1"/>
                <w:color w:val="auto"/>
              </w:rPr>
              <w:t>August 30, 2008</w:t>
            </w:r>
          </w:p>
        </w:tc>
        <w:tc>
          <w:tcPr>
            <w:tcW w:w="7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r>
      <w:tr>
        <w:trPr>
          <w:trHeight w:val="244"/>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 homes</w:t>
            </w: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415,277</w:t>
            </w:r>
          </w:p>
        </w:tc>
        <w:tc>
          <w:tcPr>
            <w:tcW w:w="112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92.4%</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38"/>
              <w:spacing w:after="0"/>
              <w:rPr>
                <w:sz w:val="20"/>
                <w:szCs w:val="20"/>
                <w:color w:val="auto"/>
              </w:rPr>
            </w:pPr>
            <w:r>
              <w:rPr>
                <w:rFonts w:ascii="Arial" w:cs="Arial" w:eastAsia="Arial" w:hAnsi="Arial"/>
                <w:sz w:val="16"/>
                <w:szCs w:val="16"/>
                <w:color w:val="auto"/>
              </w:rPr>
              <w:t>178,619</w:t>
            </w:r>
          </w:p>
        </w:tc>
        <w:tc>
          <w:tcPr>
            <w:tcW w:w="96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84.5%</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555,671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20" w:type="dxa"/>
            <w:vAlign w:val="bottom"/>
          </w:tcPr>
          <w:p>
            <w:pPr>
              <w:spacing w:after="0"/>
              <w:rPr>
                <w:sz w:val="21"/>
                <w:szCs w:val="21"/>
                <w:color w:val="auto"/>
              </w:rPr>
            </w:pPr>
          </w:p>
        </w:tc>
      </w:tr>
      <w:tr>
        <w:trPr>
          <w:trHeight w:val="245"/>
        </w:trPr>
        <w:tc>
          <w:tcPr>
            <w:tcW w:w="3880" w:type="dxa"/>
            <w:vAlign w:val="bottom"/>
          </w:tcPr>
          <w:p>
            <w:pPr>
              <w:ind w:left="20"/>
              <w:spacing w:after="0"/>
              <w:rPr>
                <w:sz w:val="20"/>
                <w:szCs w:val="20"/>
                <w:color w:val="auto"/>
              </w:rPr>
            </w:pPr>
            <w:r>
              <w:rPr>
                <w:rFonts w:ascii="Arial" w:cs="Arial" w:eastAsia="Arial" w:hAnsi="Arial"/>
                <w:sz w:val="16"/>
                <w:szCs w:val="16"/>
                <w:color w:val="auto"/>
              </w:rPr>
              <w:t>Motor home parts and services</w:t>
            </w:r>
          </w:p>
        </w:tc>
        <w:tc>
          <w:tcPr>
            <w:tcW w:w="360" w:type="dxa"/>
            <w:vAlign w:val="bottom"/>
          </w:tcPr>
          <w:p>
            <w:pPr>
              <w:spacing w:after="0"/>
              <w:rPr>
                <w:sz w:val="21"/>
                <w:szCs w:val="21"/>
                <w:color w:val="auto"/>
              </w:rPr>
            </w:pPr>
          </w:p>
        </w:tc>
        <w:tc>
          <w:tcPr>
            <w:tcW w:w="1160" w:type="dxa"/>
            <w:vAlign w:val="bottom"/>
          </w:tcPr>
          <w:p>
            <w:pPr>
              <w:jc w:val="right"/>
              <w:ind w:right="118"/>
              <w:spacing w:after="0"/>
              <w:rPr>
                <w:sz w:val="20"/>
                <w:szCs w:val="20"/>
                <w:color w:val="auto"/>
              </w:rPr>
            </w:pPr>
            <w:r>
              <w:rPr>
                <w:rFonts w:ascii="Arial" w:cs="Arial" w:eastAsia="Arial" w:hAnsi="Arial"/>
                <w:sz w:val="16"/>
                <w:szCs w:val="16"/>
                <w:color w:val="auto"/>
              </w:rPr>
              <w:t>3.0%</w:t>
            </w:r>
          </w:p>
        </w:tc>
        <w:tc>
          <w:tcPr>
            <w:tcW w:w="1120" w:type="dxa"/>
            <w:vAlign w:val="bottom"/>
          </w:tcPr>
          <w:p>
            <w:pPr>
              <w:jc w:val="right"/>
              <w:spacing w:after="0"/>
              <w:rPr>
                <w:sz w:val="20"/>
                <w:szCs w:val="20"/>
                <w:color w:val="auto"/>
              </w:rPr>
            </w:pPr>
            <w:r>
              <w:rPr>
                <w:rFonts w:ascii="Arial" w:cs="Arial" w:eastAsia="Arial" w:hAnsi="Arial"/>
                <w:sz w:val="16"/>
                <w:szCs w:val="16"/>
                <w:color w:val="auto"/>
              </w:rPr>
              <w:t>12,559</w:t>
            </w:r>
          </w:p>
        </w:tc>
        <w:tc>
          <w:tcPr>
            <w:tcW w:w="340" w:type="dxa"/>
            <w:vAlign w:val="bottom"/>
          </w:tcPr>
          <w:p>
            <w:pPr>
              <w:spacing w:after="0"/>
              <w:rPr>
                <w:sz w:val="21"/>
                <w:szCs w:val="21"/>
                <w:color w:val="auto"/>
              </w:rPr>
            </w:pPr>
          </w:p>
        </w:tc>
        <w:tc>
          <w:tcPr>
            <w:tcW w:w="1340" w:type="dxa"/>
            <w:vAlign w:val="bottom"/>
          </w:tcPr>
          <w:p>
            <w:pPr>
              <w:jc w:val="right"/>
              <w:ind w:right="278"/>
              <w:spacing w:after="0"/>
              <w:rPr>
                <w:sz w:val="20"/>
                <w:szCs w:val="20"/>
                <w:color w:val="auto"/>
              </w:rPr>
            </w:pPr>
            <w:r>
              <w:rPr>
                <w:rFonts w:ascii="Arial" w:cs="Arial" w:eastAsia="Arial" w:hAnsi="Arial"/>
                <w:sz w:val="16"/>
                <w:szCs w:val="16"/>
                <w:color w:val="auto"/>
              </w:rPr>
              <w:t>5.9%</w:t>
            </w:r>
          </w:p>
        </w:tc>
        <w:tc>
          <w:tcPr>
            <w:tcW w:w="960" w:type="dxa"/>
            <w:vAlign w:val="bottom"/>
          </w:tcPr>
          <w:p>
            <w:pPr>
              <w:jc w:val="right"/>
              <w:spacing w:after="0"/>
              <w:rPr>
                <w:sz w:val="20"/>
                <w:szCs w:val="20"/>
                <w:color w:val="auto"/>
              </w:rPr>
            </w:pPr>
            <w:r>
              <w:rPr>
                <w:rFonts w:ascii="Arial" w:cs="Arial" w:eastAsia="Arial" w:hAnsi="Arial"/>
                <w:sz w:val="16"/>
                <w:szCs w:val="16"/>
                <w:color w:val="auto"/>
              </w:rPr>
              <w:t>16,923</w:t>
            </w:r>
          </w:p>
        </w:tc>
        <w:tc>
          <w:tcPr>
            <w:tcW w:w="340" w:type="dxa"/>
            <w:vAlign w:val="bottom"/>
          </w:tcPr>
          <w:p>
            <w:pPr>
              <w:spacing w:after="0"/>
              <w:rPr>
                <w:sz w:val="21"/>
                <w:szCs w:val="21"/>
                <w:color w:val="auto"/>
              </w:rPr>
            </w:pPr>
          </w:p>
        </w:tc>
        <w:tc>
          <w:tcPr>
            <w:tcW w:w="1160" w:type="dxa"/>
            <w:vAlign w:val="bottom"/>
          </w:tcPr>
          <w:p>
            <w:pPr>
              <w:jc w:val="right"/>
              <w:ind w:right="98"/>
              <w:spacing w:after="0"/>
              <w:rPr>
                <w:sz w:val="20"/>
                <w:szCs w:val="20"/>
                <w:color w:val="auto"/>
              </w:rPr>
            </w:pPr>
            <w:r>
              <w:rPr>
                <w:rFonts w:ascii="Arial" w:cs="Arial" w:eastAsia="Arial" w:hAnsi="Arial"/>
                <w:sz w:val="16"/>
                <w:szCs w:val="16"/>
                <w:color w:val="auto"/>
              </w:rPr>
              <w:t>2.8%</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20,552</w:t>
            </w:r>
          </w:p>
        </w:tc>
        <w:tc>
          <w:tcPr>
            <w:tcW w:w="112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rPr>
              <w:t>4.6%</w:t>
            </w:r>
          </w:p>
        </w:tc>
        <w:tc>
          <w:tcPr>
            <w:tcW w:w="3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6"/>
                <w:szCs w:val="16"/>
                <w:color w:val="auto"/>
              </w:rPr>
              <w:t>20,341</w:t>
            </w:r>
          </w:p>
        </w:tc>
        <w:tc>
          <w:tcPr>
            <w:tcW w:w="96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rPr>
              <w:t>9.6%</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31,758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20"/>
                <w:szCs w:val="20"/>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78"/>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58"/>
              <w:spacing w:after="0"/>
              <w:rPr>
                <w:sz w:val="20"/>
                <w:szCs w:val="20"/>
                <w:color w:val="auto"/>
              </w:rPr>
            </w:pPr>
            <w:r>
              <w:rPr>
                <w:rFonts w:ascii="Arial" w:cs="Arial" w:eastAsia="Arial" w:hAnsi="Arial"/>
                <w:sz w:val="16"/>
                <w:szCs w:val="16"/>
                <w:color w:val="auto"/>
              </w:rPr>
              <w:t>449,484</w:t>
            </w:r>
          </w:p>
        </w:tc>
        <w:tc>
          <w:tcPr>
            <w:tcW w:w="1120" w:type="dxa"/>
            <w:vAlign w:val="bottom"/>
          </w:tcPr>
          <w:p>
            <w:pPr>
              <w:jc w:val="right"/>
              <w:ind w:right="318"/>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38"/>
              <w:spacing w:after="0"/>
              <w:rPr>
                <w:sz w:val="20"/>
                <w:szCs w:val="20"/>
                <w:color w:val="auto"/>
              </w:rPr>
            </w:pPr>
            <w:r>
              <w:rPr>
                <w:rFonts w:ascii="Arial" w:cs="Arial" w:eastAsia="Arial" w:hAnsi="Arial"/>
                <w:sz w:val="16"/>
                <w:szCs w:val="16"/>
                <w:color w:val="auto"/>
              </w:rPr>
              <w:t>211,519</w:t>
            </w:r>
          </w:p>
        </w:tc>
        <w:tc>
          <w:tcPr>
            <w:tcW w:w="960" w:type="dxa"/>
            <w:vAlign w:val="bottom"/>
          </w:tcPr>
          <w:p>
            <w:pPr>
              <w:jc w:val="right"/>
              <w:ind w:right="318"/>
              <w:spacing w:after="0"/>
              <w:rPr>
                <w:sz w:val="20"/>
                <w:szCs w:val="20"/>
                <w:color w:val="auto"/>
              </w:rPr>
            </w:pPr>
            <w:r>
              <w:rPr>
                <w:rFonts w:ascii="Arial" w:cs="Arial" w:eastAsia="Arial" w:hAnsi="Arial"/>
                <w:sz w:val="16"/>
                <w:szCs w:val="16"/>
                <w:color w:val="auto"/>
                <w:w w:val="99"/>
              </w:rPr>
              <w:t>100.0%</w:t>
            </w: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58"/>
              <w:spacing w:after="0"/>
              <w:rPr>
                <w:sz w:val="20"/>
                <w:szCs w:val="20"/>
                <w:color w:val="auto"/>
              </w:rPr>
            </w:pPr>
            <w:r>
              <w:rPr>
                <w:rFonts w:ascii="Arial" w:cs="Arial" w:eastAsia="Arial" w:hAnsi="Arial"/>
                <w:sz w:val="16"/>
                <w:szCs w:val="16"/>
                <w:color w:val="auto"/>
              </w:rPr>
              <w:t>604,352</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635</wp:posOffset>
            </wp:positionV>
            <wp:extent cx="479806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98060" cy="23495"/>
                    </a:xfrm>
                    <a:prstGeom prst="rect">
                      <a:avLst/>
                    </a:prstGeom>
                    <a:noFill/>
                  </pic:spPr>
                </pic:pic>
              </a:graphicData>
            </a:graphic>
          </wp:anchor>
        </w:drawing>
      </w:r>
    </w:p>
    <w:p>
      <w:pPr>
        <w:spacing w:after="0" w:line="22" w:lineRule="exact"/>
        <w:rPr>
          <w:sz w:val="20"/>
          <w:szCs w:val="20"/>
          <w:color w:val="auto"/>
        </w:rPr>
      </w:pPr>
    </w:p>
    <w:p>
      <w:pPr>
        <w:ind w:left="266" w:hanging="266"/>
        <w:spacing w:after="0"/>
        <w:tabs>
          <w:tab w:leader="none" w:pos="266" w:val="left"/>
        </w:tabs>
        <w:numPr>
          <w:ilvl w:val="0"/>
          <w:numId w:val="41"/>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140" w:lineRule="exact"/>
        <w:rPr>
          <w:sz w:val="20"/>
          <w:szCs w:val="20"/>
          <w:color w:val="auto"/>
        </w:rPr>
      </w:pPr>
    </w:p>
    <w:tbl>
      <w:tblPr>
        <w:tblLayout w:type="fixed"/>
        <w:tblInd w:w="26" w:type="dxa"/>
        <w:tblCellMar>
          <w:top w:w="0" w:type="dxa"/>
          <w:left w:w="0" w:type="dxa"/>
          <w:bottom w:w="0" w:type="dxa"/>
          <w:right w:w="0" w:type="dxa"/>
        </w:tblCellMar>
      </w:tblP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Net revenue by geographic area:</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37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238"/>
              <w:spacing w:after="0"/>
              <w:rPr>
                <w:sz w:val="20"/>
                <w:szCs w:val="20"/>
                <w:color w:val="auto"/>
              </w:rPr>
            </w:pPr>
            <w:r>
              <w:rPr>
                <w:rFonts w:ascii="Arial" w:cs="Arial" w:eastAsia="Arial" w:hAnsi="Arial"/>
                <w:sz w:val="16"/>
                <w:szCs w:val="16"/>
                <w:b w:val="1"/>
                <w:bCs w:val="1"/>
                <w:color w:val="auto"/>
                <w:w w:val="96"/>
              </w:rPr>
              <w:t xml:space="preserve">Year Ended </w:t>
            </w:r>
            <w:r>
              <w:rPr>
                <w:rFonts w:ascii="Arial" w:cs="Arial" w:eastAsia="Arial" w:hAnsi="Arial"/>
                <w:sz w:val="19"/>
                <w:szCs w:val="19"/>
                <w:b w:val="1"/>
                <w:bCs w:val="1"/>
                <w:color w:val="auto"/>
                <w:w w:val="96"/>
                <w:vertAlign w:val="superscript"/>
              </w:rPr>
              <w:t>(1)</w:t>
            </w: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August 28, 2010</w:t>
            </w:r>
          </w:p>
        </w:tc>
        <w:tc>
          <w:tcPr>
            <w:tcW w:w="8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August 29, 2009</w:t>
            </w: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August 30, 2008</w:t>
            </w:r>
          </w:p>
        </w:tc>
        <w:tc>
          <w:tcPr>
            <w:tcW w:w="92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4"/>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 es</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413,154</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91.9%</w:t>
            </w:r>
          </w:p>
        </w:tc>
        <w:tc>
          <w:tcPr>
            <w:tcW w:w="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199,579</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758"/>
              <w:spacing w:after="0"/>
              <w:rPr>
                <w:sz w:val="20"/>
                <w:szCs w:val="20"/>
                <w:color w:val="auto"/>
              </w:rPr>
            </w:pPr>
            <w:r>
              <w:rPr>
                <w:rFonts w:ascii="Arial" w:cs="Arial" w:eastAsia="Arial" w:hAnsi="Arial"/>
                <w:sz w:val="16"/>
                <w:szCs w:val="16"/>
                <w:color w:val="auto"/>
              </w:rPr>
              <w:t>560,602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ind w:left="920"/>
              <w:spacing w:after="0"/>
              <w:rPr>
                <w:sz w:val="20"/>
                <w:szCs w:val="20"/>
                <w:color w:val="auto"/>
              </w:rPr>
            </w:pPr>
            <w:r>
              <w:rPr>
                <w:rFonts w:ascii="Arial" w:cs="Arial" w:eastAsia="Arial" w:hAnsi="Arial"/>
                <w:sz w:val="16"/>
                <w:szCs w:val="16"/>
                <w:color w:val="auto"/>
              </w:rPr>
              <w:t>&lt; div</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vMerge w:val="restart"/>
          </w:tcPr>
          <w:p>
            <w:pPr>
              <w:jc w:val="right"/>
              <w:ind w:right="178"/>
              <w:spacing w:after="0"/>
              <w:rPr>
                <w:sz w:val="20"/>
                <w:szCs w:val="20"/>
                <w:color w:val="auto"/>
              </w:rPr>
            </w:pPr>
            <w:r>
              <w:rPr>
                <w:rFonts w:ascii="Arial" w:cs="Arial" w:eastAsia="Arial" w:hAnsi="Arial"/>
                <w:sz w:val="16"/>
                <w:szCs w:val="16"/>
                <w:color w:val="auto"/>
              </w:rPr>
              <w:t>36,330</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ind w:left="920"/>
              <w:spacing w:after="0"/>
              <w:rPr>
                <w:sz w:val="20"/>
                <w:szCs w:val="20"/>
                <w:color w:val="auto"/>
              </w:rPr>
            </w:pPr>
            <w:r>
              <w:rPr>
                <w:rFonts w:ascii="Arial" w:cs="Arial" w:eastAsia="Arial" w:hAnsi="Arial"/>
                <w:sz w:val="16"/>
                <w:szCs w:val="16"/>
                <w:color w:val="auto"/>
              </w:rPr>
              <w:t>style="text-</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11,940</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43,750align:left;"&gt;</w:t>
            </w:r>
          </w:p>
        </w:tc>
        <w:tc>
          <w:tcPr>
            <w:tcW w:w="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449,484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211,519</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rPr>
              <w:t>604,352</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66" w:hanging="266"/>
        <w:spacing w:after="0"/>
        <w:tabs>
          <w:tab w:leader="none" w:pos="266" w:val="left"/>
        </w:tabs>
        <w:numPr>
          <w:ilvl w:val="0"/>
          <w:numId w:val="42"/>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316" w:lineRule="exact"/>
        <w:rPr>
          <w:sz w:val="20"/>
          <w:szCs w:val="20"/>
          <w:color w:val="auto"/>
        </w:rPr>
      </w:pPr>
    </w:p>
    <w:p>
      <w:pPr>
        <w:jc w:val="center"/>
        <w:ind w:right="34"/>
        <w:spacing w:after="0"/>
        <w:rPr>
          <w:sz w:val="20"/>
          <w:szCs w:val="20"/>
          <w:color w:val="auto"/>
        </w:rPr>
      </w:pPr>
      <w:r>
        <w:rPr>
          <w:rFonts w:ascii="Arial" w:cs="Arial" w:eastAsia="Arial" w:hAnsi="Arial"/>
          <w:sz w:val="16"/>
          <w:szCs w:val="16"/>
          <w:b w:val="1"/>
          <w:bCs w:val="1"/>
          <w:color w:val="auto"/>
        </w:rPr>
        <w:t>Note 14: Income Per Share</w:t>
      </w:r>
    </w:p>
    <w:p>
      <w:pPr>
        <w:spacing w:after="0" w:line="32" w:lineRule="exact"/>
        <w:rPr>
          <w:sz w:val="20"/>
          <w:szCs w:val="20"/>
          <w:color w:val="auto"/>
        </w:rPr>
      </w:pPr>
    </w:p>
    <w:tbl>
      <w:tblPr>
        <w:tblLayout w:type="fixed"/>
        <w:tblInd w:w="26" w:type="dxa"/>
        <w:tblCellMar>
          <w:top w:w="0" w:type="dxa"/>
          <w:left w:w="0" w:type="dxa"/>
          <w:bottom w:w="0" w:type="dxa"/>
          <w:right w:w="0" w:type="dxa"/>
        </w:tblCellMar>
      </w:tblPr>
      <w:tr>
        <w:trPr>
          <w:trHeight w:val="196"/>
        </w:trPr>
        <w:tc>
          <w:tcPr>
            <w:tcW w:w="8180" w:type="dxa"/>
            <w:vAlign w:val="bottom"/>
            <w:gridSpan w:val="3"/>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9"/>
        </w:trPr>
        <w:tc>
          <w:tcPr>
            <w:tcW w:w="66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19"/>
                <w:szCs w:val="19"/>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9"/>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 ept per share data)</w:t>
            </w:r>
          </w:p>
        </w:tc>
        <w:tc>
          <w:tcPr>
            <w:tcW w:w="156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August 28, 2010</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August 29, 2009</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30, 2008</w:t>
            </w:r>
          </w:p>
        </w:tc>
      </w:tr>
      <w:tr>
        <w:trPr>
          <w:trHeight w:val="24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per share - basic</w:t>
            </w:r>
          </w:p>
        </w:tc>
        <w:tc>
          <w:tcPr>
            <w:tcW w:w="8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6"/>
        </w:trPr>
        <w:tc>
          <w:tcPr>
            <w:tcW w:w="66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10,247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(78,766)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2,784</w:t>
            </w:r>
          </w:p>
        </w:tc>
      </w:tr>
      <w:tr>
        <w:trPr>
          <w:trHeight w:val="240"/>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29,091</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29,040</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Pr>
          <w:p>
            <w:pPr>
              <w:spacing w:after="0"/>
              <w:rPr>
                <w:sz w:val="20"/>
                <w:szCs w:val="20"/>
                <w:color w:val="auto"/>
              </w:rPr>
            </w:pPr>
          </w:p>
        </w:tc>
      </w:tr>
      <w:tr>
        <w:trPr>
          <w:trHeight w:val="226"/>
        </w:trPr>
        <w:tc>
          <w:tcPr>
            <w:tcW w:w="6620" w:type="dxa"/>
            <w:vAlign w:val="bottom"/>
          </w:tcPr>
          <w:p>
            <w:pPr>
              <w:ind w:left="20"/>
              <w:spacing w:after="0"/>
              <w:rPr>
                <w:sz w:val="20"/>
                <w:szCs w:val="20"/>
                <w:color w:val="auto"/>
              </w:rPr>
            </w:pPr>
            <w:r>
              <w:rPr>
                <w:rFonts w:ascii="Arial" w:cs="Arial" w:eastAsia="Arial" w:hAnsi="Arial"/>
                <w:sz w:val="16"/>
                <w:szCs w:val="16"/>
                <w:color w:val="auto"/>
              </w:rPr>
              <w:t>Net income (loss) per share - basic</w:t>
            </w: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0.35</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(2.71)</w:t>
            </w: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0.10</w:t>
            </w:r>
          </w:p>
        </w:tc>
      </w:tr>
      <w:tr>
        <w:trPr>
          <w:trHeight w:val="244"/>
        </w:trPr>
        <w:tc>
          <w:tcPr>
            <w:tcW w:w="6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&amp;n bsp;</w:t>
            </w: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Arial" w:cs="Arial" w:eastAsia="Arial" w:hAnsi="Arial"/>
                <w:sz w:val="16"/>
                <w:szCs w:val="16"/>
                <w:color w:val="auto"/>
              </w:rPr>
              <w:t>Income (loss) per share - assuming dilution</w:t>
            </w: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$10,247</w:t>
            </w: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2,784</w:t>
            </w:r>
          </w:p>
        </w:tc>
      </w:tr>
      <w:tr>
        <w:trPr>
          <w:trHeight w:val="226"/>
        </w:trPr>
        <w:tc>
          <w:tcPr>
            <w:tcW w:w="662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29,091</w:t>
            </w:r>
          </w:p>
        </w:tc>
        <w:tc>
          <w:tcPr>
            <w:tcW w:w="200" w:type="dxa"/>
            <w:vAlign w:val="bottom"/>
          </w:tcPr>
          <w:p>
            <w:pPr>
              <w:spacing w:after="0"/>
              <w:rPr>
                <w:sz w:val="19"/>
                <w:szCs w:val="19"/>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29,040</w:t>
            </w: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29,093</w:t>
            </w:r>
          </w:p>
        </w:tc>
      </w:tr>
      <w:tr>
        <w:trPr>
          <w:trHeight w:val="252"/>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impact of awards and options outstanding</w:t>
            </w:r>
          </w:p>
        </w:tc>
        <w:tc>
          <w:tcPr>
            <w:tcW w:w="8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w:t>
            </w:r>
          </w:p>
        </w:tc>
      </w:tr>
      <w:tr>
        <w:trPr>
          <w:trHeight w:val="226"/>
        </w:trPr>
        <w:tc>
          <w:tcPr>
            <w:tcW w:w="6620" w:type="dxa"/>
            <w:vAlign w:val="bottom"/>
          </w:tcPr>
          <w:p>
            <w:pPr>
              <w:ind w:left="2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29,101</w:t>
            </w:r>
          </w:p>
        </w:tc>
        <w:tc>
          <w:tcPr>
            <w:tcW w:w="200" w:type="dxa"/>
            <w:vAlign w:val="bottom"/>
          </w:tcPr>
          <w:p>
            <w:pPr>
              <w:spacing w:after="0"/>
              <w:rPr>
                <w:sz w:val="19"/>
                <w:szCs w:val="19"/>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29,051</w:t>
            </w: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29,144</w:t>
            </w:r>
          </w:p>
        </w:tc>
      </w:tr>
      <w:tr>
        <w:trPr>
          <w:trHeight w:val="240"/>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share - assuming dilution</w:t>
            </w:r>
          </w:p>
        </w:tc>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0.10</w:t>
            </w:r>
          </w:p>
        </w:tc>
      </w:tr>
    </w:tbl>
    <w:p>
      <w:pPr>
        <w:spacing w:after="0" w:line="4" w:lineRule="exact"/>
        <w:rPr>
          <w:sz w:val="20"/>
          <w:szCs w:val="20"/>
          <w:color w:val="auto"/>
        </w:rPr>
      </w:pPr>
    </w:p>
    <w:p>
      <w:pPr>
        <w:ind w:left="266" w:hanging="266"/>
        <w:spacing w:after="0"/>
        <w:tabs>
          <w:tab w:leader="none" w:pos="266" w:val="left"/>
        </w:tabs>
        <w:numPr>
          <w:ilvl w:val="0"/>
          <w:numId w:val="43"/>
        </w:numPr>
        <w:rPr>
          <w:rFonts w:ascii="Arial" w:cs="Arial" w:eastAsia="Arial" w:hAnsi="Arial"/>
          <w:sz w:val="8"/>
          <w:szCs w:val="8"/>
          <w:color w:val="auto"/>
        </w:rPr>
      </w:pPr>
      <w:r>
        <w:rPr>
          <w:rFonts w:ascii="Arial" w:cs="Arial" w:eastAsia="Arial" w:hAnsi="Arial"/>
          <w:sz w:val="13"/>
          <w:szCs w:val="13"/>
          <w:color w:val="auto"/>
        </w:rPr>
        <w:t>Fiscal year ended August 30, 2008 contained 53 weeks; all other fiscal years contained 52 weeks.</w:t>
      </w:r>
    </w:p>
    <w:p>
      <w:pPr>
        <w:spacing w:after="0" w:line="140" w:lineRule="exact"/>
        <w:rPr>
          <w:sz w:val="20"/>
          <w:szCs w:val="20"/>
          <w:color w:val="auto"/>
        </w:rPr>
      </w:pPr>
    </w:p>
    <w:p>
      <w:pPr>
        <w:jc w:val="center"/>
        <w:ind w:left="220" w:right="120"/>
        <w:spacing w:after="0" w:line="263" w:lineRule="auto"/>
        <w:rPr>
          <w:sz w:val="20"/>
          <w:szCs w:val="20"/>
          <w:color w:val="auto"/>
        </w:rPr>
      </w:pPr>
      <w:r>
        <w:rPr>
          <w:rFonts w:ascii="Arial" w:cs="Arial" w:eastAsia="Arial" w:hAnsi="Arial"/>
          <w:sz w:val="16"/>
          <w:szCs w:val="16"/>
          <w:color w:val="auto"/>
        </w:rPr>
        <w:t xml:space="preserve">For the fiscal years ended August 28, 2010, August 29, 2 009 and August 30, 2008, there were options outstanding to purchase 927,815 shares, 1,010,224 shares and 881,591 shares, respectively, of common stock at an average price of $28.08, $27.31 and $29.36,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60"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Note 15: Stockholders Rights Plan</w:t>
      </w:r>
    </w:p>
    <w:p>
      <w:pPr>
        <w:spacing w:after="0" w:line="179" w:lineRule="exact"/>
        <w:rPr>
          <w:sz w:val="20"/>
          <w:szCs w:val="20"/>
          <w:color w:val="auto"/>
        </w:rPr>
      </w:pPr>
    </w:p>
    <w:p>
      <w:pPr>
        <w:jc w:val="center"/>
        <w:ind w:left="240" w:right="20"/>
        <w:spacing w:after="0" w:line="261" w:lineRule="auto"/>
        <w:rPr>
          <w:sz w:val="20"/>
          <w:szCs w:val="20"/>
          <w:color w:val="auto"/>
        </w:rPr>
      </w:pPr>
      <w:r>
        <w:rPr>
          <w:rFonts w:ascii="Arial" w:cs="Arial" w:eastAsia="Arial" w:hAnsi="Arial"/>
          <w:sz w:val="16"/>
          <w:szCs w:val="16"/>
          <w:color w:val="auto"/>
        </w:rPr>
        <w:t>In May 2000, our Board of Directors adopted a Shareholder Rights Plan (the "Rights Plan") designed to assure stockholders of fair and equal treatment in the event of a proposed takeover. The rights were exercisable only if an individual or group acquired or announced a tender offer that would result in ownership of 15 percent or more (and for certain shareholders, 20 percent or more) of our outstanding common stock. Our Rights Plan expired on May 3, 2010, and our Board of Directors decided not to renew it.</w:t>
      </w:r>
    </w:p>
    <w:p>
      <w:pPr>
        <w:spacing w:after="0" w:line="200" w:lineRule="exact"/>
        <w:rPr>
          <w:sz w:val="20"/>
          <w:szCs w:val="20"/>
          <w:color w:val="auto"/>
        </w:rPr>
      </w:pPr>
    </w:p>
    <w:p>
      <w:pPr>
        <w:spacing w:after="0" w:line="33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66"/>
          </w:cols>
          <w:pgMar w:left="214" w:top="154" w:right="219" w:bottom="1440" w:gutter="0" w:footer="0" w:header="0"/>
        </w:sectPr>
      </w:pPr>
    </w:p>
    <w:bookmarkStart w:id="47" w:name="page48"/>
    <w:bookmarkEnd w:id="47"/>
    <w:tbl>
      <w:tblPr>
        <w:tblLayout w:type="fixed"/>
        <w:tblInd w:w="26" w:type="dxa"/>
        <w:tblCellMar>
          <w:top w:w="0" w:type="dxa"/>
          <w:left w:w="0" w:type="dxa"/>
          <w:bottom w:w="0" w:type="dxa"/>
          <w:right w:w="0" w:type="dxa"/>
        </w:tblCellMar>
      </w:tblPr>
      <w:tr>
        <w:trPr>
          <w:trHeight w:val="172"/>
        </w:trPr>
        <w:tc>
          <w:tcPr>
            <w:tcW w:w="5140" w:type="dxa"/>
            <w:vAlign w:val="bottom"/>
          </w:tcPr>
          <w:p>
            <w:pPr>
              <w:spacing w:after="0"/>
              <w:rPr>
                <w:sz w:val="14"/>
                <w:szCs w:val="14"/>
                <w:color w:val="auto"/>
              </w:rPr>
            </w:pPr>
          </w:p>
        </w:tc>
        <w:tc>
          <w:tcPr>
            <w:tcW w:w="1820" w:type="dxa"/>
            <w:vAlign w:val="bottom"/>
            <w:gridSpan w:val="6"/>
          </w:tcPr>
          <w:p>
            <w:pPr>
              <w:jc w:val="right"/>
              <w:ind w:right="680"/>
              <w:spacing w:after="0"/>
              <w:rPr>
                <w:rFonts w:ascii="Arial" w:cs="Arial" w:eastAsia="Arial" w:hAnsi="Arial"/>
                <w:sz w:val="15"/>
                <w:szCs w:val="15"/>
                <w:color w:val="0000FF"/>
                <w:w w:val="94"/>
              </w:rPr>
            </w:pPr>
            <w:hyperlink w:anchor="page1">
              <w:r>
                <w:rPr>
                  <w:rFonts w:ascii="Arial" w:cs="Arial" w:eastAsia="Arial" w:hAnsi="Arial"/>
                  <w:sz w:val="15"/>
                  <w:szCs w:val="15"/>
                  <w:color w:val="0000FF"/>
                  <w:w w:val="94"/>
                </w:rPr>
                <w:t>Table of Contents</w:t>
              </w:r>
            </w:hyperlink>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08"/>
        </w:trPr>
        <w:tc>
          <w:tcPr>
            <w:tcW w:w="5140" w:type="dxa"/>
            <w:vAlign w:val="bottom"/>
          </w:tcPr>
          <w:p>
            <w:pPr>
              <w:spacing w:after="0"/>
              <w:rPr>
                <w:sz w:val="20"/>
                <w:szCs w:val="20"/>
                <w:color w:val="auto"/>
              </w:rPr>
            </w:pPr>
            <w:r>
              <w:rPr>
                <w:rFonts w:ascii="Arial" w:cs="Arial" w:eastAsia="Arial" w:hAnsi="Arial"/>
                <w:sz w:val="16"/>
                <w:szCs w:val="16"/>
                <w:b w:val="1"/>
                <w:bCs w:val="1"/>
                <w:color w:val="auto"/>
              </w:rPr>
              <w:t>Note 16: Interim Fi nancial Information (Unaudited)</w:t>
            </w: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97"/>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Fiscal 2010</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38"/>
              <w:spacing w:after="0"/>
              <w:rPr>
                <w:sz w:val="20"/>
                <w:szCs w:val="20"/>
                <w:color w:val="auto"/>
              </w:rPr>
            </w:pPr>
            <w:r>
              <w:rPr>
                <w:rFonts w:ascii="Arial" w:cs="Arial" w:eastAsia="Arial" w:hAnsi="Arial"/>
                <w:sz w:val="16"/>
                <w:szCs w:val="16"/>
                <w:b w:val="1"/>
                <w:bCs w:val="1"/>
                <w:color w:val="auto"/>
              </w:rPr>
              <w:t>Quarter Ended</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7"/>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November 28,</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rPr>
              <w:t>February 27,</w:t>
            </w:r>
          </w:p>
        </w:tc>
        <w:tc>
          <w:tcPr>
            <w:tcW w:w="180" w:type="dxa"/>
            <w:vAlign w:val="bottom"/>
          </w:tcPr>
          <w:p>
            <w:pPr>
              <w:spacing w:after="0"/>
              <w:rPr>
                <w:sz w:val="16"/>
                <w:szCs w:val="16"/>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May 29,</w:t>
            </w:r>
          </w:p>
        </w:tc>
        <w:tc>
          <w:tcPr>
            <w:tcW w:w="200" w:type="dxa"/>
            <w:vAlign w:val="bottom"/>
          </w:tcPr>
          <w:p>
            <w:pPr>
              <w:spacing w:after="0"/>
              <w:rPr>
                <w:sz w:val="16"/>
                <w:szCs w:val="16"/>
                <w:color w:val="auto"/>
              </w:rPr>
            </w:pPr>
          </w:p>
        </w:tc>
        <w:tc>
          <w:tcPr>
            <w:tcW w:w="1260" w:type="dxa"/>
            <w:vAlign w:val="bottom"/>
          </w:tcPr>
          <w:p>
            <w:pPr>
              <w:jc w:val="right"/>
              <w:ind w:right="238"/>
              <w:spacing w:after="0"/>
              <w:rPr>
                <w:sz w:val="20"/>
                <w:szCs w:val="20"/>
                <w:color w:val="auto"/>
              </w:rPr>
            </w:pPr>
            <w:r>
              <w:rPr>
                <w:rFonts w:ascii="Arial" w:cs="Arial" w:eastAsia="Arial" w:hAnsi="Arial"/>
                <w:sz w:val="16"/>
                <w:szCs w:val="16"/>
                <w:b w:val="1"/>
                <w:bCs w:val="1"/>
                <w:color w:val="auto"/>
              </w:rPr>
              <w:t>August 28,</w:t>
            </w: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6"/>
                <w:szCs w:val="16"/>
                <w:b w:val="1"/>
                <w:bCs w:val="1"/>
                <w:color w:val="auto"/>
              </w:rPr>
              <w:t>2009</w:t>
            </w:r>
          </w:p>
        </w:tc>
        <w:tc>
          <w:tcPr>
            <w:tcW w:w="1540" w:type="dxa"/>
            <w:vAlign w:val="bottom"/>
            <w:tcBorders>
              <w:bottom w:val="single" w:sz="8" w:color="auto"/>
            </w:tcBorders>
            <w:gridSpan w:val="2"/>
          </w:tcPr>
          <w:p>
            <w:pPr>
              <w:jc w:val="center"/>
              <w:ind w:left="18"/>
              <w:spacing w:after="0"/>
              <w:rPr>
                <w:sz w:val="20"/>
                <w:szCs w:val="20"/>
                <w:color w:val="auto"/>
              </w:rPr>
            </w:pPr>
            <w:r>
              <w:rPr>
                <w:rFonts w:ascii="Arial" w:cs="Arial" w:eastAsia="Arial" w:hAnsi="Arial"/>
                <w:sz w:val="16"/>
                <w:szCs w:val="16"/>
                <w:b w:val="1"/>
                <w:bCs w:val="1"/>
                <w:color w:val="auto"/>
              </w:rPr>
              <w:t>2010</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2010</w:t>
            </w:r>
          </w:p>
        </w:tc>
      </w:tr>
      <w:tr>
        <w:trPr>
          <w:trHeight w:val="23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81,017</w:t>
            </w:r>
          </w:p>
        </w:tc>
        <w:tc>
          <w:tcPr>
            <w:tcW w:w="72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110,529</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134,813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123,125</w:t>
            </w:r>
          </w:p>
        </w:tc>
      </w:tr>
      <w:tr>
        <w:trPr>
          <w:trHeight w:val="226"/>
        </w:trPr>
        <w:tc>
          <w:tcPr>
            <w:tcW w:w="5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6"/>
                <w:szCs w:val="16"/>
                <w:color w:val="auto"/>
              </w:rPr>
              <w:t>524</w:t>
            </w:r>
          </w:p>
        </w:tc>
        <w:tc>
          <w:tcPr>
            <w:tcW w:w="72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4,784</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9,755</w:t>
            </w:r>
          </w:p>
        </w:tc>
        <w:tc>
          <w:tcPr>
            <w:tcW w:w="20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11,204</w:t>
            </w:r>
          </w:p>
        </w:tc>
      </w:tr>
      <w:tr>
        <w:trPr>
          <w:trHeight w:val="24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 g (loss) income</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(5,977)</w:t>
            </w:r>
          </w:p>
        </w:tc>
        <w:tc>
          <w:tcPr>
            <w:tcW w:w="7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4,951</w:t>
            </w:r>
          </w:p>
        </w:tc>
      </w:tr>
      <w:tr>
        <w:trPr>
          <w:trHeight w:val="226"/>
        </w:trPr>
        <w:tc>
          <w:tcPr>
            <w:tcW w:w="51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(1,344)</w:t>
            </w:r>
          </w:p>
        </w:tc>
        <w:tc>
          <w:tcPr>
            <w:tcW w:w="720" w:type="dxa"/>
            <w:vAlign w:val="bottom"/>
          </w:tcPr>
          <w:p>
            <w:pPr>
              <w:jc w:val="right"/>
              <w:ind w:right="45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706</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5,992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4,893</w:t>
            </w:r>
          </w:p>
        </w:tc>
      </w:tr>
      <w:tr>
        <w:trPr>
          <w:trHeight w:val="215"/>
        </w:trPr>
        <w:tc>
          <w:tcPr>
            <w:tcW w:w="5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)&lt;</w:t>
            </w:r>
          </w:p>
        </w:tc>
        <w:tc>
          <w:tcPr>
            <w:tcW w:w="7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per share (basic)</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458"/>
              <w:spacing w:after="0"/>
              <w:rPr>
                <w:sz w:val="20"/>
                <w:szCs w:val="20"/>
                <w:color w:val="auto"/>
              </w:rPr>
            </w:pPr>
            <w:r>
              <w:rPr>
                <w:rFonts w:ascii="Arial" w:cs="Arial" w:eastAsia="Arial" w:hAnsi="Arial"/>
                <w:sz w:val="16"/>
                <w:szCs w:val="16"/>
                <w:color w:val="auto"/>
              </w:rPr>
              <w:t>(0.05/div&gt; $</w:t>
            </w:r>
          </w:p>
        </w:tc>
        <w:tc>
          <w:tcPr>
            <w:tcW w:w="82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0 .21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0.17</w:t>
            </w:r>
          </w:p>
        </w:tc>
      </w:tr>
      <w:tr>
        <w:trPr>
          <w:trHeight w:val="220"/>
        </w:trPr>
        <w:tc>
          <w:tcPr>
            <w:tcW w:w="5140" w:type="dxa"/>
            <w:vAlign w:val="bottom"/>
          </w:tcPr>
          <w:p>
            <w:pPr>
              <w:ind w:left="20"/>
              <w:spacing w:after="0"/>
              <w:rPr>
                <w:sz w:val="20"/>
                <w:szCs w:val="20"/>
                <w:color w:val="auto"/>
              </w:rPr>
            </w:pPr>
            <w:r>
              <w:rPr>
                <w:rFonts w:ascii="Arial" w:cs="Arial" w:eastAsia="Arial" w:hAnsi="Arial"/>
                <w:sz w:val="16"/>
                <w:szCs w:val="16"/>
                <w:color w:val="auto"/>
              </w:rPr>
              <w:t>Net (loss) income per share (dil uted)</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(0.05)</w:t>
            </w:r>
          </w:p>
        </w:tc>
        <w:tc>
          <w:tcPr>
            <w:tcW w:w="720" w:type="dxa"/>
            <w:vAlign w:val="bottom"/>
          </w:tcPr>
          <w:p>
            <w:pPr>
              <w:jc w:val="right"/>
              <w:ind w:right="45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0.02</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0.21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0.17</w:t>
            </w:r>
          </w:p>
        </w:tc>
      </w:tr>
      <w:tr>
        <w:trPr>
          <w:trHeight w:val="369"/>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Fiscal 2009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6"/>
                <w:szCs w:val="16"/>
                <w:b w:val="1"/>
                <w:bCs w:val="1"/>
                <w:color w:val="auto"/>
              </w:rPr>
              <w:t>Quarter Ended</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0"/>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200"/>
              <w:spacing w:after="0" w:line="180" w:lineRule="exact"/>
              <w:rPr>
                <w:sz w:val="20"/>
                <w:szCs w:val="20"/>
                <w:color w:val="auto"/>
              </w:rPr>
            </w:pPr>
            <w:r>
              <w:rPr>
                <w:rFonts w:ascii="Arial" w:cs="Arial" w:eastAsia="Arial" w:hAnsi="Arial"/>
                <w:sz w:val="16"/>
                <w:szCs w:val="16"/>
                <w:b w:val="1"/>
                <w:bCs w:val="1"/>
                <w:color w:val="auto"/>
              </w:rPr>
              <w:t>November 29,</w:t>
            </w:r>
          </w:p>
        </w:tc>
        <w:tc>
          <w:tcPr>
            <w:tcW w:w="1540" w:type="dxa"/>
            <w:vAlign w:val="bottom"/>
            <w:gridSpan w:val="2"/>
          </w:tcPr>
          <w:p>
            <w:pPr>
              <w:jc w:val="right"/>
              <w:ind w:right="238"/>
              <w:spacing w:after="0" w:line="180" w:lineRule="exact"/>
              <w:rPr>
                <w:sz w:val="20"/>
                <w:szCs w:val="20"/>
                <w:color w:val="auto"/>
              </w:rPr>
            </w:pPr>
            <w:r>
              <w:rPr>
                <w:rFonts w:ascii="Arial" w:cs="Arial" w:eastAsia="Arial" w:hAnsi="Arial"/>
                <w:sz w:val="16"/>
                <w:szCs w:val="16"/>
                <w:color w:val="auto"/>
              </w:rPr>
              <w:t>February 28,</w:t>
            </w:r>
          </w:p>
        </w:tc>
        <w:tc>
          <w:tcPr>
            <w:tcW w:w="180" w:type="dxa"/>
            <w:vAlign w:val="bottom"/>
          </w:tcPr>
          <w:p>
            <w:pPr>
              <w:spacing w:after="0"/>
              <w:rPr>
                <w:sz w:val="15"/>
                <w:szCs w:val="15"/>
                <w:color w:val="auto"/>
              </w:rPr>
            </w:pPr>
          </w:p>
        </w:tc>
        <w:tc>
          <w:tcPr>
            <w:tcW w:w="1280" w:type="dxa"/>
            <w:vAlign w:val="bottom"/>
            <w:gridSpan w:val="3"/>
          </w:tcPr>
          <w:p>
            <w:pPr>
              <w:jc w:val="center"/>
              <w:ind w:right="260"/>
              <w:spacing w:after="0" w:line="180" w:lineRule="exact"/>
              <w:rPr>
                <w:sz w:val="20"/>
                <w:szCs w:val="20"/>
                <w:color w:val="auto"/>
              </w:rPr>
            </w:pPr>
            <w:r>
              <w:rPr>
                <w:rFonts w:ascii="Arial" w:cs="Arial" w:eastAsia="Arial" w:hAnsi="Arial"/>
                <w:sz w:val="16"/>
                <w:szCs w:val="16"/>
                <w:b w:val="1"/>
                <w:bCs w:val="1"/>
                <w:color w:val="auto"/>
              </w:rPr>
              <w:t>May 30,</w:t>
            </w:r>
          </w:p>
        </w:tc>
        <w:tc>
          <w:tcPr>
            <w:tcW w:w="200" w:type="dxa"/>
            <w:vAlign w:val="bottom"/>
          </w:tcPr>
          <w:p>
            <w:pPr>
              <w:spacing w:after="0"/>
              <w:rPr>
                <w:sz w:val="15"/>
                <w:szCs w:val="15"/>
                <w:color w:val="auto"/>
              </w:rPr>
            </w:pPr>
          </w:p>
        </w:tc>
        <w:tc>
          <w:tcPr>
            <w:tcW w:w="1260" w:type="dxa"/>
            <w:vAlign w:val="bottom"/>
          </w:tcPr>
          <w:p>
            <w:pPr>
              <w:jc w:val="right"/>
              <w:ind w:right="238"/>
              <w:spacing w:after="0" w:line="180" w:lineRule="exact"/>
              <w:rPr>
                <w:sz w:val="20"/>
                <w:szCs w:val="20"/>
                <w:color w:val="auto"/>
              </w:rPr>
            </w:pPr>
            <w:r>
              <w:rPr>
                <w:rFonts w:ascii="Arial" w:cs="Arial" w:eastAsia="Arial" w:hAnsi="Arial"/>
                <w:sz w:val="16"/>
                <w:szCs w:val="16"/>
                <w:b w:val="1"/>
                <w:bCs w:val="1"/>
                <w:color w:val="auto"/>
              </w:rPr>
              <w:t>August 29,</w:t>
            </w: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2008</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2009</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2009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2009</w:t>
            </w:r>
          </w:p>
        </w:tc>
      </w:tr>
      <w:tr>
        <w:trPr>
          <w:trHeight w:val="244"/>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69,398</w:t>
            </w:r>
          </w:p>
        </w:tc>
        <w:tc>
          <w:tcPr>
            <w:tcW w:w="72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31,808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50,848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59,465</w:t>
            </w:r>
          </w:p>
        </w:tc>
      </w:tr>
      <w:tr>
        <w:trPr>
          <w:trHeight w:val="208"/>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color w:val="auto"/>
                <w:w w:val="99"/>
              </w:rPr>
              <w:t>&lt; font style="font-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color w:val="auto"/>
              </w:rPr>
              <w:t>family:Arial;font-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6"/>
                <w:szCs w:val="16"/>
                <w:color w:val="auto"/>
              </w:rPr>
              <w:t>Gross deficit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6"/>
                <w:szCs w:val="16"/>
                <w:color w:val="auto"/>
              </w:rPr>
              <w:t>(8,894)</w:t>
            </w:r>
          </w:p>
        </w:tc>
        <w:tc>
          <w:tcPr>
            <w:tcW w:w="1540" w:type="dxa"/>
            <w:vAlign w:val="bottom"/>
            <w:gridSpan w:val="2"/>
          </w:tcPr>
          <w:p>
            <w:pPr>
              <w:jc w:val="right"/>
              <w:ind w:right="18"/>
              <w:spacing w:after="0"/>
              <w:rPr>
                <w:sz w:val="20"/>
                <w:szCs w:val="20"/>
                <w:color w:val="auto"/>
              </w:rPr>
            </w:pPr>
            <w:r>
              <w:rPr>
                <w:rFonts w:ascii="Arial" w:cs="Arial" w:eastAsia="Arial" w:hAnsi="Arial"/>
                <w:sz w:val="16"/>
                <w:szCs w:val="16"/>
                <w:color w:val="auto"/>
                <w:w w:val="99"/>
              </w:rPr>
              <w:t>size:10pt;"&gt;(11,792)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(8,285)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(1,775)</w:t>
            </w:r>
          </w:p>
        </w:tc>
      </w:tr>
      <w:tr>
        <w:trPr>
          <w:trHeight w:val="24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(16,890)</w:t>
            </w:r>
          </w:p>
        </w:tc>
        <w:tc>
          <w:tcPr>
            <w:tcW w:w="7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(18,611)</w:t>
            </w:r>
          </w:p>
        </w:tc>
        <w:tc>
          <w:tcPr>
            <w:tcW w:w="1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(14,782)</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w:t>
            </w:r>
          </w:p>
        </w:tc>
      </w:tr>
      <w:tr>
        <w:trPr>
          <w:trHeight w:val="226"/>
        </w:trPr>
        <w:tc>
          <w:tcPr>
            <w:tcW w:w="5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40"/>
              <w:spacing w:after="0"/>
              <w:rPr>
                <w:sz w:val="20"/>
                <w:szCs w:val="20"/>
                <w:color w:val="auto"/>
              </w:rPr>
            </w:pPr>
            <w:r>
              <w:rPr>
                <w:rFonts w:ascii="Arial" w:cs="Arial" w:eastAsia="Arial" w:hAnsi="Arial"/>
                <w:sz w:val="16"/>
                <w:szCs w:val="16"/>
                <w:color w:val="auto"/>
              </w:rPr>
              <w:t>(9,596)</w:t>
            </w:r>
          </w:p>
        </w:tc>
        <w:tc>
          <w:tcPr>
            <w:tcW w:w="72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(10,381)</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6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(8,553)</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(50,236)</w:t>
            </w:r>
          </w:p>
        </w:tc>
      </w:tr>
      <w:tr>
        <w:trPr>
          <w:trHeight w:val="24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(basic)</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(0.33)</w:t>
            </w:r>
          </w:p>
        </w:tc>
        <w:tc>
          <w:tcPr>
            <w:tcW w:w="72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(0.36)</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(0.29)</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20"/>
        </w:trPr>
        <w:tc>
          <w:tcPr>
            <w:tcW w:w="5140" w:type="dxa"/>
            <w:vAlign w:val="bottom"/>
          </w:tcPr>
          <w:p>
            <w:pPr>
              <w:ind w:left="20"/>
              <w:spacing w:after="0"/>
              <w:rPr>
                <w:sz w:val="20"/>
                <w:szCs w:val="20"/>
                <w:color w:val="auto"/>
              </w:rPr>
            </w:pPr>
            <w:r>
              <w:rPr>
                <w:rFonts w:ascii="Arial" w:cs="Arial" w:eastAsia="Arial" w:hAnsi="Arial"/>
                <w:sz w:val="16"/>
                <w:szCs w:val="16"/>
                <w:color w:val="auto"/>
              </w:rPr>
              <w:t>Net loss per share (diluted)</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40"/>
              <w:spacing w:after="0"/>
              <w:rPr>
                <w:sz w:val="20"/>
                <w:szCs w:val="20"/>
                <w:color w:val="auto"/>
              </w:rPr>
            </w:pPr>
            <w:r>
              <w:rPr>
                <w:rFonts w:ascii="Arial" w:cs="Arial" w:eastAsia="Arial" w:hAnsi="Arial"/>
                <w:sz w:val="16"/>
                <w:szCs w:val="16"/>
                <w:color w:val="auto"/>
              </w:rPr>
              <w:t>(0.33)</w:t>
            </w:r>
          </w:p>
        </w:tc>
        <w:tc>
          <w:tcPr>
            <w:tcW w:w="72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(0.36)</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6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(0.29)</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552"/>
        </w:trPr>
        <w:tc>
          <w:tcPr>
            <w:tcW w:w="5140" w:type="dxa"/>
            <w:vAlign w:val="bottom"/>
          </w:tcPr>
          <w:p>
            <w:pPr>
              <w:spacing w:after="0"/>
              <w:rPr>
                <w:sz w:val="20"/>
                <w:szCs w:val="20"/>
                <w:color w:val="auto"/>
              </w:rPr>
            </w:pPr>
            <w:r>
              <w:rPr>
                <w:rFonts w:ascii="Arial" w:cs="Arial" w:eastAsia="Arial" w:hAnsi="Arial"/>
                <w:sz w:val="16"/>
                <w:szCs w:val="16"/>
                <w:b w:val="1"/>
                <w:bCs w:val="1"/>
                <w:color w:val="auto"/>
              </w:rPr>
              <w:t>Note 17: Comprehensive Income</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3"/>
        </w:trPr>
        <w:tc>
          <w:tcPr>
            <w:tcW w:w="5140" w:type="dxa"/>
            <w:vAlign w:val="bottom"/>
          </w:tcPr>
          <w:p>
            <w:pPr>
              <w:spacing w:after="0"/>
              <w:rPr>
                <w:sz w:val="20"/>
                <w:szCs w:val="20"/>
                <w:color w:val="auto"/>
              </w:rPr>
            </w:pPr>
            <w:r>
              <w:rPr>
                <w:rFonts w:ascii="Arial" w:cs="Arial" w:eastAsia="Arial" w:hAnsi="Arial"/>
                <w:sz w:val="16"/>
                <w:szCs w:val="16"/>
                <w:color w:val="auto"/>
              </w:rPr>
              <w:t>Comprehensive income, net of tax, consists of:</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7"/>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19"/>
                <w:szCs w:val="19"/>
                <w:b w:val="1"/>
                <w:bCs w:val="1"/>
                <w:color w:val="auto"/>
                <w:vertAlign w:val="superscript"/>
              </w:rPr>
              <w:t>(1)</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6"/>
                <w:szCs w:val="16"/>
                <w:b w:val="1"/>
                <w:bCs w:val="1"/>
                <w:color w:val="auto"/>
              </w:rPr>
              <w:t>August 28, 2010</w:t>
            </w: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August 29, 2009</w:t>
            </w:r>
          </w:p>
        </w:tc>
        <w:tc>
          <w:tcPr>
            <w:tcW w:w="206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6"/>
                <w:szCs w:val="16"/>
                <w:b w:val="1"/>
                <w:bCs w:val="1"/>
                <w:color w:val="auto"/>
              </w:rPr>
              <w:t>August 30, 2008</w:t>
            </w:r>
          </w:p>
        </w:tc>
      </w:tr>
      <w:tr>
        <w:trPr>
          <w:trHeight w:val="232"/>
        </w:trPr>
        <w:tc>
          <w:tcPr>
            <w:tcW w:w="51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820" w:type="dxa"/>
            <w:vAlign w:val="bottom"/>
            <w:tcBorders>
              <w:right w:val="single" w:sz="8" w:color="CCEEFF"/>
            </w:tcBorders>
            <w:shd w:val="clear" w:color="auto" w:fill="CCEEFF"/>
          </w:tcPr>
          <w:p>
            <w:pPr>
              <w:jc w:val="center"/>
              <w:ind w:right="558"/>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(78,766)</w:t>
            </w:r>
          </w:p>
        </w:tc>
        <w:tc>
          <w:tcPr>
            <w:tcW w:w="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2,784</w:t>
            </w:r>
          </w:p>
        </w:tc>
      </w:tr>
      <w:tr>
        <w:trPr>
          <w:trHeight w:val="226"/>
        </w:trPr>
        <w:tc>
          <w:tcPr>
            <w:tcW w:w="5140" w:type="dxa"/>
            <w:vAlign w:val="bottom"/>
          </w:tcPr>
          <w:p>
            <w:pPr>
              <w:ind w:left="20"/>
              <w:spacing w:after="0"/>
              <w:rPr>
                <w:sz w:val="20"/>
                <w:szCs w:val="20"/>
                <w:color w:val="auto"/>
              </w:rPr>
            </w:pPr>
            <w:r>
              <w:rPr>
                <w:rFonts w:ascii="Arial" w:cs="Arial" w:eastAsia="Arial" w:hAnsi="Arial"/>
                <w:sz w:val="16"/>
                <w:szCs w:val="16"/>
                <w:color w:val="auto"/>
              </w:rPr>
              <w:t>Unrealized appreciation (depreciation) of investments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970</w:t>
            </w: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(1,224)</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loss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8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593</w:t>
            </w:r>
          </w:p>
        </w:tc>
      </w:tr>
      <w:tr>
        <w:trPr>
          <w:trHeight w:val="226"/>
        </w:trPr>
        <w:tc>
          <w:tcPr>
            <w:tcW w:w="5140" w:type="dxa"/>
            <w:vAlign w:val="bottom"/>
          </w:tcPr>
          <w:p>
            <w:pPr>
              <w:ind w:left="20"/>
              <w:spacing w:after="0"/>
              <w:rPr>
                <w:sz w:val="20"/>
                <w:szCs w:val="20"/>
                <w:color w:val="auto"/>
              </w:rPr>
            </w:pPr>
            <w:r>
              <w:rPr>
                <w:rFonts w:ascii="Arial" w:cs="Arial" w:eastAsia="Arial" w:hAnsi="Arial"/>
                <w:sz w:val="16"/>
                <w:szCs w:val="16"/>
                <w:color w:val="auto"/>
              </w:rPr>
              <w:t>(Increase) decrease in actuarial loss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(3,451)</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(1,988)</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2,265</w:t>
            </w: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w:t>
            </w:r>
          </w:p>
        </w:tc>
        <w:tc>
          <w:tcPr>
            <w:tcW w:w="820" w:type="dxa"/>
            <w:vAlign w:val="bottom"/>
            <w:tcBorders>
              <w:bottom w:val="single" w:sz="8" w:color="auto"/>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4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r>
      <w:tr>
        <w:trPr>
          <w:trHeight w:val="233"/>
        </w:trPr>
        <w:tc>
          <w:tcPr>
            <w:tcW w:w="514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4,949</w:t>
            </w:r>
          </w:p>
        </w:tc>
        <w:tc>
          <w:tcPr>
            <w:tcW w:w="820" w:type="dxa"/>
            <w:vAlign w:val="bottom"/>
          </w:tcPr>
          <w:p>
            <w:pPr>
              <w:jc w:val="center"/>
              <w:ind w:right="558"/>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(82,039)</w:t>
            </w:r>
          </w:p>
        </w:tc>
        <w:tc>
          <w:tcPr>
            <w:tcW w:w="4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8"/>
              <w:spacing w:after="0"/>
              <w:rPr>
                <w:sz w:val="20"/>
                <w:szCs w:val="20"/>
                <w:color w:val="auto"/>
              </w:rPr>
            </w:pPr>
            <w:r>
              <w:rPr>
                <w:rFonts w:ascii="Arial" w:cs="Arial" w:eastAsia="Arial" w:hAnsi="Arial"/>
                <w:sz w:val="16"/>
                <w:szCs w:val="16"/>
                <w:color w:val="auto"/>
              </w:rPr>
              <w:t>1,507</w:t>
            </w: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266" w:hanging="266"/>
        <w:spacing w:after="0"/>
        <w:tabs>
          <w:tab w:leader="none" w:pos="266" w:val="left"/>
        </w:tabs>
        <w:numPr>
          <w:ilvl w:val="0"/>
          <w:numId w:val="44"/>
        </w:numPr>
        <w:rPr>
          <w:rFonts w:ascii="Arial" w:cs="Arial" w:eastAsia="Arial" w:hAnsi="Arial"/>
          <w:sz w:val="8"/>
          <w:szCs w:val="8"/>
          <w:color w:val="auto"/>
        </w:rPr>
      </w:pPr>
      <w:r>
        <w:rPr>
          <w:rFonts w:ascii="Arial" w:cs="Arial" w:eastAsia="Arial" w:hAnsi="Arial"/>
          <w:sz w:val="13"/>
          <w:szCs w:val="13"/>
          <w:color w:val="auto"/>
        </w:rPr>
        <w:t>Year ended August 30, 2008 contained 53 weeks; all other fiscal years contained 52 weeks.</w:t>
      </w:r>
    </w:p>
    <w:p>
      <w:pPr>
        <w:spacing w:after="0" w:line="140" w:lineRule="exact"/>
        <w:rPr>
          <w:sz w:val="20"/>
          <w:szCs w:val="20"/>
          <w:color w:val="auto"/>
        </w:rPr>
      </w:pPr>
    </w:p>
    <w:p>
      <w:pPr>
        <w:ind w:left="26"/>
        <w:spacing w:after="0"/>
        <w:rPr>
          <w:sz w:val="20"/>
          <w:szCs w:val="20"/>
          <w:color w:val="auto"/>
        </w:rPr>
      </w:pPr>
      <w:r>
        <w:rPr>
          <w:rFonts w:ascii="Arial" w:cs="Arial" w:eastAsia="Arial" w:hAnsi="Arial"/>
          <w:sz w:val="16"/>
          <w:szCs w:val="16"/>
          <w:color w:val="auto"/>
        </w:rPr>
        <w:t>Components of accumulated other comprehensive income, net of tax, were:</w:t>
      </w:r>
    </w:p>
    <w:p>
      <w:pPr>
        <w:spacing w:after="0" w:line="152" w:lineRule="exact"/>
        <w:rPr>
          <w:sz w:val="20"/>
          <w:szCs w:val="20"/>
          <w:color w:val="auto"/>
        </w:rPr>
      </w:pPr>
    </w:p>
    <w:tbl>
      <w:tblPr>
        <w:tblLayout w:type="fixed"/>
        <w:tblInd w:w="26" w:type="dxa"/>
        <w:tblCellMar>
          <w:top w:w="0" w:type="dxa"/>
          <w:left w:w="0" w:type="dxa"/>
          <w:bottom w:w="0" w:type="dxa"/>
          <w:right w:w="0" w:type="dxa"/>
        </w:tblCellMar>
      </w:tblPr>
      <w:tr>
        <w:trPr>
          <w:trHeight w:val="222"/>
        </w:trPr>
        <w:tc>
          <w:tcPr>
            <w:tcW w:w="4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Of</w:t>
            </w: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August 28, 2010</w:t>
            </w:r>
          </w:p>
        </w:tc>
        <w:tc>
          <w:tcPr>
            <w:tcW w:w="5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August 29, 2009</w:t>
            </w: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$&lt;</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investments</w:t>
            </w:r>
          </w:p>
        </w:tc>
        <w:tc>
          <w:tcPr>
            <w:tcW w:w="2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/font&gt;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26"/>
        </w:trPr>
        <w:tc>
          <w:tcPr>
            <w:tcW w:w="4380" w:type="dxa"/>
            <w:vAlign w:val="bottom"/>
          </w:tcPr>
          <w:p>
            <w:pPr>
              <w:ind w:left="20"/>
              <w:spacing w:after="0"/>
              <w:rPr>
                <w:sz w:val="20"/>
                <w:szCs w:val="20"/>
                <w:color w:val="auto"/>
              </w:rPr>
            </w:pPr>
            <w:r>
              <w:rPr>
                <w:rFonts w:ascii="Arial" w:cs="Arial" w:eastAsia="Arial" w:hAnsi="Arial"/>
                <w:sz w:val="16"/>
                <w:szCs w:val="16"/>
                <w:color w:val="auto"/>
              </w:rPr>
              <w:t>Actuarial loss</w:t>
            </w: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(12,382)</w:t>
            </w:r>
          </w:p>
        </w:tc>
        <w:tc>
          <w:tcPr>
            <w:tcW w:w="50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6"/>
                <w:szCs w:val="16"/>
                <w:color w:val="auto"/>
              </w:rPr>
              <w:t>(9,479)</w:t>
            </w: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service benefit</w:t>
            </w:r>
          </w:p>
        </w:tc>
        <w:tc>
          <w:tcPr>
            <w:tcW w:w="27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13,665</w:t>
            </w:r>
          </w:p>
        </w:tc>
        <w:tc>
          <w:tcPr>
            <w:tcW w:w="5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16,273</w:t>
            </w:r>
          </w:p>
        </w:tc>
        <w:tc>
          <w:tcPr>
            <w:tcW w:w="0" w:type="dxa"/>
            <w:vAlign w:val="bottom"/>
          </w:tcPr>
          <w:p>
            <w:pPr>
              <w:spacing w:after="0"/>
              <w:rPr>
                <w:sz w:val="1"/>
                <w:szCs w:val="1"/>
                <w:color w:val="auto"/>
              </w:rPr>
            </w:pPr>
          </w:p>
        </w:tc>
      </w:tr>
      <w:tr>
        <w:trPr>
          <w:trHeight w:val="232"/>
        </w:trPr>
        <w:tc>
          <w:tcPr>
            <w:tcW w:w="438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1,242</w:t>
            </w:r>
          </w:p>
        </w:tc>
        <w:tc>
          <w:tcPr>
            <w:tcW w:w="500" w:type="dxa"/>
            <w:vAlign w:val="bottom"/>
          </w:tcPr>
          <w:p>
            <w:pPr>
              <w:ind w:left="8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700" w:type="dxa"/>
            <w:vAlign w:val="bottom"/>
            <w:vMerge w:val="restart"/>
          </w:tcPr>
          <w:p>
            <w:pPr>
              <w:jc w:val="right"/>
              <w:ind w:right="1201"/>
              <w:spacing w:after="0"/>
              <w:rPr>
                <w:sz w:val="20"/>
                <w:szCs w:val="20"/>
                <w:color w:val="auto"/>
              </w:rPr>
            </w:pPr>
            <w:r>
              <w:rPr>
                <w:rFonts w:ascii="Arial" w:cs="Arial" w:eastAsia="Arial" w:hAnsi="Arial"/>
                <w:sz w:val="15"/>
                <w:szCs w:val="15"/>
                <w:color w:val="auto"/>
              </w:rPr>
              <w:t>46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8"/>
        </w:trPr>
        <w:tc>
          <w:tcPr>
            <w:tcW w:w="43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6"/>
          </w:cols>
          <w:pgMar w:left="214" w:top="126" w:right="239" w:bottom="1440" w:gutter="0" w:footer="0" w:header="0"/>
        </w:sectPr>
      </w:pPr>
    </w:p>
    <w:bookmarkStart w:id="48" w:name="page49"/>
    <w:bookmarkEnd w:id="48"/>
    <w:p>
      <w:pPr>
        <w:jc w:val="cente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 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color w:val="auto"/>
        </w:rPr>
        <w:t>Changes in and Disagreements with Accountants on Accounting and Financial Disclosure</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None</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color w:val="auto"/>
        </w:rPr>
        <w:t>Controls and Procedures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which, by their nature, can provide only reasonable assurance re garding management's disclosure control objectives.</w:t>
      </w:r>
    </w:p>
    <w:p>
      <w:pPr>
        <w:spacing w:after="0" w:line="13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Management's report on internal control over financial reporting as of August 28, 2010 is included within Item 8 of this Annual Report on Form 10-K and is incorporated herein by reference. The report of Deloitte &amp; Touche LLP on the effectiveness of internal control over financial reporting is included within Item 8 of this Annual Report on Form 10-K and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re were no changes in our internal control over financial reporting (as defined in Exchange Act Rule 13a-15(f)) that occurred during our last fiscal quarter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that have materially affected, or are reasonably likely to materially affect, our internal control over financial reporting.</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color w:val="auto"/>
        </w:rPr>
        <w:t>Other Information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color w:val="auto"/>
        </w:rPr>
        <w:t>Directors, Executive Officers and Corporate Governance</w:t>
      </w:r>
    </w:p>
    <w:p>
      <w:pPr>
        <w:spacing w:after="0" w:line="179"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Reference is made to the table entitled "Executive Officers of the Registrant" in Part I of this report and to the information included under the captions "Board of Directors, Committees of the Board and Corporate Governance", "Section 16(A) Beneficial Ownership Reporting Compliance", "Election of Directors" and "Fiscal Year 2011 Shareholder Proposals" in our Proxy Statement for the Annual Meeting of Shareholders scheduled to be held December 14, 2010, which information is incorporated by reference herein.</w:t>
      </w:r>
    </w:p>
    <w:p>
      <w:pPr>
        <w:spacing w:after="0" w:line="13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have adopted a written code of ethics, the "Code of Ethics for CEO and Senior Financial Officers" (the "Code") which is applicable to our Chief Executive Officer, Chief Financial Officer, Controller and Treasurer (collectively, the "Senior Officers"). In accordance with the rules and regulations of the SEC, a copy of the Code has been filed as an exhibit to this Form 10-K and is posted on our Web Site.</w:t>
      </w:r>
    </w:p>
    <w:p>
      <w:pPr>
        <w:spacing w:after="0" w:line="131"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 Site at www.winnebagoind.com or by filing a Form 8-K.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color w:val="auto"/>
        </w:rPr>
        <w:t>Executive Compensation</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Meeting of Shareholders scheduled to be held December 14, 2010, which information is incorporated by reference herein.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48260</wp:posOffset>
            </wp:positionV>
            <wp:extent cx="728472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49" w:name="page50"/>
    <w:bookmarkEnd w:id="49"/>
    <w:p>
      <w:pPr>
        <w:jc w:val="center"/>
        <w:ind w:right="-21"/>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color w:val="auto"/>
        </w:rPr>
        <w:t>Security Ownership of Certain Beneficial Owners and Management and Related Stockholder Matters</w:t>
      </w:r>
    </w:p>
    <w:p>
      <w:pPr>
        <w:spacing w:after="0" w:line="179" w:lineRule="exact"/>
        <w:rPr>
          <w:sz w:val="20"/>
          <w:szCs w:val="20"/>
          <w:color w:val="auto"/>
        </w:rPr>
      </w:pPr>
    </w:p>
    <w:p>
      <w:pPr>
        <w:jc w:val="center"/>
        <w:ind w:left="260"/>
        <w:spacing w:after="0" w:line="263" w:lineRule="auto"/>
        <w:rPr>
          <w:sz w:val="20"/>
          <w:szCs w:val="20"/>
          <w:color w:val="auto"/>
        </w:rPr>
      </w:pPr>
      <w:r>
        <w:rPr>
          <w:rFonts w:ascii="Arial" w:cs="Arial" w:eastAsia="Arial" w:hAnsi="Arial"/>
          <w:sz w:val="16"/>
          <w:szCs w:val="16"/>
          <w:color w:val="auto"/>
        </w:rPr>
        <w:t>Reference is made to the t 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14, 2010, which information is incorporated by reference herein.</w:t>
      </w:r>
    </w:p>
    <w:p>
      <w:pPr>
        <w:spacing w:after="0" w:line="3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color w:val="auto"/>
        </w:rPr>
        <w:t>Certain Relationships and Related Transactions and Director Independence</w:t>
      </w:r>
    </w:p>
    <w:p>
      <w:pPr>
        <w:spacing w:after="0" w:line="179" w:lineRule="exact"/>
        <w:rPr>
          <w:sz w:val="20"/>
          <w:szCs w:val="20"/>
          <w:color w:val="auto"/>
        </w:rPr>
      </w:pPr>
    </w:p>
    <w:p>
      <w:pPr>
        <w:ind w:left="202"/>
        <w:spacing w:after="0"/>
        <w:rPr>
          <w:sz w:val="20"/>
          <w:szCs w:val="20"/>
          <w:color w:val="auto"/>
        </w:rPr>
      </w:pPr>
      <w:r>
        <w:rPr>
          <w:rFonts w:ascii="Arial" w:cs="Arial" w:eastAsia="Arial" w:hAnsi="Arial"/>
          <w:sz w:val="16"/>
          <w:szCs w:val="16"/>
          <w:color w:val="auto"/>
        </w:rPr>
        <w:t>Reference is made to the information included under the caption "Board of Directors, Committees of th e Board and Corporate Governance" in our Proxy</w:t>
      </w:r>
    </w:p>
    <w:p>
      <w:pPr>
        <w:spacing w:after="0" w:line="1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Statement for the Annual Meeting of Shareholders scheduled to be held December 14, 2010, which information is incorporated by reference herein.</w:t>
      </w:r>
    </w:p>
    <w:p>
      <w:pPr>
        <w:spacing w:after="0" w:line="33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color w:val="auto"/>
        </w:rPr>
        <w:t>Principal Accounting Fees and Services</w:t>
      </w:r>
    </w:p>
    <w:p>
      <w:pPr>
        <w:spacing w:after="0" w:line="179" w:lineRule="exact"/>
        <w:rPr>
          <w:sz w:val="20"/>
          <w:szCs w:val="20"/>
          <w:color w:val="auto"/>
        </w:rPr>
      </w:pPr>
    </w:p>
    <w:p>
      <w:pPr>
        <w:ind w:left="42"/>
        <w:spacing w:after="0"/>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w:t>
      </w:r>
    </w:p>
    <w:p>
      <w:pPr>
        <w:spacing w:after="0" w:line="1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the Annual Meeting of Shareholders scheduled to be held December 14, 2010 which information is incorporated by reference herein.</w:t>
      </w:r>
    </w:p>
    <w:p>
      <w:pPr>
        <w:spacing w:after="0" w:line="18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PART IV</w:t>
      </w:r>
    </w:p>
    <w:p>
      <w:pPr>
        <w:spacing w:after="0" w:line="35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color w:val="auto"/>
        </w:rPr>
        <w:t>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Schedules</w:t>
      </w:r>
    </w:p>
    <w:p>
      <w:pPr>
        <w:spacing w:after="0" w:line="179" w:lineRule="exact"/>
        <w:rPr>
          <w:sz w:val="20"/>
          <w:szCs w:val="20"/>
          <w:color w:val="auto"/>
        </w:rPr>
      </w:pPr>
    </w:p>
    <w:p>
      <w:pPr>
        <w:ind w:left="322" w:hanging="322"/>
        <w:spacing w:after="0"/>
        <w:tabs>
          <w:tab w:leader="none" w:pos="3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financial statements are included in Item 8 and an index to financial statements appears on page 23 of this report.</w:t>
      </w:r>
    </w:p>
    <w:p>
      <w:pPr>
        <w:spacing w:after="0" w:line="147" w:lineRule="exact"/>
        <w:rPr>
          <w:rFonts w:ascii="Arial" w:cs="Arial" w:eastAsia="Arial" w:hAnsi="Arial"/>
          <w:sz w:val="16"/>
          <w:szCs w:val="16"/>
          <w:color w:val="auto"/>
        </w:rPr>
      </w:pPr>
    </w:p>
    <w:p>
      <w:pPr>
        <w:ind w:left="322" w:right="140" w:hanging="322"/>
        <w:spacing w:after="0" w:line="286" w:lineRule="auto"/>
        <w:tabs>
          <w:tab w:leader="none" w:pos="3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Financial Statement Schedules: All schedules are omitted because of the absence of the conditions under which they are required or because the information required is shown in the financial statements or the notes thereto.</w:t>
      </w:r>
    </w:p>
    <w:p>
      <w:pPr>
        <w:spacing w:after="0" w:line="112" w:lineRule="exact"/>
        <w:rPr>
          <w:rFonts w:ascii="Arial" w:cs="Arial" w:eastAsia="Arial" w:hAnsi="Arial"/>
          <w:sz w:val="16"/>
          <w:szCs w:val="16"/>
          <w:color w:val="auto"/>
        </w:rPr>
      </w:pPr>
    </w:p>
    <w:p>
      <w:pPr>
        <w:ind w:left="322" w:hanging="322"/>
        <w:spacing w:after="0"/>
        <w:tabs>
          <w:tab w:leader="none" w:pos="3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Exhibits: See Exhibit Index on pages 50 - 52.</w:t>
      </w:r>
    </w:p>
    <w:p>
      <w:pPr>
        <w:spacing w:after="0" w:line="200" w:lineRule="exact"/>
        <w:rPr>
          <w:sz w:val="20"/>
          <w:szCs w:val="20"/>
          <w:color w:val="auto"/>
        </w:rPr>
      </w:pPr>
    </w:p>
    <w:p>
      <w:pPr>
        <w:spacing w:after="0" w:line="330" w:lineRule="exact"/>
        <w:rPr>
          <w:sz w:val="20"/>
          <w:szCs w:val="20"/>
          <w:color w:val="auto"/>
        </w:rPr>
      </w:pPr>
    </w:p>
    <w:p>
      <w:pPr>
        <w:jc w:val="center"/>
        <w:ind w:right="-21"/>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22"/>
          </w:cols>
          <w:pgMar w:left="238" w:top="153" w:right="239" w:bottom="1440" w:gutter="0" w:footer="0" w:header="0"/>
        </w:sectPr>
      </w:pPr>
    </w:p>
    <w:bookmarkStart w:id="50" w:name="page51"/>
    <w:bookmarkEnd w:id="5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7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WINNEBAGO INDUSTRIES, INC.</w:t>
      </w:r>
    </w:p>
    <w:p>
      <w:pPr>
        <w:spacing w:after="0" w:line="307"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4212590</wp:posOffset>
            </wp:positionH>
            <wp:positionV relativeFrom="paragraph">
              <wp:posOffset>24130</wp:posOffset>
            </wp:positionV>
            <wp:extent cx="30454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45460" cy="7620"/>
                    </a:xfrm>
                    <a:prstGeom prst="rect">
                      <a:avLst/>
                    </a:prstGeom>
                    <a:noFill/>
                  </pic:spPr>
                </pic:pic>
              </a:graphicData>
            </a:graphic>
          </wp:anchor>
        </w:drawing>
      </w:r>
    </w:p>
    <w:p>
      <w:pPr>
        <w:spacing w:after="0" w:line="54"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Robert J. Olson</w:t>
      </w:r>
    </w:p>
    <w:p>
      <w:pPr>
        <w:spacing w:after="0" w:line="31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Chairman of the Board, Chief Executive Officer,</w:t>
      </w:r>
    </w:p>
    <w:p>
      <w:pPr>
        <w:spacing w:after="0" w:line="61"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President and Director</w:t>
      </w:r>
    </w:p>
    <w:p>
      <w:pPr>
        <w:spacing w:after="0" w:line="37"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6"/>
          <w:szCs w:val="16"/>
          <w:color w:val="auto"/>
        </w:rPr>
        <w:t>&amp; nbsp;</w:t>
      </w:r>
      <w:r>
        <w:rPr>
          <w:sz w:val="20"/>
          <w:szCs w:val="20"/>
          <w:color w:val="auto"/>
        </w:rPr>
        <w:tab/>
      </w:r>
      <w:r>
        <w:rPr>
          <w:rFonts w:ascii="Arial" w:cs="Arial" w:eastAsia="Arial" w:hAnsi="Arial"/>
          <w:sz w:val="16"/>
          <w:szCs w:val="16"/>
          <w:color w:val="auto"/>
        </w:rPr>
        <w:t>(Principal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Date: October 26, 2010</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26, 2010, by the following persons on behalf of the Registrant and in the capacities indicated.</w:t>
      </w:r>
    </w:p>
    <w:p>
      <w:pPr>
        <w:sectPr>
          <w:pgSz w:w="11900" w:h="16838" w:orient="portrait"/>
          <w:cols w:equalWidth="0" w:num="1">
            <w:col w:w="11160"/>
          </w:cols>
          <w:pgMar w:left="240" w:top="153" w:right="499" w:bottom="1440" w:gutter="0" w:footer="0" w:header="0"/>
        </w:sectPr>
      </w:pPr>
    </w:p>
    <w:p>
      <w:pPr>
        <w:spacing w:after="0" w:line="116"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u w:val="single" w:color="auto"/>
          <w:color w:val="auto"/>
        </w:rPr>
        <w:t>Signature</w:t>
      </w:r>
    </w:p>
    <w:p>
      <w:pPr>
        <w:spacing w:after="0" w:line="35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15875</wp:posOffset>
            </wp:positionV>
            <wp:extent cx="23368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6800" cy="7620"/>
                    </a:xfrm>
                    <a:prstGeom prst="rect">
                      <a:avLst/>
                    </a:prstGeom>
                    <a:noFill/>
                  </pic:spPr>
                </pic:pic>
              </a:graphicData>
            </a:graphic>
          </wp:anchor>
        </w:drawing>
      </w:r>
    </w:p>
    <w:p>
      <w:pPr>
        <w:spacing w:after="0" w:line="4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Robert J. Olson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15875</wp:posOffset>
            </wp:positionV>
            <wp:extent cx="23368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36800" cy="7620"/>
                    </a:xfrm>
                    <a:prstGeom prst="rect">
                      <a:avLst/>
                    </a:prstGeom>
                    <a:noFill/>
                  </pic:spPr>
                </pic:pic>
              </a:graphicData>
            </a:graphic>
          </wp:anchor>
        </w:drawing>
      </w:r>
    </w:p>
    <w:p>
      <w:pPr>
        <w:spacing w:after="0" w:line="4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Sarah N. Nielsen</w:t>
      </w:r>
    </w:p>
    <w:p>
      <w:pPr>
        <w:spacing w:after="0" w:line="200" w:lineRule="exact"/>
        <w:rPr>
          <w:sz w:val="20"/>
          <w:szCs w:val="20"/>
          <w:color w:val="auto"/>
        </w:rPr>
      </w:pPr>
    </w:p>
    <w:p>
      <w:pPr>
        <w:spacing w:after="0" w:line="29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 Brian J. Hrubes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15875</wp:posOffset>
            </wp:positionV>
            <wp:extent cx="23368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36800" cy="7620"/>
                    </a:xfrm>
                    <a:prstGeom prst="rect">
                      <a:avLst/>
                    </a:prstGeom>
                    <a:noFill/>
                  </pic:spPr>
                </pic:pic>
              </a:graphicData>
            </a:graphic>
          </wp:anchor>
        </w:drawing>
      </w:r>
    </w:p>
    <w:p>
      <w:pPr>
        <w:spacing w:after="0" w:line="4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Brian J. Hrubes</w:t>
      </w:r>
    </w:p>
    <w:p>
      <w:pPr>
        <w:spacing w:after="0" w:line="200" w:lineRule="exact"/>
        <w:rPr>
          <w:sz w:val="20"/>
          <w:szCs w:val="20"/>
          <w:color w:val="auto"/>
        </w:rPr>
      </w:pPr>
    </w:p>
    <w:p>
      <w:pPr>
        <w:spacing w:after="0" w:line="29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 Irvin E. 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15875</wp:posOffset>
            </wp:positionV>
            <wp:extent cx="23368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368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Capacity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Chief Executive Officer,</w:t>
      </w:r>
    </w:p>
    <w:p>
      <w:pPr>
        <w:spacing w:after="0"/>
        <w:rPr>
          <w:sz w:val="20"/>
          <w:szCs w:val="20"/>
          <w:color w:val="auto"/>
        </w:rPr>
      </w:pPr>
      <w:r>
        <w:rPr>
          <w:rFonts w:ascii="Arial" w:cs="Arial" w:eastAsia="Arial" w:hAnsi="Arial"/>
          <w:sz w:val="16"/>
          <w:szCs w:val="16"/>
          <w:color w:val="auto"/>
        </w:rPr>
        <w:t>President and Director</w:t>
      </w: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rPr>
          <w:sz w:val="20"/>
          <w:szCs w:val="20"/>
          <w:color w:val="auto"/>
        </w:rPr>
      </w:pPr>
      <w:r>
        <w:rPr>
          <w:rFonts w:ascii="Arial" w:cs="Arial" w:eastAsia="Arial" w:hAnsi="Arial"/>
          <w:sz w:val="16"/>
          <w:szCs w:val="16"/>
          <w:color w:val="auto"/>
        </w:rPr>
        <w:t>(Princ ipal Financial Officer)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Controller</w:t>
      </w:r>
    </w:p>
    <w:p>
      <w:pPr>
        <w:spacing w:after="0"/>
        <w:rPr>
          <w:sz w:val="20"/>
          <w:szCs w:val="20"/>
          <w:color w:val="auto"/>
        </w:rPr>
      </w:pPr>
      <w:r>
        <w:rPr>
          <w:rFonts w:ascii="Arial" w:cs="Arial" w:eastAsia="Arial" w:hAnsi="Arial"/>
          <w:sz w:val="16"/>
          <w:szCs w:val="16"/>
          <w:color w:val="auto"/>
        </w:rPr>
        <w:t>(Principal Accounting Officer)</w:t>
      </w:r>
    </w:p>
    <w:p>
      <w:pPr>
        <w:spacing w:after="0" w:line="563" w:lineRule="exact"/>
        <w:rPr>
          <w:sz w:val="20"/>
          <w:szCs w:val="20"/>
          <w:color w:val="auto"/>
        </w:rPr>
      </w:pPr>
    </w:p>
    <w:p>
      <w:pPr>
        <w:sectPr>
          <w:pgSz w:w="11900" w:h="16838" w:orient="portrait"/>
          <w:cols w:equalWidth="0" w:num="2">
            <w:col w:w="5300" w:space="720"/>
            <w:col w:w="5140"/>
          </w:cols>
          <w:pgMar w:left="240" w:top="153" w:right="499" w:bottom="1440" w:gutter="0" w:footer="0" w:header="0"/>
          <w:type w:val="continuous"/>
        </w:sectPr>
      </w:pPr>
    </w:p>
    <w:tbl>
      <w:tblPr>
        <w:tblLayout w:type="fixed"/>
        <w:tblInd w:w="130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Irvin E. Aal</w:t>
            </w:r>
          </w:p>
        </w:tc>
        <w:tc>
          <w:tcPr>
            <w:tcW w:w="1580" w:type="dxa"/>
            <w:vAlign w:val="bottom"/>
          </w:tcPr>
          <w:p>
            <w:pPr>
              <w:ind w:left="1020"/>
              <w:spacing w:after="0"/>
              <w:rPr>
                <w:sz w:val="20"/>
                <w:szCs w:val="20"/>
                <w:color w:val="auto"/>
              </w:rPr>
            </w:pPr>
            <w:r>
              <w:rPr>
                <w:rFonts w:ascii="Arial" w:cs="Arial" w:eastAsia="Arial" w:hAnsi="Arial"/>
                <w:sz w:val="16"/>
                <w:szCs w:val="16"/>
                <w:color w:val="auto"/>
                <w:w w:val="96"/>
              </w:rPr>
              <w:t>Director</w:t>
            </w:r>
          </w:p>
        </w:tc>
      </w:tr>
      <w:tr>
        <w:trPr>
          <w:trHeight w:val="510"/>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Robert M. Chiusano</w:t>
            </w:r>
          </w:p>
        </w:tc>
        <w:tc>
          <w:tcPr>
            <w:tcW w:w="158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Robert M. Chiu sano</w:t>
            </w:r>
          </w:p>
        </w:tc>
        <w:tc>
          <w:tcPr>
            <w:tcW w:w="1580" w:type="dxa"/>
            <w:vAlign w:val="bottom"/>
          </w:tcPr>
          <w:p>
            <w:pPr>
              <w:ind w:left="1020"/>
              <w:spacing w:after="0"/>
              <w:rPr>
                <w:sz w:val="20"/>
                <w:szCs w:val="20"/>
                <w:color w:val="auto"/>
              </w:rPr>
            </w:pPr>
            <w:r>
              <w:rPr>
                <w:rFonts w:ascii="Arial" w:cs="Arial" w:eastAsia="Arial" w:hAnsi="Arial"/>
                <w:sz w:val="16"/>
                <w:szCs w:val="16"/>
                <w:color w:val="auto"/>
                <w:w w:val="96"/>
              </w:rPr>
              <w:t>Director</w:t>
            </w:r>
          </w:p>
        </w:tc>
      </w:tr>
      <w:tr>
        <w:trPr>
          <w:trHeight w:val="510"/>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Jerry N. Currie</w:t>
            </w:r>
          </w:p>
        </w:tc>
        <w:tc>
          <w:tcPr>
            <w:tcW w:w="158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Jerry N. Currie</w:t>
            </w:r>
          </w:p>
        </w:tc>
        <w:tc>
          <w:tcPr>
            <w:tcW w:w="1580" w:type="dxa"/>
            <w:vAlign w:val="bottom"/>
          </w:tcPr>
          <w:p>
            <w:pPr>
              <w:ind w:left="1020"/>
              <w:spacing w:after="0"/>
              <w:rPr>
                <w:sz w:val="20"/>
                <w:szCs w:val="20"/>
                <w:color w:val="auto"/>
              </w:rPr>
            </w:pPr>
            <w:r>
              <w:rPr>
                <w:rFonts w:ascii="Arial" w:cs="Arial" w:eastAsia="Arial" w:hAnsi="Arial"/>
                <w:sz w:val="16"/>
                <w:szCs w:val="16"/>
                <w:color w:val="auto"/>
                <w:w w:val="96"/>
              </w:rPr>
              <w:t>Director</w:t>
            </w:r>
          </w:p>
        </w:tc>
      </w:tr>
      <w:tr>
        <w:trPr>
          <w:trHeight w:val="510"/>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Joseph W. England</w:t>
            </w:r>
          </w:p>
        </w:tc>
        <w:tc>
          <w:tcPr>
            <w:tcW w:w="1580" w:type="dxa"/>
            <w:vAlign w:val="bottom"/>
          </w:tcPr>
          <w:p>
            <w:pPr>
              <w:spacing w:after="0"/>
              <w:rPr>
                <w:sz w:val="24"/>
                <w:szCs w:val="24"/>
                <w:color w:val="auto"/>
              </w:rPr>
            </w:pPr>
          </w:p>
        </w:tc>
      </w:tr>
      <w:tr>
        <w:trPr>
          <w:trHeight w:val="219"/>
        </w:trPr>
        <w:tc>
          <w:tcPr>
            <w:tcW w:w="3700" w:type="dxa"/>
            <w:vAlign w:val="bottom"/>
            <w:gridSpan w:val="2"/>
          </w:tcPr>
          <w:p>
            <w:pPr>
              <w:spacing w:after="0"/>
              <w:rPr>
                <w:sz w:val="20"/>
                <w:szCs w:val="20"/>
                <w:color w:val="auto"/>
              </w:rPr>
            </w:pPr>
            <w:r>
              <w:rPr>
                <w:rFonts w:ascii="Arial" w:cs="Arial" w:eastAsia="Arial" w:hAnsi="Arial"/>
                <w:sz w:val="16"/>
                <w:szCs w:val="16"/>
                <w:color w:val="auto"/>
              </w:rPr>
              <w:t>Joseph W. England</w:t>
            </w:r>
          </w:p>
        </w:tc>
        <w:tc>
          <w:tcPr>
            <w:tcW w:w="1580" w:type="dxa"/>
            <w:vAlign w:val="bottom"/>
          </w:tcPr>
          <w:p>
            <w:pPr>
              <w:ind w:left="1020"/>
              <w:spacing w:after="0"/>
              <w:rPr>
                <w:sz w:val="20"/>
                <w:szCs w:val="20"/>
                <w:color w:val="auto"/>
              </w:rPr>
            </w:pPr>
            <w:r>
              <w:rPr>
                <w:rFonts w:ascii="Arial" w:cs="Arial" w:eastAsia="Arial" w:hAnsi="Arial"/>
                <w:sz w:val="16"/>
                <w:szCs w:val="16"/>
                <w:color w:val="auto"/>
                <w:w w:val="96"/>
              </w:rPr>
              <w:t>Director</w:t>
            </w:r>
          </w:p>
        </w:tc>
      </w:tr>
      <w:tr>
        <w:trPr>
          <w:trHeight w:val="510"/>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Lawrence A. Erickson</w:t>
            </w:r>
          </w:p>
        </w:tc>
        <w:tc>
          <w:tcPr>
            <w:tcW w:w="158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Lawrence A. Erickson</w:t>
            </w:r>
          </w:p>
        </w:tc>
        <w:tc>
          <w:tcPr>
            <w:tcW w:w="1580" w:type="dxa"/>
            <w:vAlign w:val="bottom"/>
          </w:tcPr>
          <w:p>
            <w:pPr>
              <w:ind w:left="1020"/>
              <w:spacing w:after="0"/>
              <w:rPr>
                <w:sz w:val="20"/>
                <w:szCs w:val="20"/>
                <w:color w:val="auto"/>
              </w:rPr>
            </w:pPr>
            <w:r>
              <w:rPr>
                <w:rFonts w:ascii="Arial" w:cs="Arial" w:eastAsia="Arial" w:hAnsi="Arial"/>
                <w:sz w:val="16"/>
                <w:szCs w:val="16"/>
                <w:color w:val="auto"/>
                <w:w w:val="96"/>
              </w:rPr>
              <w:t>Director</w:t>
            </w:r>
          </w:p>
        </w:tc>
      </w:tr>
      <w:tr>
        <w:trPr>
          <w:trHeight w:val="510"/>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V. Hanson</w:t>
            </w:r>
          </w:p>
        </w:tc>
        <w:tc>
          <w:tcPr>
            <w:tcW w:w="158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John V. Hanson</w:t>
            </w:r>
          </w:p>
        </w:tc>
        <w:tc>
          <w:tcPr>
            <w:tcW w:w="1580" w:type="dxa"/>
            <w:vAlign w:val="bottom"/>
          </w:tcPr>
          <w:p>
            <w:pPr>
              <w:ind w:left="1020"/>
              <w:spacing w:after="0"/>
              <w:rPr>
                <w:sz w:val="20"/>
                <w:szCs w:val="20"/>
                <w:color w:val="auto"/>
              </w:rPr>
            </w:pPr>
            <w:r>
              <w:rPr>
                <w:rFonts w:ascii="Arial" w:cs="Arial" w:eastAsia="Arial" w:hAnsi="Arial"/>
                <w:sz w:val="16"/>
                <w:szCs w:val="16"/>
                <w:color w:val="auto"/>
                <w:w w:val="96"/>
              </w:rPr>
              <w:t>Director</w:t>
            </w:r>
          </w:p>
        </w:tc>
      </w:tr>
      <w:tr>
        <w:trPr>
          <w:trHeight w:val="510"/>
        </w:trPr>
        <w:tc>
          <w:tcPr>
            <w:tcW w:w="3700" w:type="dxa"/>
            <w:vAlign w:val="bottom"/>
            <w:gridSpan w:val="2"/>
          </w:tcPr>
          <w:p>
            <w:pPr>
              <w:spacing w:after="0"/>
              <w:rPr>
                <w:sz w:val="20"/>
                <w:szCs w:val="20"/>
                <w:color w:val="auto"/>
              </w:rPr>
            </w:pPr>
            <w:r>
              <w:rPr>
                <w:rFonts w:ascii="Arial" w:cs="Arial" w:eastAsia="Arial" w:hAnsi="Arial"/>
                <w:sz w:val="16"/>
                <w:szCs w:val="16"/>
                <w:color w:val="auto"/>
              </w:rPr>
              <w:t>/s/ Gerald C. Kitch</w:t>
            </w:r>
          </w:p>
        </w:tc>
        <w:tc>
          <w:tcPr>
            <w:tcW w:w="158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Gerald C. Kitch</w:t>
            </w:r>
          </w:p>
        </w:tc>
        <w:tc>
          <w:tcPr>
            <w:tcW w:w="1580" w:type="dxa"/>
            <w:vAlign w:val="bottom"/>
          </w:tcPr>
          <w:p>
            <w:pPr>
              <w:ind w:left="1020"/>
              <w:spacing w:after="0"/>
              <w:rPr>
                <w:sz w:val="20"/>
                <w:szCs w:val="20"/>
                <w:color w:val="auto"/>
              </w:rPr>
            </w:pPr>
            <w:r>
              <w:rPr>
                <w:rFonts w:ascii="Arial" w:cs="Arial" w:eastAsia="Arial" w:hAnsi="Arial"/>
                <w:sz w:val="16"/>
                <w:szCs w:val="16"/>
                <w:color w:val="auto"/>
                <w:w w:val="96"/>
              </w:rPr>
              <w:t>Director</w:t>
            </w:r>
          </w:p>
        </w:tc>
      </w:tr>
      <w:tr>
        <w:trPr>
          <w:trHeight w:val="36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80" w:type="dxa"/>
            <w:vAlign w:val="bottom"/>
          </w:tcPr>
          <w:p>
            <w:pPr>
              <w:ind w:left="640"/>
              <w:spacing w:after="0"/>
              <w:rPr>
                <w:sz w:val="20"/>
                <w:szCs w:val="20"/>
                <w:color w:val="auto"/>
              </w:rPr>
            </w:pPr>
            <w:r>
              <w:rPr>
                <w:rFonts w:ascii="Arial" w:cs="Arial" w:eastAsia="Arial" w:hAnsi="Arial"/>
                <w:sz w:val="15"/>
                <w:szCs w:val="15"/>
                <w:color w:val="auto"/>
              </w:rPr>
              <w:t>49</w:t>
            </w:r>
          </w:p>
        </w:tc>
      </w:tr>
    </w:tbl>
    <w:p>
      <w:pPr>
        <w:sectPr>
          <w:pgSz w:w="11900" w:h="16838" w:orient="portrait"/>
          <w:cols w:equalWidth="0" w:num="1">
            <w:col w:w="11160"/>
          </w:cols>
          <w:pgMar w:left="240" w:top="153" w:right="499" w:bottom="1440" w:gutter="0" w:footer="0" w:header="0"/>
          <w:type w:val="continuous"/>
        </w:sectPr>
      </w:pPr>
    </w:p>
    <w:bookmarkStart w:id="51" w:name="page52"/>
    <w:bookmarkEnd w:id="5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179" w:lineRule="exact"/>
        <w:rPr>
          <w:sz w:val="20"/>
          <w:szCs w:val="20"/>
          <w:color w:val="auto"/>
        </w:rPr>
      </w:pPr>
    </w:p>
    <w:p>
      <w:pPr>
        <w:ind w:left="380" w:right="400" w:hanging="440"/>
        <w:spacing w:after="0" w:line="271" w:lineRule="auto"/>
        <w:tabs>
          <w:tab w:leader="none" w:pos="360" w:val="left"/>
        </w:tabs>
        <w:rPr>
          <w:sz w:val="20"/>
          <w:szCs w:val="20"/>
          <w:color w:val="auto"/>
        </w:rPr>
      </w:pPr>
      <w:r>
        <w:rPr>
          <w:rFonts w:ascii="Arial" w:cs="Arial" w:eastAsia="Arial" w:hAnsi="Arial"/>
          <w:sz w:val="16"/>
          <w:szCs w:val="16"/>
          <w:color w:val="auto"/>
        </w:rPr>
        <w:t>3a.</w:t>
        <w:tab/>
        <w:t>Articles of I ncorporation previously filed with the Registrant's Quarterly Report on Form 10-Q for the quarter ended May 27, 2000 (Commission File Number 001-06403) and incorporated by reference herein.</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3b.</w:t>
        <w:tab/>
        <w:t>Amended By-Laws of the Registrant previously filed with the Registrant's Current Report on Form 8-K dated March 29, 2010 (Commission File Number</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001-06403) and incorporated by reference herein.</w:t>
      </w:r>
    </w:p>
    <w:p>
      <w:pPr>
        <w:spacing w:after="0" w:line="159" w:lineRule="exact"/>
        <w:rPr>
          <w:sz w:val="20"/>
          <w:szCs w:val="20"/>
          <w:color w:val="auto"/>
        </w:rPr>
      </w:pPr>
    </w:p>
    <w:p>
      <w:pPr>
        <w:jc w:val="center"/>
        <w:ind w:right="220"/>
        <w:spacing w:after="0"/>
        <w:tabs>
          <w:tab w:leader="none" w:pos="140" w:val="left"/>
        </w:tabs>
        <w:rPr>
          <w:sz w:val="20"/>
          <w:szCs w:val="20"/>
          <w:color w:val="auto"/>
        </w:rPr>
      </w:pPr>
      <w:r>
        <w:rPr>
          <w:rFonts w:ascii="Arial" w:cs="Arial" w:eastAsia="Arial" w:hAnsi="Arial"/>
          <w:sz w:val="16"/>
          <w:szCs w:val="16"/>
          <w:color w:val="auto"/>
        </w:rPr>
        <w:t>4a.</w:t>
        <w:tab/>
        <w:t>Lo an and Security Agreement between Burdale Capital Finance, Inc. and Winnebago Industries, Inc. dated October 13, 2009 previously filed with the</w:t>
      </w:r>
    </w:p>
    <w:p>
      <w:pPr>
        <w:spacing w:after="0" w:line="12" w:lineRule="exact"/>
        <w:rPr>
          <w:sz w:val="20"/>
          <w:szCs w:val="20"/>
          <w:color w:val="auto"/>
        </w:rPr>
      </w:pPr>
    </w:p>
    <w:p>
      <w:pPr>
        <w:ind w:left="440" w:right="660"/>
        <w:spacing w:after="0" w:line="271" w:lineRule="auto"/>
        <w:rPr>
          <w:sz w:val="20"/>
          <w:szCs w:val="20"/>
          <w:color w:val="auto"/>
        </w:rPr>
      </w:pPr>
      <w:r>
        <w:rPr>
          <w:rFonts w:ascii="Arial" w:cs="Arial" w:eastAsia="Arial" w:hAnsi="Arial"/>
          <w:sz w:val="16"/>
          <w:szCs w:val="16"/>
          <w:color w:val="auto"/>
        </w:rPr>
        <w:t>Registrant's Annual Report on Form 10-K for the fiscal year ended August 29, 2009 (Commission File Number 001-06403) and incorporated by reference herein.</w:t>
      </w:r>
    </w:p>
    <w:p>
      <w:pPr>
        <w:spacing w:after="0" w:line="124" w:lineRule="exact"/>
        <w:rPr>
          <w:sz w:val="20"/>
          <w:szCs w:val="20"/>
          <w:color w:val="auto"/>
        </w:rPr>
      </w:pPr>
    </w:p>
    <w:p>
      <w:pPr>
        <w:ind w:left="440" w:hanging="440"/>
        <w:spacing w:after="0" w:line="261" w:lineRule="auto"/>
        <w:tabs>
          <w:tab w:leader="none" w:pos="420" w:val="left"/>
        </w:tabs>
        <w:rPr>
          <w:sz w:val="20"/>
          <w:szCs w:val="20"/>
          <w:color w:val="auto"/>
        </w:rPr>
      </w:pPr>
      <w:r>
        <w:rPr>
          <w:rFonts w:ascii="Arial" w:cs="Arial" w:eastAsia="Arial" w:hAnsi="Arial"/>
          <w:sz w:val="16"/>
          <w:szCs w:val="16"/>
          <w:color w:val="auto"/>
        </w:rPr>
        <w:t>10a.</w:t>
        <w:tab/>
        <w:t>Winnebago Industries, Inc. Deferred Compensation Plan previously filed with the Registrant's Quarterly Report on Form 10-Q for the quarter ended March 2, 1991 (Commission File Number 001-06403), and incorporated by reference herein and the Amendment dated June 29, 1995 previously filed with the Registrant's Annual Report on Form 10-K for the fiscal year ended August 26, 1995 (Commission File Numbe r 001-06403) and incorporated by reference herein.*</w:t>
      </w:r>
    </w:p>
    <w:p>
      <w:pPr>
        <w:spacing w:after="0" w:line="13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10b.</w:t>
        <w:tab/>
        <w:t>Winnebago Industries, Inc. 1997 Stock Option Plan previously filed with the Registrant's Annual Report on Form 10-K for the fiscal year ended August</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30, 1997 (Commission File Number 001-06403) and incorporated by reference herein.*</w:t>
      </w:r>
    </w:p>
    <w:p>
      <w:pPr>
        <w:spacing w:after="0" w:line="159" w:lineRule="exact"/>
        <w:rPr>
          <w:sz w:val="20"/>
          <w:szCs w:val="20"/>
          <w:color w:val="auto"/>
        </w:rPr>
      </w:pPr>
    </w:p>
    <w:p>
      <w:pPr>
        <w:ind w:left="440" w:right="80" w:hanging="440"/>
        <w:spacing w:after="0" w:line="259" w:lineRule="auto"/>
        <w:tabs>
          <w:tab w:leader="none" w:pos="420" w:val="left"/>
        </w:tabs>
        <w:rPr>
          <w:sz w:val="20"/>
          <w:szCs w:val="20"/>
          <w:color w:val="auto"/>
        </w:rPr>
      </w:pPr>
      <w:r>
        <w:rPr>
          <w:rFonts w:ascii="Arial" w:cs="Arial" w:eastAsia="Arial" w:hAnsi="Arial"/>
          <w:sz w:val="16"/>
          <w:szCs w:val="16"/>
          <w:color w:val="auto"/>
        </w:rPr>
        <w:t>10c.</w:t>
        <w:tab/>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 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36" w:lineRule="exact"/>
        <w:rPr>
          <w:sz w:val="20"/>
          <w:szCs w:val="20"/>
          <w:color w:val="auto"/>
        </w:rPr>
      </w:pPr>
    </w:p>
    <w:p>
      <w:pPr>
        <w:ind w:left="440" w:right="80" w:hanging="440"/>
        <w:spacing w:after="0" w:line="263" w:lineRule="auto"/>
        <w:tabs>
          <w:tab w:leader="none" w:pos="420" w:val="left"/>
        </w:tabs>
        <w:rPr>
          <w:sz w:val="20"/>
          <w:szCs w:val="20"/>
          <w:color w:val="auto"/>
        </w:rPr>
      </w:pPr>
      <w:r>
        <w:rPr>
          <w:rFonts w:ascii="Arial" w:cs="Arial" w:eastAsia="Arial" w:hAnsi="Arial"/>
          <w:sz w:val="16"/>
          <w:szCs w:val="16"/>
          <w:color w:val="auto"/>
        </w:rPr>
        <w:t>10d.</w:t>
        <w:tab/>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31" w:lineRule="exact"/>
        <w:rPr>
          <w:sz w:val="20"/>
          <w:szCs w:val="20"/>
          <w:color w:val="auto"/>
        </w:rPr>
      </w:pPr>
    </w:p>
    <w:p>
      <w:pPr>
        <w:ind w:left="440" w:right="520" w:hanging="440"/>
        <w:spacing w:after="0" w:line="263" w:lineRule="auto"/>
        <w:tabs>
          <w:tab w:leader="none" w:pos="420" w:val="left"/>
        </w:tabs>
        <w:rPr>
          <w:sz w:val="20"/>
          <w:szCs w:val="20"/>
          <w:color w:val="auto"/>
        </w:rPr>
      </w:pPr>
      <w:r>
        <w:rPr>
          <w:rFonts w:ascii="Arial" w:cs="Arial" w:eastAsia="Arial" w:hAnsi="Arial"/>
          <w:sz w:val="16"/>
          <w:szCs w:val="16"/>
          <w:color w:val="auto"/>
        </w:rPr>
        <w:t>10e.</w:t>
        <w:tab/>
        <w:t>Form of Winnebago Industries, Inc. Non-Qualified Stock Option Agreement for grants of Non-Qualified Stock Options under the 2004 Incentive Compensation Plan previously filed with the Registrant's Report on Form 8-K dated October 13, 2004 (Commission File Number 001-06403) and incorporated by reference herein.*</w:t>
      </w:r>
    </w:p>
    <w:p>
      <w:pPr>
        <w:spacing w:after="0" w:line="131" w:lineRule="exact"/>
        <w:rPr>
          <w:sz w:val="20"/>
          <w:szCs w:val="20"/>
          <w:color w:val="auto"/>
        </w:rPr>
      </w:pPr>
    </w:p>
    <w:p>
      <w:pPr>
        <w:ind w:left="440" w:right="40" w:hanging="440"/>
        <w:spacing w:after="0" w:line="271" w:lineRule="auto"/>
        <w:tabs>
          <w:tab w:leader="none" w:pos="420" w:val="left"/>
        </w:tabs>
        <w:rPr>
          <w:sz w:val="20"/>
          <w:szCs w:val="20"/>
          <w:color w:val="auto"/>
        </w:rPr>
      </w:pPr>
      <w:r>
        <w:rPr>
          <w:rFonts w:ascii="Arial" w:cs="Arial" w:eastAsia="Arial" w:hAnsi="Arial"/>
          <w:sz w:val="16"/>
          <w:szCs w:val="16"/>
          <w:color w:val="auto"/>
        </w:rPr>
        <w:t>10f.</w:t>
        <w:tab/>
        <w:t>Winnebago Industries, Inc. Restricted Stock Grant Award Agreement under the 2004 Incentive Compensation Plan previously filed with the Registrant's Current Report on Form 8-K dated October 11, 2006 (Commission File Number 001-06403) and incorporated by reference herein.*</w:t>
      </w:r>
    </w:p>
    <w:p>
      <w:pPr>
        <w:spacing w:after="0" w:line="124" w:lineRule="exact"/>
        <w:rPr>
          <w:sz w:val="20"/>
          <w:szCs w:val="20"/>
          <w:color w:val="auto"/>
        </w:rPr>
      </w:pPr>
    </w:p>
    <w:p>
      <w:pPr>
        <w:ind w:left="440" w:right="60" w:hanging="440"/>
        <w:spacing w:after="0" w:line="271" w:lineRule="auto"/>
        <w:tabs>
          <w:tab w:leader="none" w:pos="420" w:val="left"/>
        </w:tabs>
        <w:rPr>
          <w:sz w:val="20"/>
          <w:szCs w:val="20"/>
          <w:color w:val="auto"/>
        </w:rPr>
      </w:pPr>
      <w:r>
        <w:rPr>
          <w:rFonts w:ascii="Arial" w:cs="Arial" w:eastAsia="Arial" w:hAnsi="Arial"/>
          <w:sz w:val="16"/>
          <w:szCs w:val="16"/>
          <w:color w:val="auto"/>
        </w:rPr>
        <w:t>10g.</w:t>
        <w:tab/>
        <w:t>Winnebago Industries, Inc. Executive Deferred Compensation Plan previously filed with the Registrant's Quarterly Report on Form 10-Q for the quarter ended November 25, 2006 (Commission File Number 001-06403) and incorporated by reference herein.*</w:t>
      </w:r>
    </w:p>
    <w:p>
      <w:pPr>
        <w:spacing w:after="0" w:line="124" w:lineRule="exact"/>
        <w:rPr>
          <w:sz w:val="20"/>
          <w:szCs w:val="20"/>
          <w:color w:val="auto"/>
        </w:rPr>
      </w:pPr>
    </w:p>
    <w:p>
      <w:pPr>
        <w:ind w:left="440" w:right="240" w:hanging="440"/>
        <w:spacing w:after="0" w:line="261" w:lineRule="auto"/>
        <w:tabs>
          <w:tab w:leader="none" w:pos="420" w:val="left"/>
        </w:tabs>
        <w:rPr>
          <w:sz w:val="20"/>
          <w:szCs w:val="20"/>
          <w:color w:val="auto"/>
        </w:rPr>
      </w:pPr>
      <w:r>
        <w:rPr>
          <w:rFonts w:ascii="Arial" w:cs="Arial" w:eastAsia="Arial" w:hAnsi="Arial"/>
          <w:sz w:val="16"/>
          <w:szCs w:val="16"/>
          <w:color w:val="auto"/>
        </w:rPr>
        <w:t>10h.</w:t>
        <w:tab/>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32" w:lineRule="exact"/>
        <w:rPr>
          <w:sz w:val="20"/>
          <w:szCs w:val="20"/>
          <w:color w:val="auto"/>
        </w:rPr>
      </w:pPr>
    </w:p>
    <w:p>
      <w:pPr>
        <w:ind w:left="420" w:right="60" w:hanging="440"/>
        <w:spacing w:after="0" w:line="256" w:lineRule="auto"/>
        <w:tabs>
          <w:tab w:leader="none" w:pos="400" w:val="left"/>
        </w:tabs>
        <w:rPr>
          <w:sz w:val="20"/>
          <w:szCs w:val="20"/>
          <w:color w:val="auto"/>
        </w:rPr>
      </w:pPr>
      <w:r>
        <w:rPr>
          <w:rFonts w:ascii="Arial" w:cs="Arial" w:eastAsia="Arial" w:hAnsi="Arial"/>
          <w:sz w:val="16"/>
          <w:szCs w:val="16"/>
          <w:color w:val="auto"/>
        </w:rPr>
        <w:t>10i.</w:t>
        <w:tab/>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ind w:right="320" w:firstLine="4"/>
        <w:spacing w:after="0" w:line="263" w:lineRule="auto"/>
        <w:rPr>
          <w:sz w:val="20"/>
          <w:szCs w:val="20"/>
          <w:color w:val="auto"/>
        </w:rPr>
      </w:pPr>
      <w:r>
        <w:rPr>
          <w:rFonts w:ascii="Arial" w:cs="Arial" w:eastAsia="Arial" w:hAnsi="Arial"/>
          <w:sz w:val="16"/>
          <w:szCs w:val="16"/>
          <w:color w:val="auto"/>
        </w:rPr>
        <w:t>Winnebago Industries, Inc. Profit Sharing and Deferred Savings Investment Plan previously filed with the Registrant's Annual Report on Form 10-K for the fiscal year ended August 31, 1985 (Commission File Number 001-06403), and incorporated by reference herein and the Amendment dated July 1, 1995 previously filed with the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20"/>
          </w:cols>
          <w:pgMar w:left="240" w:top="153" w:right="239" w:bottom="1440" w:gutter="0" w:footer="0" w:header="0"/>
        </w:sectPr>
      </w:pPr>
    </w:p>
    <w:bookmarkStart w:id="52" w:name="page53"/>
    <w:bookmarkEnd w:id="5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8" w:lineRule="exact"/>
        <w:rPr>
          <w:sz w:val="20"/>
          <w:szCs w:val="20"/>
          <w:color w:val="auto"/>
        </w:rPr>
      </w:pPr>
    </w:p>
    <w:p>
      <w:pPr>
        <w:ind w:left="440" w:right="640"/>
        <w:spacing w:after="0" w:line="271" w:lineRule="auto"/>
        <w:rPr>
          <w:sz w:val="20"/>
          <w:szCs w:val="20"/>
          <w:color w:val="auto"/>
        </w:rPr>
      </w:pPr>
      <w:r>
        <w:rPr>
          <w:rFonts w:ascii="Arial" w:cs="Arial" w:eastAsia="Arial" w:hAnsi="Arial"/>
          <w:sz w:val="16"/>
          <w:szCs w:val="16"/>
          <w:color w:val="auto"/>
        </w:rPr>
        <w:t>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24" w:lineRule="exact"/>
        <w:rPr>
          <w:sz w:val="20"/>
          <w:szCs w:val="20"/>
          <w:color w:val="auto"/>
        </w:rPr>
      </w:pPr>
    </w:p>
    <w:p>
      <w:pPr>
        <w:ind w:left="440" w:right="20" w:hanging="440"/>
        <w:spacing w:after="0" w:line="271" w:lineRule="auto"/>
        <w:tabs>
          <w:tab w:leader="none" w:pos="420" w:val="left"/>
        </w:tabs>
        <w:rPr>
          <w:sz w:val="20"/>
          <w:szCs w:val="20"/>
          <w:color w:val="auto"/>
        </w:rPr>
      </w:pPr>
      <w:r>
        <w:rPr>
          <w:rFonts w:ascii="Arial" w:cs="Arial" w:eastAsia="Arial" w:hAnsi="Arial"/>
          <w:sz w:val="16"/>
          <w:szCs w:val="16"/>
          <w:color w:val="auto"/>
        </w:rPr>
        <w:t>10k.</w:t>
        <w:tab/>
        <w:t>Winnebago Industries, Inc. Officers' Long-Term Plan, fiscal three-year period 2008, 2009 and 2010 previously filed with the Registrant's Current Report on Form 8-K dated June 26, 2007 (Commission File Number 001-06403) and incorporated by reference herein.*</w:t>
      </w:r>
    </w:p>
    <w:p>
      <w:pPr>
        <w:spacing w:after="0" w:line="112" w:lineRule="exact"/>
        <w:rPr>
          <w:sz w:val="20"/>
          <w:szCs w:val="20"/>
          <w:color w:val="auto"/>
        </w:rPr>
      </w:pPr>
    </w:p>
    <w:p>
      <w:pPr>
        <w:ind w:left="400" w:right="160" w:hanging="440"/>
        <w:spacing w:after="0" w:line="286" w:lineRule="auto"/>
        <w:tabs>
          <w:tab w:leader="none" w:pos="380" w:val="left"/>
        </w:tabs>
        <w:rPr>
          <w:sz w:val="20"/>
          <w:szCs w:val="20"/>
          <w:color w:val="auto"/>
        </w:rPr>
      </w:pPr>
      <w:r>
        <w:rPr>
          <w:rFonts w:ascii="Arial" w:cs="Arial" w:eastAsia="Arial" w:hAnsi="Arial"/>
          <w:sz w:val="16"/>
          <w:szCs w:val="16"/>
          <w:color w:val="auto"/>
        </w:rPr>
        <w:t>10l.</w:t>
        <w:tab/>
        <w:t>Winnebago Industries, Inc. Officers' Long-Term Incentive Plan, fiscal three-year period 2009, 2010 and 2011 previously filed with the Registrant's Current Report on Form 8-K dated June 24, 2008 (Commission File Number 001-06403) and incorporated by reference herein.*</w:t>
      </w:r>
    </w:p>
    <w:p>
      <w:pPr>
        <w:spacing w:after="0" w:line="113" w:lineRule="exact"/>
        <w:rPr>
          <w:sz w:val="20"/>
          <w:szCs w:val="20"/>
          <w:color w:val="auto"/>
        </w:rPr>
      </w:pPr>
    </w:p>
    <w:p>
      <w:pPr>
        <w:ind w:left="440" w:right="360" w:hanging="440"/>
        <w:spacing w:after="0" w:line="271" w:lineRule="auto"/>
        <w:tabs>
          <w:tab w:leader="none" w:pos="420" w:val="left"/>
        </w:tabs>
        <w:rPr>
          <w:sz w:val="20"/>
          <w:szCs w:val="20"/>
          <w:color w:val="auto"/>
        </w:rPr>
      </w:pPr>
      <w:r>
        <w:rPr>
          <w:rFonts w:ascii="Arial" w:cs="Arial" w:eastAsia="Arial" w:hAnsi="Arial"/>
          <w:sz w:val="16"/>
          <w:szCs w:val="16"/>
          <w:color w:val="auto"/>
        </w:rPr>
        <w:t>10m.</w:t>
        <w:tab/>
        <w:t>Winnebago Industries, Inc. Officers' Long-Term Incentive Plan, fiscal three-year period 2010, 2011 and 2012 previously filed with the Registrant's Current Report on Form 8-K dated June 24, 2009 (Commission File Number 001-06403) and incorporated by reference herein.*</w:t>
      </w:r>
    </w:p>
    <w:p>
      <w:pPr>
        <w:spacing w:after="0" w:line="124" w:lineRule="exact"/>
        <w:rPr>
          <w:sz w:val="20"/>
          <w:szCs w:val="20"/>
          <w:color w:val="auto"/>
        </w:rPr>
      </w:pPr>
    </w:p>
    <w:p>
      <w:pPr>
        <w:ind w:left="440" w:hanging="440"/>
        <w:spacing w:after="0" w:line="271" w:lineRule="auto"/>
        <w:rPr>
          <w:sz w:val="20"/>
          <w:szCs w:val="20"/>
          <w:color w:val="auto"/>
        </w:rPr>
      </w:pPr>
      <w:r>
        <w:rPr>
          <w:rFonts w:ascii="Arial" w:cs="Arial" w:eastAsia="Arial" w:hAnsi="Arial"/>
          <w:sz w:val="16"/>
          <w:szCs w:val="16"/>
          <w:color w:val="auto"/>
        </w:rPr>
        <w:t>10n. Winnebago Industries, Inc. Officers' Long-Term Incentive Plan, fiscal three-year period 2011, 2012 and 2013 previously filed with the Registrant's Current Report on Form 8-K dated July 23, 2010 (Commission File Number 001-06403) and incorporated by reference herein.*</w:t>
      </w:r>
    </w:p>
    <w:p>
      <w:pPr>
        <w:spacing w:after="0" w:line="124" w:lineRule="exact"/>
        <w:rPr>
          <w:sz w:val="20"/>
          <w:szCs w:val="20"/>
          <w:color w:val="auto"/>
        </w:rPr>
      </w:pPr>
    </w:p>
    <w:p>
      <w:pPr>
        <w:ind w:left="440" w:right="20" w:hanging="440"/>
        <w:spacing w:after="0" w:line="263" w:lineRule="auto"/>
        <w:rPr>
          <w:sz w:val="20"/>
          <w:szCs w:val="20"/>
          <w:color w:val="auto"/>
        </w:rPr>
      </w:pPr>
      <w:r>
        <w:rPr>
          <w:rFonts w:ascii="Arial" w:cs="Arial" w:eastAsia="Arial" w:hAnsi="Arial"/>
          <w:sz w:val="16"/>
          <w:szCs w:val="16"/>
          <w:color w:val="auto"/>
        </w:rPr>
        <w:t>10o. Amended and Restated Executive Change of Control Agreement dated December 17, 2008 between Winnebago Industries, Inc. and Raymond M. Beebe previously filed with the Registrant's Annual Report on Form 1K for the fiscal year ended August 29, 2009 (Commission File Number 001-06403) and incorporated by reference herein.*</w:t>
      </w:r>
    </w:p>
    <w:p>
      <w:pPr>
        <w:spacing w:after="0" w:line="119" w:lineRule="exact"/>
        <w:rPr>
          <w:sz w:val="20"/>
          <w:szCs w:val="20"/>
          <w:color w:val="auto"/>
        </w:rPr>
      </w:pPr>
    </w:p>
    <w:p>
      <w:pPr>
        <w:ind w:left="440" w:right="20" w:hanging="440"/>
        <w:spacing w:after="0" w:line="271" w:lineRule="auto"/>
        <w:tabs>
          <w:tab w:leader="none" w:pos="420" w:val="left"/>
        </w:tabs>
        <w:rPr>
          <w:sz w:val="20"/>
          <w:szCs w:val="20"/>
          <w:color w:val="auto"/>
        </w:rPr>
      </w:pPr>
      <w:r>
        <w:rPr>
          <w:rFonts w:ascii="Arial" w:cs="Arial" w:eastAsia="Arial" w:hAnsi="Arial"/>
          <w:sz w:val="16"/>
          <w:szCs w:val="16"/>
          <w:color w:val="auto"/>
        </w:rPr>
        <w:t>10p.</w:t>
      </w:r>
      <w:r>
        <w:rPr>
          <w:sz w:val="20"/>
          <w:szCs w:val="20"/>
          <w:color w:val="auto"/>
        </w:rPr>
        <w:tab/>
      </w:r>
      <w:r>
        <w:rPr>
          <w:rFonts w:ascii="Arial" w:cs="Arial" w:eastAsia="Arial" w:hAnsi="Arial"/>
          <w:sz w:val="16"/>
          <w:szCs w:val="16"/>
          <w:color w:val="auto"/>
        </w:rPr>
        <w:t>Amended and Restated Executive Change of Control Agreement dated December 17, 2008 between Winnebago Industries, Inc. and Robert L. Gossett previously filed with the Registrant's Annual Report on Form 10-K for the fiscal year ended August 29, 2009 (Commission File Number 001-06403) and incorporated by reference herein.*</w:t>
      </w:r>
    </w:p>
    <w:p>
      <w:pPr>
        <w:spacing w:after="0" w:line="124" w:lineRule="exact"/>
        <w:rPr>
          <w:sz w:val="20"/>
          <w:szCs w:val="20"/>
          <w:color w:val="auto"/>
        </w:rPr>
      </w:pPr>
    </w:p>
    <w:p>
      <w:pPr>
        <w:jc w:val="both"/>
        <w:ind w:left="440" w:right="80" w:hanging="440"/>
        <w:spacing w:after="0" w:line="263" w:lineRule="auto"/>
        <w:tabs>
          <w:tab w:leader="none" w:pos="420" w:val="left"/>
        </w:tabs>
        <w:rPr>
          <w:sz w:val="20"/>
          <w:szCs w:val="20"/>
          <w:color w:val="auto"/>
        </w:rPr>
      </w:pPr>
      <w:r>
        <w:rPr>
          <w:rFonts w:ascii="Arial" w:cs="Arial" w:eastAsia="Arial" w:hAnsi="Arial"/>
          <w:sz w:val="16"/>
          <w:szCs w:val="16"/>
          <w:color w:val="auto"/>
        </w:rPr>
        <w:t>10q.</w:t>
        <w:tab/>
        <w:t>Amended and Restated Executive Change of Control Agreement dated December 17, 2008 between Winnebago Industries, Inc. and Robert J. Olson previously filed with the Registrant's Annual Report on Form 10-K for the fiscal year ended August 29, 2009 (Commission File Number 001-06403) and incorporated by reference herein.*</w:t>
      </w:r>
    </w:p>
    <w:p>
      <w:pPr>
        <w:spacing w:after="0" w:line="131" w:lineRule="exact"/>
        <w:rPr>
          <w:sz w:val="20"/>
          <w:szCs w:val="20"/>
          <w:color w:val="auto"/>
        </w:rPr>
      </w:pPr>
    </w:p>
    <w:p>
      <w:pPr>
        <w:jc w:val="both"/>
        <w:ind w:left="440" w:right="20" w:hanging="440"/>
        <w:spacing w:after="0" w:line="263" w:lineRule="auto"/>
        <w:tabs>
          <w:tab w:leader="none" w:pos="420" w:val="left"/>
        </w:tabs>
        <w:rPr>
          <w:sz w:val="20"/>
          <w:szCs w:val="20"/>
          <w:color w:val="auto"/>
        </w:rPr>
      </w:pPr>
      <w:r>
        <w:rPr>
          <w:rFonts w:ascii="Arial" w:cs="Arial" w:eastAsia="Arial" w:hAnsi="Arial"/>
          <w:sz w:val="16"/>
          <w:szCs w:val="16"/>
          <w:color w:val="auto"/>
        </w:rPr>
        <w:t>10r.</w:t>
        <w:tab/>
        <w:t>Amended and Restated Executive Change of Control Agreement dated December 17, 2008 between Winnebago Industries, Inc. and William J. O'Leary previously filed with the Registrant's Annual Report on Form 10-K for the fiscal year ended August 29, 2009 (Commission File Number 001-06403) and incorporated by reference herein.*</w:t>
      </w:r>
    </w:p>
    <w:p>
      <w:pPr>
        <w:spacing w:after="0" w:line="131" w:lineRule="exact"/>
        <w:rPr>
          <w:sz w:val="20"/>
          <w:szCs w:val="20"/>
          <w:color w:val="auto"/>
        </w:rPr>
      </w:pPr>
    </w:p>
    <w:p>
      <w:pPr>
        <w:jc w:val="both"/>
        <w:ind w:left="440" w:right="20" w:hanging="440"/>
        <w:spacing w:after="0" w:line="263" w:lineRule="auto"/>
        <w:tabs>
          <w:tab w:leader="none" w:pos="420" w:val="left"/>
        </w:tabs>
        <w:rPr>
          <w:sz w:val="20"/>
          <w:szCs w:val="20"/>
          <w:color w:val="auto"/>
        </w:rPr>
      </w:pPr>
      <w:r>
        <w:rPr>
          <w:rFonts w:ascii="Arial" w:cs="Arial" w:eastAsia="Arial" w:hAnsi="Arial"/>
          <w:sz w:val="16"/>
          <w:szCs w:val="16"/>
          <w:color w:val="auto"/>
        </w:rPr>
        <w:t>10s.</w:t>
        <w:tab/>
        <w:t>Amended and Restated Executive Change of Control Agreement dated December 17, 2008 betw een Winnebago Industries, Inc. and Sarah N. Nielsen previously filed with the Registrant's Annual Report on Form 10-K for the fiscal year ended August 29, 2009 (Commission File Number 001-06403) and incorporated by reference herein.*</w:t>
      </w:r>
    </w:p>
    <w:p>
      <w:pPr>
        <w:spacing w:after="0" w:line="131" w:lineRule="exact"/>
        <w:rPr>
          <w:sz w:val="20"/>
          <w:szCs w:val="20"/>
          <w:color w:val="auto"/>
        </w:rPr>
      </w:pPr>
    </w:p>
    <w:p>
      <w:pPr>
        <w:jc w:val="both"/>
        <w:ind w:left="440" w:right="80" w:hanging="440"/>
        <w:spacing w:after="0" w:line="263" w:lineRule="auto"/>
        <w:tabs>
          <w:tab w:leader="none" w:pos="420" w:val="left"/>
        </w:tabs>
        <w:rPr>
          <w:sz w:val="20"/>
          <w:szCs w:val="20"/>
          <w:color w:val="auto"/>
        </w:rPr>
      </w:pPr>
      <w:r>
        <w:rPr>
          <w:rFonts w:ascii="Arial" w:cs="Arial" w:eastAsia="Arial" w:hAnsi="Arial"/>
          <w:sz w:val="16"/>
          <w:szCs w:val="16"/>
          <w:color w:val="auto"/>
        </w:rPr>
        <w:t>10t.</w:t>
        <w:tab/>
        <w:t>Amended and Restated Executive Change of Control Agreement dated December 17, 2008 between Winnebago Industries, Inc. and Roger W. Martin previously filed with the Registrant's Annual Report on Form 10-K for the fiscal year ended August 29, 2009 (Commission File Number 001-06403) and incorporated by reference herein.*</w:t>
      </w:r>
    </w:p>
    <w:p>
      <w:pPr>
        <w:spacing w:after="0" w:line="119" w:lineRule="exact"/>
        <w:rPr>
          <w:sz w:val="20"/>
          <w:szCs w:val="20"/>
          <w:color w:val="auto"/>
        </w:rPr>
      </w:pPr>
    </w:p>
    <w:p>
      <w:pPr>
        <w:jc w:val="both"/>
        <w:ind w:left="440" w:right="280" w:hanging="439"/>
        <w:spacing w:after="0" w:line="271" w:lineRule="auto"/>
        <w:tabs>
          <w:tab w:leader="none" w:pos="420" w:val="left"/>
        </w:tabs>
        <w:rPr>
          <w:sz w:val="20"/>
          <w:szCs w:val="20"/>
          <w:color w:val="auto"/>
        </w:rPr>
      </w:pPr>
      <w:r>
        <w:rPr>
          <w:rFonts w:ascii="Arial" w:cs="Arial" w:eastAsia="Arial" w:hAnsi="Arial"/>
          <w:sz w:val="16"/>
          <w:szCs w:val="16"/>
          <w:color w:val="auto"/>
        </w:rPr>
        <w:t>10u.</w:t>
        <w:tab/>
        <w:t>Amended and Restated Executive Change of Control Agreement dated December 17, 2008 between Winnebago Industries, Inc. and Randy J. Potts previously filed with the Registrant's Annual Report on Form 10-K for the fiscal year ended August 29, 2009 (Commission File Number 001-06403) and incorporated by reference herein.*</w:t>
      </w:r>
    </w:p>
    <w:p>
      <w:pPr>
        <w:spacing w:after="0" w:line="124" w:lineRule="exact"/>
        <w:rPr>
          <w:sz w:val="20"/>
          <w:szCs w:val="20"/>
          <w:color w:val="auto"/>
        </w:rPr>
      </w:pPr>
    </w:p>
    <w:p>
      <w:pPr>
        <w:ind w:left="440" w:right="140" w:hanging="440"/>
        <w:spacing w:after="0" w:line="263" w:lineRule="auto"/>
        <w:tabs>
          <w:tab w:leader="none" w:pos="420" w:val="left"/>
        </w:tabs>
        <w:rPr>
          <w:sz w:val="20"/>
          <w:szCs w:val="20"/>
          <w:color w:val="auto"/>
        </w:rPr>
      </w:pPr>
      <w:r>
        <w:rPr>
          <w:rFonts w:ascii="Arial" w:cs="Arial" w:eastAsia="Arial" w:hAnsi="Arial"/>
          <w:sz w:val="16"/>
          <w:szCs w:val="16"/>
          <w:color w:val="auto"/>
        </w:rPr>
        <w:t>10v.</w:t>
        <w:tab/>
        <w:t>Executive Change of Control Agreement dated May 3, 2010 between Winnebago Industries, Inc. and Daryl W. Krieger previously filed with the Registrant's Quarterly Report on Form 10-Q for the quarter ended May 29, 2010 (Commission File Number 001-06403) and incorporated by reference herein.*</w:t>
      </w:r>
    </w:p>
    <w:p>
      <w:pPr>
        <w:spacing w:after="0" w:line="119" w:lineRule="exact"/>
        <w:rPr>
          <w:sz w:val="20"/>
          <w:szCs w:val="20"/>
          <w:color w:val="auto"/>
        </w:rPr>
      </w:pPr>
    </w:p>
    <w:p>
      <w:pPr>
        <w:ind w:left="440" w:right="380" w:hanging="440"/>
        <w:spacing w:after="0" w:line="286" w:lineRule="auto"/>
        <w:tabs>
          <w:tab w:leader="none" w:pos="420" w:val="left"/>
        </w:tabs>
        <w:rPr>
          <w:sz w:val="20"/>
          <w:szCs w:val="20"/>
          <w:color w:val="auto"/>
        </w:rPr>
      </w:pPr>
      <w:r>
        <w:rPr>
          <w:rFonts w:ascii="Arial" w:cs="Arial" w:eastAsia="Arial" w:hAnsi="Arial"/>
          <w:sz w:val="16"/>
          <w:szCs w:val="16"/>
          <w:color w:val="auto"/>
        </w:rPr>
        <w:t>10w.</w:t>
        <w:tab/>
        <w:t>Winnebago Industries, Inc. Supplemental Executive Retirement Plan previously filed with the Registrant's Annual Report on Form 10-K for the fiscal year ended August 29, 2009 (Commission File Number 001-06403) and incorporated by reference herein.*</w:t>
      </w:r>
    </w:p>
    <w:p>
      <w:pPr>
        <w:spacing w:after="0" w:line="113" w:lineRule="exact"/>
        <w:rPr>
          <w:sz w:val="20"/>
          <w:szCs w:val="20"/>
          <w:color w:val="auto"/>
        </w:rPr>
      </w:pPr>
    </w:p>
    <w:p>
      <w:pPr>
        <w:ind w:left="440" w:right="320" w:hanging="440"/>
        <w:spacing w:after="0" w:line="271" w:lineRule="auto"/>
        <w:tabs>
          <w:tab w:leader="none" w:pos="420" w:val="left"/>
        </w:tabs>
        <w:rPr>
          <w:sz w:val="20"/>
          <w:szCs w:val="20"/>
          <w:color w:val="auto"/>
        </w:rPr>
      </w:pPr>
      <w:r>
        <w:rPr>
          <w:rFonts w:ascii="Arial" w:cs="Arial" w:eastAsia="Arial" w:hAnsi="Arial"/>
          <w:sz w:val="16"/>
          <w:szCs w:val="16"/>
          <w:color w:val="auto"/>
        </w:rPr>
        <w:t>10x.</w:t>
        <w:tab/>
        <w:t>Winnebago Industries, Inc. Officers' Incentive Compensation Plan for Fiscal 2008 previously filed with the Registrant's Current Report on Form 8-K dated June 26, 2007 (Commission File Number 001-06403) and incorporated by reference herein.*</w:t>
      </w:r>
    </w:p>
    <w:p>
      <w:pPr>
        <w:spacing w:after="0" w:line="124" w:lineRule="exact"/>
        <w:rPr>
          <w:sz w:val="20"/>
          <w:szCs w:val="20"/>
          <w:color w:val="auto"/>
        </w:rPr>
      </w:pPr>
    </w:p>
    <w:p>
      <w:pPr>
        <w:ind w:left="440" w:right="340" w:hanging="440"/>
        <w:spacing w:after="0" w:line="271" w:lineRule="auto"/>
        <w:tabs>
          <w:tab w:leader="none" w:pos="420" w:val="left"/>
        </w:tabs>
        <w:rPr>
          <w:sz w:val="20"/>
          <w:szCs w:val="20"/>
          <w:color w:val="auto"/>
        </w:rPr>
      </w:pPr>
      <w:r>
        <w:rPr>
          <w:rFonts w:ascii="Arial" w:cs="Arial" w:eastAsia="Arial" w:hAnsi="Arial"/>
          <w:sz w:val="16"/>
          <w:szCs w:val="16"/>
          <w:color w:val="auto"/>
        </w:rPr>
        <w:t>10y.</w:t>
        <w:tab/>
        <w:t>Winnebago Industries, Inc. Officers' Incentive Compensation Plan for Fiscal 2009 previously filed with the Registrant's Current Report on Form 8-K dated August 14, 2008 (Commission File Number 001-06403) and incorporated by reference herein.*</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400"/>
          </w:cols>
          <w:pgMar w:left="240" w:top="154" w:right="259" w:bottom="1440" w:gutter="0" w:footer="0" w:header="0"/>
        </w:sectPr>
      </w:pPr>
    </w:p>
    <w:bookmarkStart w:id="53" w:name="page54"/>
    <w:bookmarkEnd w:id="53"/>
    <w:p>
      <w:pPr>
        <w:ind w:left="20"/>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68" w:lineRule="exact"/>
        <w:rPr>
          <w:sz w:val="20"/>
          <w:szCs w:val="20"/>
          <w:color w:val="auto"/>
        </w:rPr>
      </w:pPr>
    </w:p>
    <w:p>
      <w:pPr>
        <w:ind w:left="460" w:right="200" w:hanging="440"/>
        <w:spacing w:after="0" w:line="271" w:lineRule="auto"/>
        <w:tabs>
          <w:tab w:leader="none" w:pos="440" w:val="left"/>
        </w:tabs>
        <w:rPr>
          <w:sz w:val="20"/>
          <w:szCs w:val="20"/>
          <w:color w:val="auto"/>
        </w:rPr>
      </w:pPr>
      <w:r>
        <w:rPr>
          <w:rFonts w:ascii="Arial" w:cs="Arial" w:eastAsia="Arial" w:hAnsi="Arial"/>
          <w:sz w:val="16"/>
          <w:szCs w:val="16"/>
          <w:color w:val="auto"/>
        </w:rPr>
        <w:t>10z.</w:t>
        <w:tab/>
        <w:t>Winnebago Industries, Inc. Officers' Incentive Compensation Plan for Fiscal 2010 previously fi led with the Registrant's Current Report on Form 8-K dated June 24, 2009 (Commission File Number 001-06403) and incorporated by reference herein.*</w:t>
      </w:r>
    </w:p>
    <w:p>
      <w:pPr>
        <w:spacing w:after="0" w:line="124" w:lineRule="exact"/>
        <w:rPr>
          <w:sz w:val="20"/>
          <w:szCs w:val="20"/>
          <w:color w:val="auto"/>
        </w:rPr>
      </w:pPr>
    </w:p>
    <w:p>
      <w:pPr>
        <w:ind w:left="460" w:right="280" w:hanging="440"/>
        <w:spacing w:after="0" w:line="271" w:lineRule="auto"/>
        <w:rPr>
          <w:sz w:val="20"/>
          <w:szCs w:val="20"/>
          <w:color w:val="auto"/>
        </w:rPr>
      </w:pPr>
      <w:r>
        <w:rPr>
          <w:rFonts w:ascii="Arial" w:cs="Arial" w:eastAsia="Arial" w:hAnsi="Arial"/>
          <w:sz w:val="16"/>
          <w:szCs w:val="16"/>
          <w:color w:val="auto"/>
        </w:rPr>
        <w:t>10aa. Winnebago Industries, Inc. Officers' Incentive Compensation Plan for Fiscal 2011 previously filed with the Registrant's Current Report on Form 8-K dated July 23, 2010 (Commission File Number 001-06403) and incorporated by reference herein.*</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10bb. Agreement of Purchase and Sale between CGS TIRES US, INC. and Winnebago Industries, Inc. dated August 30, 2010.</w:t>
      </w:r>
    </w:p>
    <w:p>
      <w:pPr>
        <w:spacing w:after="0" w:line="159" w:lineRule="exact"/>
        <w:rPr>
          <w:sz w:val="20"/>
          <w:szCs w:val="20"/>
          <w:color w:val="auto"/>
        </w:rPr>
      </w:pPr>
    </w:p>
    <w:p>
      <w:pPr>
        <w:ind w:left="460" w:hanging="440"/>
        <w:spacing w:after="0" w:line="271" w:lineRule="auto"/>
        <w:tabs>
          <w:tab w:leader="none" w:pos="440" w:val="left"/>
        </w:tabs>
        <w:rPr>
          <w:sz w:val="20"/>
          <w:szCs w:val="20"/>
          <w:color w:val="auto"/>
        </w:rPr>
      </w:pPr>
      <w:r>
        <w:rPr>
          <w:rFonts w:ascii="Arial" w:cs="Arial" w:eastAsia="Arial" w:hAnsi="Arial"/>
          <w:sz w:val="16"/>
          <w:szCs w:val="16"/>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2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23.</w:t>
        <w:tab/>
        <w:t>Consent of Independent Registered Public Accounting Firm.</w:t>
      </w:r>
    </w:p>
    <w:p>
      <w:pPr>
        <w:spacing w:after="0" w:line="159"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October 26, 2010.</w:t>
      </w:r>
    </w:p>
    <w:p>
      <w:pPr>
        <w:spacing w:after="0" w:line="159"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October 26, 2010.</w:t>
      </w:r>
    </w:p>
    <w:p>
      <w:pPr>
        <w:spacing w:after="0" w:line="159" w:lineRule="exact"/>
        <w:rPr>
          <w:sz w:val="20"/>
          <w:szCs w:val="20"/>
          <w:color w:val="auto"/>
        </w:rPr>
      </w:pPr>
    </w:p>
    <w:p>
      <w:pPr>
        <w:ind w:left="460" w:right="200" w:hanging="440"/>
        <w:spacing w:after="0" w:line="271" w:lineRule="auto"/>
        <w:tabs>
          <w:tab w:leader="none" w:pos="440" w:val="left"/>
        </w:tabs>
        <w:rPr>
          <w:sz w:val="20"/>
          <w:szCs w:val="20"/>
          <w:color w:val="auto"/>
        </w:rPr>
      </w:pPr>
      <w:r>
        <w:rPr>
          <w:rFonts w:ascii="Arial" w:cs="Arial" w:eastAsia="Arial" w:hAnsi="Arial"/>
          <w:sz w:val="16"/>
          <w:szCs w:val="16"/>
          <w:color w:val="auto"/>
        </w:rPr>
        <w:t>32.1</w:t>
        <w:tab/>
        <w:t>Certification by the Chief Ex ecutive Officer pursuant to Section 1350, as adopted pursuant to Section 906 of the Sarbanes-Oxley Act of 2002 dated October 26, 2010.</w:t>
      </w:r>
    </w:p>
    <w:p>
      <w:pPr>
        <w:spacing w:after="0" w:line="124" w:lineRule="exact"/>
        <w:rPr>
          <w:sz w:val="20"/>
          <w:szCs w:val="20"/>
          <w:color w:val="auto"/>
        </w:rPr>
      </w:pPr>
    </w:p>
    <w:p>
      <w:pPr>
        <w:ind w:left="460" w:right="300" w:hanging="440"/>
        <w:spacing w:after="0" w:line="271" w:lineRule="auto"/>
        <w:tabs>
          <w:tab w:leader="none" w:pos="44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October 26, 2010.</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340"/>
          </w:cols>
          <w:pgMar w:left="220" w:top="154" w:right="339" w:bottom="1440" w:gutter="0" w:footer="0" w:header="0"/>
        </w:sectPr>
      </w:pPr>
    </w:p>
    <w:bookmarkStart w:id="54" w:name="page55"/>
    <w:bookmarkEnd w:id="54"/>
    <w:tbl>
      <w:tblPr>
        <w:tblLayout w:type="fixed"/>
        <w:tblInd w:w="2" w:type="dxa"/>
        <w:tblCellMar>
          <w:top w:w="0" w:type="dxa"/>
          <w:left w:w="0" w:type="dxa"/>
          <w:bottom w:w="0" w:type="dxa"/>
          <w:right w:w="0" w:type="dxa"/>
        </w:tblCellMar>
      </w:tblPr>
      <w:tr>
        <w:trPr>
          <w:trHeight w:val="172"/>
        </w:trPr>
        <w:tc>
          <w:tcPr>
            <w:tcW w:w="4860" w:type="dxa"/>
            <w:vAlign w:val="bottom"/>
            <w:gridSpan w:val="2"/>
          </w:tcPr>
          <w:p>
            <w:pPr>
              <w:spacing w:after="0"/>
              <w:rPr>
                <w:rFonts w:ascii="Arial" w:cs="Arial" w:eastAsia="Arial" w:hAnsi="Arial"/>
                <w:sz w:val="15"/>
                <w:szCs w:val="15"/>
                <w:color w:val="0000FF"/>
              </w:rPr>
            </w:pPr>
            <w:hyperlink w:anchor="page1">
              <w:r>
                <w:rPr>
                  <w:rFonts w:ascii="Arial" w:cs="Arial" w:eastAsia="Arial" w:hAnsi="Arial"/>
                  <w:sz w:val="15"/>
                  <w:szCs w:val="15"/>
                  <w:color w:val="0000FF"/>
                </w:rPr>
                <w:t>Table of Contents</w:t>
              </w:r>
            </w:hyperlink>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4"/>
        </w:trPr>
        <w:tc>
          <w:tcPr>
            <w:tcW w:w="1140" w:type="dxa"/>
            <w:vAlign w:val="bottom"/>
            <w:tcBorders>
              <w:top w:val="single" w:sz="8" w:color="0000FF"/>
            </w:tcBorders>
          </w:tcPr>
          <w:p>
            <w:pPr>
              <w:spacing w:after="0"/>
              <w:rPr>
                <w:sz w:val="24"/>
                <w:szCs w:val="24"/>
                <w:color w:val="auto"/>
              </w:rPr>
            </w:pPr>
          </w:p>
        </w:tc>
        <w:tc>
          <w:tcPr>
            <w:tcW w:w="8680" w:type="dxa"/>
            <w:vAlign w:val="bottom"/>
            <w:gridSpan w:val="12"/>
          </w:tcPr>
          <w:p>
            <w:pPr>
              <w:ind w:left="1160"/>
              <w:spacing w:after="0"/>
              <w:rPr>
                <w:sz w:val="20"/>
                <w:szCs w:val="20"/>
                <w:color w:val="auto"/>
              </w:rPr>
            </w:pPr>
            <w:r>
              <w:rPr>
                <w:rFonts w:ascii="Arial" w:cs="Arial" w:eastAsia="Arial" w:hAnsi="Arial"/>
                <w:sz w:val="16"/>
                <w:szCs w:val="16"/>
                <w:color w:val="auto"/>
              </w:rPr>
              <w:t>&lt; td colspan="2" style="vertical-align:bottom;padding-left:2px;padding-top:2px;padding-bottom:2px;"&gt;</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85"/>
        </w:trPr>
        <w:tc>
          <w:tcPr>
            <w:tcW w:w="486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ITEM 6. 11-Year Selected Financial Data </w:t>
            </w:r>
            <w:r>
              <w:rPr>
                <w:rFonts w:ascii="Arial" w:cs="Arial" w:eastAsia="Arial" w:hAnsi="Arial"/>
                <w:sz w:val="19"/>
                <w:szCs w:val="19"/>
                <w:b w:val="1"/>
                <w:bCs w:val="1"/>
                <w:color w:val="auto"/>
                <w:vertAlign w:val="superscript"/>
              </w:rPr>
              <w:t>(1)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&amp; nbsp;</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8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percent and per share data)</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6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for the 2-for-1 stock split on March 5, 2004)</w:t>
            </w:r>
          </w:p>
        </w:tc>
        <w:tc>
          <w:tcPr>
            <w:tcW w:w="12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b w:val="1"/>
                <w:bCs w:val="1"/>
                <w:color w:val="auto"/>
                <w:w w:val="99"/>
              </w:rPr>
              <w:t>Aug. 28, 2010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9"/>
              </w:rPr>
              <w:t>Aug. 29, 2009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 xml:space="preserve">Aug. 30, 2008 </w:t>
            </w:r>
            <w:r>
              <w:rPr>
                <w:rFonts w:ascii="Arial" w:cs="Arial" w:eastAsia="Arial" w:hAnsi="Arial"/>
                <w:sz w:val="19"/>
                <w:szCs w:val="19"/>
                <w:b w:val="1"/>
                <w:bCs w:val="1"/>
                <w:color w:val="auto"/>
                <w:vertAlign w:val="superscript"/>
              </w:rPr>
              <w:t>(2)</w:t>
            </w:r>
          </w:p>
        </w:tc>
        <w:tc>
          <w:tcPr>
            <w:tcW w:w="1620" w:type="dxa"/>
            <w:vAlign w:val="bottom"/>
            <w:gridSpan w:val="4"/>
          </w:tcPr>
          <w:p>
            <w:pPr>
              <w:ind w:left="300"/>
              <w:spacing w:after="0"/>
              <w:rPr>
                <w:sz w:val="20"/>
                <w:szCs w:val="20"/>
                <w:color w:val="auto"/>
              </w:rPr>
            </w:pPr>
            <w:r>
              <w:rPr>
                <w:rFonts w:ascii="Arial" w:cs="Arial" w:eastAsia="Arial" w:hAnsi="Arial"/>
                <w:sz w:val="16"/>
                <w:szCs w:val="16"/>
                <w:b w:val="1"/>
                <w:bCs w:val="1"/>
                <w:color w:val="auto"/>
              </w:rPr>
              <w:t>Aug. 25, 2007</w:t>
            </w:r>
          </w:p>
        </w:tc>
        <w:tc>
          <w:tcPr>
            <w:tcW w:w="0" w:type="dxa"/>
            <w:vAlign w:val="bottom"/>
          </w:tcPr>
          <w:p>
            <w:pPr>
              <w:spacing w:after="0"/>
              <w:rPr>
                <w:sz w:val="1"/>
                <w:szCs w:val="1"/>
                <w:color w:val="auto"/>
              </w:rPr>
            </w:pPr>
          </w:p>
        </w:tc>
      </w:tr>
      <w:tr>
        <w:trPr>
          <w:trHeight w:val="245"/>
        </w:trPr>
        <w:tc>
          <w:tcPr>
            <w:tcW w:w="4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w:t>
            </w:r>
          </w:p>
        </w:tc>
        <w:tc>
          <w:tcPr>
            <w:tcW w:w="1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lef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449,484</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211,519</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$604,352</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870,152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742</w:t>
            </w:r>
          </w:p>
        </w:tc>
        <w:tc>
          <w:tcPr>
            <w:tcW w:w="30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(58,063)</w:t>
            </w:r>
          </w:p>
        </w:tc>
        <w:tc>
          <w:tcPr>
            <w:tcW w:w="4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718"/>
              <w:spacing w:after="0"/>
              <w:rPr>
                <w:sz w:val="20"/>
                <w:szCs w:val="20"/>
                <w:color w:val="auto"/>
              </w:rPr>
            </w:pPr>
            <w:r>
              <w:rPr>
                <w:rFonts w:ascii="Arial" w:cs="Arial" w:eastAsia="Arial" w:hAnsi="Arial"/>
                <w:sz w:val="16"/>
                <w:szCs w:val="16"/>
                <w:color w:val="auto"/>
              </w:rPr>
              <w:t>(5,441)</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61,409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Pretax profit (loss) percent of revenue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0.2 %</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(27.4)%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558"/>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(9,505)</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20,703</w:t>
            </w:r>
          </w:p>
        </w:tc>
        <w:tc>
          <w:tcPr>
            <w:tcW w:w="4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718"/>
              <w:spacing w:after="0"/>
              <w:rPr>
                <w:sz w:val="20"/>
                <w:szCs w:val="20"/>
                <w:color w:val="auto"/>
              </w:rPr>
            </w:pPr>
            <w:r>
              <w:rPr>
                <w:rFonts w:ascii="Arial" w:cs="Arial" w:eastAsia="Arial" w:hAnsi="Arial"/>
                <w:sz w:val="16"/>
                <w:szCs w:val="16"/>
                <w:color w:val="auto"/>
              </w:rPr>
              <w:t>(8,225)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19,845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Income tax (benefit) rate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(1,281.0)%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35.7 %</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558"/>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10,247</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(78,766)</w:t>
            </w:r>
          </w:p>
        </w:tc>
        <w:tc>
          <w:tcPr>
            <w:tcW w:w="4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41,564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 xml:space="preserve">Income from discontinued operations </w:t>
            </w:r>
            <w:r>
              <w:rPr>
                <w:rFonts w:ascii="Arial" w:cs="Arial" w:eastAsia="Arial" w:hAnsi="Arial"/>
                <w:sz w:val="19"/>
                <w:szCs w:val="19"/>
                <w:color w:val="auto"/>
                <w:vertAlign w:val="superscript"/>
              </w:rPr>
              <w:t>(4)</w:t>
            </w:r>
          </w:p>
        </w:tc>
        <w:tc>
          <w:tcPr>
            <w:tcW w:w="120" w:type="dxa"/>
            <w:vAlign w:val="bottom"/>
          </w:tcPr>
          <w:p>
            <w:pPr>
              <w:spacing w:after="0"/>
              <w:rPr>
                <w:sz w:val="24"/>
                <w:szCs w:val="24"/>
                <w:color w:val="auto"/>
              </w:rPr>
            </w:pPr>
          </w:p>
        </w:tc>
        <w:tc>
          <w:tcPr>
            <w:tcW w:w="1160" w:type="dxa"/>
            <w:vAlign w:val="bottom"/>
            <w:vMerge w:val="restart"/>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gridSpan w:val="2"/>
            <w:vMerge w:val="restart"/>
          </w:tcPr>
          <w:p>
            <w:pPr>
              <w:ind w:left="780"/>
              <w:spacing w:after="0"/>
              <w:rPr>
                <w:sz w:val="20"/>
                <w:szCs w:val="20"/>
                <w:color w:val="auto"/>
              </w:rPr>
            </w:pPr>
            <w:r>
              <w:rPr>
                <w:rFonts w:ascii="Arial" w:cs="Arial" w:eastAsia="Arial" w:hAnsi="Arial"/>
                <w:sz w:val="16"/>
                <w:szCs w:val="16"/>
                <w:color w:val="auto"/>
                <w:w w:val="99"/>
              </w:rPr>
              <w:t>—</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14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Cum. effect of change in accounting principle</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left w:val="single" w:sz="8" w:color="CCEEFF"/>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10,247</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(78,766)</w:t>
            </w:r>
          </w:p>
        </w:tc>
        <w:tc>
          <w:tcPr>
            <w:tcW w:w="1140" w:type="dxa"/>
            <w:vAlign w:val="bottom"/>
            <w:gridSpan w:val="3"/>
          </w:tcPr>
          <w:p>
            <w:pPr>
              <w:ind w:left="440"/>
              <w:spacing w:after="0"/>
              <w:rPr>
                <w:sz w:val="20"/>
                <w:szCs w:val="20"/>
                <w:color w:val="auto"/>
              </w:rPr>
            </w:pPr>
            <w:r>
              <w:rPr>
                <w:rFonts w:ascii="Arial" w:cs="Arial" w:eastAsia="Arial" w:hAnsi="Arial"/>
                <w:sz w:val="16"/>
                <w:szCs w:val="16"/>
                <w:color w:val="auto"/>
              </w:rPr>
              <w:t>$2,784</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41,564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(loss) per share</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240"/>
              <w:spacing w:after="0"/>
              <w:rPr>
                <w:sz w:val="20"/>
                <w:szCs w:val="20"/>
                <w:color w:val="auto"/>
              </w:rPr>
            </w:pPr>
            <w:r>
              <w:rPr>
                <w:rFonts w:ascii="Arial" w:cs="Arial" w:eastAsia="Arial" w:hAnsi="Arial"/>
                <w:sz w:val="16"/>
                <w:szCs w:val="16"/>
                <w:color w:val="auto"/>
              </w:rPr>
              <w:t>Continuing operations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0.35</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(2.71)</w:t>
            </w:r>
          </w:p>
        </w:tc>
        <w:tc>
          <w:tcPr>
            <w:tcW w:w="220" w:type="dxa"/>
            <w:vAlign w:val="bottom"/>
            <w:shd w:val="clear" w:color="auto" w:fill="CCEEFF"/>
          </w:tcPr>
          <w:p>
            <w:pPr>
              <w:spacing w:after="0"/>
              <w:rPr>
                <w:sz w:val="21"/>
                <w:szCs w:val="21"/>
                <w:color w:val="auto"/>
              </w:rPr>
            </w:pPr>
          </w:p>
        </w:tc>
        <w:tc>
          <w:tcPr>
            <w:tcW w:w="54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44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20"/>
                <w:szCs w:val="20"/>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0.35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(2.71)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Discontinued operations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44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20"/>
                <w:szCs w:val="20"/>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240"/>
              <w:spacing w:after="0"/>
              <w:rPr>
                <w:sz w:val="20"/>
                <w:szCs w:val="20"/>
                <w:color w:val="auto"/>
              </w:rPr>
            </w:pPr>
            <w:r>
              <w:rPr>
                <w:rFonts w:ascii="Arial" w:cs="Arial" w:eastAsia="Arial" w:hAnsi="Arial"/>
                <w:sz w:val="16"/>
                <w:szCs w:val="16"/>
                <w:color w:val="auto"/>
              </w:rPr>
              <w:t>Cum. effect of change in accounting principle</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60" w:type="dxa"/>
            <w:vAlign w:val="bottom"/>
            <w:gridSpan w:val="2"/>
          </w:tcPr>
          <w:p>
            <w:pPr>
              <w:ind w:left="44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44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20"/>
                <w:szCs w:val="20"/>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8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Net (loss) income per share</w:t>
            </w:r>
          </w:p>
        </w:tc>
        <w:tc>
          <w:tcPr>
            <w:tcW w:w="1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lef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44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0.35</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(2.71)</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0.35</w:t>
            </w:r>
          </w:p>
        </w:tc>
        <w:tc>
          <w:tcPr>
            <w:tcW w:w="3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(2.71)</w:t>
            </w:r>
          </w:p>
        </w:tc>
        <w:tc>
          <w:tcPr>
            <w:tcW w:w="420" w:type="dxa"/>
            <w:vAlign w:val="bottom"/>
            <w:tcBorders>
              <w:left w:val="single" w:sz="8" w:color="CCEEFF"/>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 (in thousands)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29,091</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29,040</w:t>
            </w:r>
          </w:p>
        </w:tc>
        <w:tc>
          <w:tcPr>
            <w:tcW w:w="220" w:type="dxa"/>
            <w:vAlign w:val="bottom"/>
          </w:tcPr>
          <w:p>
            <w:pPr>
              <w:spacing w:after="0"/>
              <w:rPr>
                <w:sz w:val="21"/>
                <w:szCs w:val="21"/>
                <w:color w:val="auto"/>
              </w:rPr>
            </w:pPr>
          </w:p>
        </w:tc>
        <w:tc>
          <w:tcPr>
            <w:tcW w:w="4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31,162</w:t>
            </w:r>
          </w:p>
        </w:tc>
        <w:tc>
          <w:tcPr>
            <w:tcW w:w="74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&lt; div</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style="text-</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60" w:type="dxa"/>
            <w:vAlign w:val="bottom"/>
            <w:gridSpan w:val="2"/>
          </w:tcPr>
          <w:p>
            <w:pPr>
              <w:ind w:left="44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8"/>
                <w:szCs w:val="18"/>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29,101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29,051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Arial" w:cs="Arial" w:eastAsia="Arial" w:hAnsi="Arial"/>
                <w:sz w:val="16"/>
                <w:szCs w:val="16"/>
                <w:color w:val="auto"/>
              </w:rPr>
              <w:t>29,144align:left;"&gt;</w:t>
            </w:r>
          </w:p>
        </w:tc>
        <w:tc>
          <w:tcPr>
            <w:tcW w:w="700" w:type="dxa"/>
            <w:vAlign w:val="bottom"/>
          </w:tcPr>
          <w:p>
            <w:pPr>
              <w:spacing w:after="0"/>
              <w:rPr>
                <w:sz w:val="18"/>
                <w:szCs w:val="18"/>
                <w:color w:val="auto"/>
              </w:rPr>
            </w:pP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31,415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dividends paid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0.12</w:t>
            </w:r>
          </w:p>
        </w:tc>
        <w:tc>
          <w:tcPr>
            <w:tcW w:w="54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Book value per share</w:t>
            </w:r>
          </w:p>
        </w:tc>
        <w:tc>
          <w:tcPr>
            <w:tcW w:w="120" w:type="dxa"/>
            <w:vAlign w:val="bottom"/>
          </w:tcPr>
          <w:p>
            <w:pPr>
              <w:spacing w:after="0"/>
              <w:rPr>
                <w:sz w:val="20"/>
                <w:szCs w:val="20"/>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3.35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5.98</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7.05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Return on assets (ROA) </w:t>
            </w:r>
            <w:r>
              <w:rPr>
                <w:rFonts w:ascii="Arial" w:cs="Arial" w:eastAsia="Arial" w:hAnsi="Arial"/>
                <w:sz w:val="19"/>
                <w:szCs w:val="19"/>
                <w:color w:val="auto"/>
                <w:vertAlign w:val="superscript"/>
              </w:rPr>
              <w:t>(5)</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420" w:type="dxa"/>
            <w:vAlign w:val="bottom"/>
            <w:tcBorders>
              <w:left w:val="single" w:sz="8" w:color="CCEEFF"/>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578"/>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 xml:space="preserve">Return on equity (ROE) </w:t>
            </w:r>
            <w:r>
              <w:rPr>
                <w:rFonts w:ascii="Arial" w:cs="Arial" w:eastAsia="Arial" w:hAnsi="Arial"/>
                <w:sz w:val="19"/>
                <w:szCs w:val="19"/>
                <w:color w:val="auto"/>
                <w:vertAlign w:val="superscript"/>
              </w:rPr>
              <w:t>(6)</w:t>
            </w:r>
          </w:p>
        </w:tc>
        <w:tc>
          <w:tcPr>
            <w:tcW w:w="12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10.8 %</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(59.2)%</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jc w:val="right"/>
              <w:ind w:right="578"/>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19.5%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14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860" w:type="dxa"/>
            <w:vAlign w:val="bottom"/>
            <w:gridSpan w:val="2"/>
            <w:vMerge w:val="restart"/>
          </w:tcPr>
          <w:p>
            <w:pPr>
              <w:ind w:left="20"/>
              <w:spacing w:after="0"/>
              <w:rPr>
                <w:sz w:val="20"/>
                <w:szCs w:val="20"/>
                <w:color w:val="auto"/>
              </w:rPr>
            </w:pPr>
            <w:r>
              <w:rPr>
                <w:rFonts w:ascii="Arial" w:cs="Arial" w:eastAsia="Arial" w:hAnsi="Arial"/>
                <w:sz w:val="16"/>
                <w:szCs w:val="16"/>
                <w:color w:val="auto"/>
              </w:rPr>
              <w:t xml:space="preserve">Return on invested capital (ROIC) </w:t>
            </w:r>
            <w:r>
              <w:rPr>
                <w:rFonts w:ascii="Arial" w:cs="Arial" w:eastAsia="Arial" w:hAnsi="Arial"/>
                <w:sz w:val="19"/>
                <w:szCs w:val="19"/>
                <w:color w:val="auto"/>
                <w:vertAlign w:val="superscript"/>
              </w:rPr>
              <w:t>(7)</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860" w:type="dxa"/>
            <w:vAlign w:val="bottom"/>
            <w:gridSpan w:val="2"/>
            <w:vMerge w:val="continue"/>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(61.1)%</w:t>
            </w:r>
          </w:p>
        </w:tc>
        <w:tc>
          <w:tcPr>
            <w:tcW w:w="420" w:type="dxa"/>
            <w:vAlign w:val="bottom"/>
            <w:tcBorders>
              <w:left w:val="single" w:sz="8" w:color="CCEEFF"/>
            </w:tcBorders>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18"/>
              <w:spacing w:after="0"/>
              <w:rPr>
                <w:sz w:val="20"/>
                <w:szCs w:val="20"/>
                <w:color w:val="auto"/>
              </w:rPr>
            </w:pPr>
            <w:r>
              <w:rPr>
                <w:rFonts w:ascii="Arial" w:cs="Arial" w:eastAsia="Arial" w:hAnsi="Arial"/>
                <w:sz w:val="16"/>
                <w:szCs w:val="16"/>
                <w:color w:val="auto"/>
                <w:w w:val="97"/>
              </w:rPr>
              <w:t>&lt; /td&gt;</w:t>
            </w:r>
          </w:p>
        </w:tc>
        <w:tc>
          <w:tcPr>
            <w:tcW w:w="840" w:type="dxa"/>
            <w:vAlign w:val="bottom"/>
            <w:vMerge w:val="restart"/>
            <w:shd w:val="clear" w:color="auto" w:fill="CCEEFF"/>
          </w:tcPr>
          <w:p>
            <w:pPr>
              <w:jc w:val="right"/>
              <w:ind w:right="57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420" w:type="dxa"/>
            <w:vAlign w:val="bottom"/>
            <w:tcBorders>
              <w:left w:val="single" w:sz="8" w:color="CCEEFF"/>
            </w:tcBorders>
            <w:shd w:val="clear" w:color="auto" w:fill="CCEEFF"/>
          </w:tcPr>
          <w:p>
            <w:pPr>
              <w:spacing w:after="0"/>
              <w:rPr>
                <w:sz w:val="5"/>
                <w:szCs w:val="5"/>
                <w:color w:val="auto"/>
              </w:rPr>
            </w:pPr>
          </w:p>
        </w:tc>
        <w:tc>
          <w:tcPr>
            <w:tcW w:w="72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6"/>
                <w:szCs w:val="16"/>
                <w:color w:val="auto"/>
              </w:rPr>
              <w:t>&amp;nbs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Unit sales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ind w:left="40"/>
              <w:spacing w:after="0"/>
              <w:rPr>
                <w:sz w:val="20"/>
                <w:szCs w:val="20"/>
                <w:color w:val="auto"/>
              </w:rPr>
            </w:pPr>
            <w:r>
              <w:rPr>
                <w:rFonts w:ascii="Arial" w:cs="Arial" w:eastAsia="Arial" w:hAnsi="Arial"/>
                <w:sz w:val="16"/>
                <w:szCs w:val="16"/>
                <w:color w:val="auto"/>
              </w:rPr>
              <w:t>p;</w:t>
            </w: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Class A</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2,452</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822</w:t>
            </w:r>
          </w:p>
        </w:tc>
        <w:tc>
          <w:tcPr>
            <w:tcW w:w="42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5,031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24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20"/>
                <w:szCs w:val="20"/>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236</w:t>
            </w:r>
          </w:p>
        </w:tc>
        <w:tc>
          <w:tcPr>
            <w:tcW w:w="3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149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5"/>
        </w:trPr>
        <w:tc>
          <w:tcPr>
            <w:tcW w:w="4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1,745</w:t>
            </w:r>
          </w:p>
        </w:tc>
        <w:tc>
          <w:tcPr>
            <w:tcW w:w="3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1,225</w:t>
            </w:r>
          </w:p>
        </w:tc>
        <w:tc>
          <w:tcPr>
            <w:tcW w:w="420" w:type="dxa"/>
            <w:vAlign w:val="bottom"/>
            <w:tcBorders>
              <w:left w:val="single" w:sz="8" w:color="CCEEFF"/>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8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4,438</w:t>
            </w: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60" w:type="dxa"/>
            <w:vAlign w:val="bottom"/>
            <w:gridSpan w:val="2"/>
          </w:tcPr>
          <w:p>
            <w:pPr>
              <w:ind w:left="440"/>
              <w:spacing w:after="0"/>
              <w:rPr>
                <w:sz w:val="20"/>
                <w:szCs w:val="20"/>
                <w:color w:val="auto"/>
              </w:rPr>
            </w:pPr>
            <w:r>
              <w:rPr>
                <w:rFonts w:ascii="Arial" w:cs="Arial" w:eastAsia="Arial" w:hAnsi="Arial"/>
                <w:sz w:val="16"/>
                <w:szCs w:val="16"/>
                <w:color w:val="auto"/>
              </w:rPr>
              <w:t>Total motor homes</w:t>
            </w:r>
          </w:p>
        </w:tc>
        <w:tc>
          <w:tcPr>
            <w:tcW w:w="120" w:type="dxa"/>
            <w:vAlign w:val="bottom"/>
          </w:tcPr>
          <w:p>
            <w:pPr>
              <w:spacing w:after="0"/>
              <w:rPr>
                <w:sz w:val="20"/>
                <w:szCs w:val="20"/>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4,433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2,196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6,407</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9,469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14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20"/>
              <w:spacing w:after="0"/>
              <w:rPr>
                <w:sz w:val="20"/>
                <w:szCs w:val="20"/>
                <w:color w:val="auto"/>
              </w:rPr>
            </w:pPr>
            <w:r>
              <w:rPr>
                <w:rFonts w:ascii="Arial" w:cs="Arial" w:eastAsia="Arial" w:hAnsi="Arial"/>
                <w:sz w:val="16"/>
                <w:szCs w:val="16"/>
                <w:b w:val="1"/>
                <w:bCs w:val="1"/>
                <w:color w:val="auto"/>
              </w:rPr>
              <w:t>At Year End</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227,357</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220,466</w:t>
            </w:r>
          </w:p>
        </w:tc>
        <w:tc>
          <w:tcPr>
            <w:tcW w:w="11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$305,455</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366,510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20"/>
                <w:szCs w:val="20"/>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97,527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92,331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173,924</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208,354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114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capitalization</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263,492</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/td&gt;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337,991</w:t>
            </w:r>
          </w:p>
        </w:tc>
        <w:tc>
          <w:tcPr>
            <w:tcW w:w="4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329,956</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821,282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Working capital</w:t>
            </w:r>
          </w:p>
        </w:tc>
        <w:tc>
          <w:tcPr>
            <w:tcW w:w="120" w:type="dxa"/>
            <w:vAlign w:val="bottom"/>
          </w:tcPr>
          <w:p>
            <w:pPr>
              <w:spacing w:after="0"/>
              <w:rPr>
                <w:sz w:val="21"/>
                <w:szCs w:val="21"/>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91,345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79,460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108,548</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168,863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ratio</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to 1</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to 1</w:t>
            </w:r>
          </w:p>
        </w:tc>
        <w:tc>
          <w:tcPr>
            <w:tcW w:w="42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3.0 to 1</w:t>
            </w:r>
          </w:p>
        </w:tc>
        <w:tc>
          <w:tcPr>
            <w:tcW w:w="7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 to 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Number of employees</w:t>
            </w:r>
          </w:p>
        </w:tc>
        <w:tc>
          <w:tcPr>
            <w:tcW w:w="120" w:type="dxa"/>
            <w:vAlign w:val="bottom"/>
          </w:tcPr>
          <w:p>
            <w:pPr>
              <w:spacing w:after="0"/>
              <w:rPr>
                <w:sz w:val="21"/>
                <w:szCs w:val="21"/>
                <w:color w:val="auto"/>
              </w:rPr>
            </w:pPr>
          </w:p>
        </w:tc>
        <w:tc>
          <w:tcPr>
            <w:tcW w:w="1160" w:type="dxa"/>
            <w:vAlign w:val="bottom"/>
          </w:tcPr>
          <w:p>
            <w:pPr>
              <w:jc w:val="right"/>
              <w:ind w:right="158"/>
              <w:spacing w:after="0"/>
              <w:rPr>
                <w:sz w:val="20"/>
                <w:szCs w:val="20"/>
                <w:color w:val="auto"/>
              </w:rPr>
            </w:pPr>
            <w:r>
              <w:rPr>
                <w:rFonts w:ascii="Arial" w:cs="Arial" w:eastAsia="Arial" w:hAnsi="Arial"/>
                <w:sz w:val="16"/>
                <w:szCs w:val="16"/>
                <w:color w:val="auto"/>
              </w:rPr>
              <w:t>1,950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1,630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2,250</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gridSpan w:val="2"/>
          </w:tcPr>
          <w:p>
            <w:pPr>
              <w:jc w:val="right"/>
              <w:ind w:right="78"/>
              <w:spacing w:after="0"/>
              <w:rPr>
                <w:sz w:val="20"/>
                <w:szCs w:val="20"/>
                <w:color w:val="auto"/>
              </w:rPr>
            </w:pPr>
            <w:r>
              <w:rPr>
                <w:rFonts w:ascii="Arial" w:cs="Arial" w:eastAsia="Arial" w:hAnsi="Arial"/>
                <w:sz w:val="16"/>
                <w:szCs w:val="16"/>
                <w:color w:val="auto"/>
              </w:rPr>
              <w:t>3,310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Dealer inventory</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2,044</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1,694</w:t>
            </w:r>
          </w:p>
        </w:tc>
        <w:tc>
          <w:tcPr>
            <w:tcW w:w="4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4,471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02" w:hanging="302"/>
        <w:spacing w:after="0"/>
        <w:tabs>
          <w:tab w:leader="none" w:pos="302" w:val="left"/>
        </w:tabs>
        <w:numPr>
          <w:ilvl w:val="0"/>
          <w:numId w:val="46"/>
        </w:numPr>
        <w:rPr>
          <w:rFonts w:ascii="Arial" w:cs="Arial" w:eastAsia="Arial" w:hAnsi="Arial"/>
          <w:sz w:val="8"/>
          <w:szCs w:val="8"/>
          <w:i w:val="1"/>
          <w:iCs w:val="1"/>
          <w:color w:val="auto"/>
        </w:rPr>
      </w:pPr>
      <w:r>
        <w:rPr>
          <w:rFonts w:ascii="Arial" w:cs="Arial" w:eastAsia="Arial" w:hAnsi="Arial"/>
          <w:sz w:val="13"/>
          <w:szCs w:val="13"/>
          <w:i w:val="1"/>
          <w:iCs w:val="1"/>
          <w:color w:val="auto"/>
        </w:rPr>
        <w:t>Certain prior periods' information has been reclassified to conform to the current year-end presentation.</w:t>
      </w:r>
    </w:p>
    <w:p>
      <w:pPr>
        <w:spacing w:after="0" w:line="11" w:lineRule="exact"/>
        <w:rPr>
          <w:rFonts w:ascii="Arial" w:cs="Arial" w:eastAsia="Arial" w:hAnsi="Arial"/>
          <w:sz w:val="8"/>
          <w:szCs w:val="8"/>
          <w:i w:val="1"/>
          <w:iCs w:val="1"/>
          <w:color w:val="auto"/>
        </w:rPr>
      </w:pPr>
    </w:p>
    <w:p>
      <w:pPr>
        <w:ind w:left="302" w:hanging="302"/>
        <w:spacing w:after="0" w:line="236" w:lineRule="auto"/>
        <w:tabs>
          <w:tab w:leader="none" w:pos="302" w:val="left"/>
        </w:tabs>
        <w:numPr>
          <w:ilvl w:val="0"/>
          <w:numId w:val="46"/>
        </w:numPr>
        <w:rPr>
          <w:rFonts w:ascii="Arial" w:cs="Arial" w:eastAsia="Arial" w:hAnsi="Arial"/>
          <w:sz w:val="8"/>
          <w:szCs w:val="8"/>
          <w:i w:val="1"/>
          <w:iCs w:val="1"/>
          <w:color w:val="auto"/>
        </w:rPr>
      </w:pPr>
      <w:r>
        <w:rPr>
          <w:rFonts w:ascii="Arial" w:cs="Arial" w:eastAsia="Arial" w:hAnsi="Arial"/>
          <w:sz w:val="13"/>
          <w:szCs w:val="13"/>
          <w:i w:val="1"/>
          <w:iCs w:val="1"/>
          <w:color w:val="auto"/>
        </w:rPr>
        <w:t>The fiscal years ended August 31, 2002 and August 30, 2008 contained 53 weeks; all other fiscal years contained 52 weeks.</w:t>
      </w:r>
    </w:p>
    <w:p>
      <w:pPr>
        <w:ind w:left="302" w:right="520" w:hanging="302"/>
        <w:spacing w:after="0" w:line="226" w:lineRule="auto"/>
        <w:tabs>
          <w:tab w:leader="none" w:pos="302" w:val="left"/>
        </w:tabs>
        <w:numPr>
          <w:ilvl w:val="0"/>
          <w:numId w:val="46"/>
        </w:numPr>
        <w:rPr>
          <w:rFonts w:ascii="Arial" w:cs="Arial" w:eastAsia="Arial" w:hAnsi="Arial"/>
          <w:sz w:val="8"/>
          <w:szCs w:val="8"/>
          <w:i w:val="1"/>
          <w:iCs w:val="1"/>
          <w:color w:val="auto"/>
        </w:rPr>
      </w:pPr>
      <w:r>
        <w:rPr>
          <w:rFonts w:ascii="Arial" w:cs="Arial" w:eastAsia="Arial" w:hAnsi="Arial"/>
          <w:sz w:val="13"/>
          <w:szCs w:val="13"/>
          <w:i w:val="1"/>
          <w:iCs w:val="1"/>
          <w:color w:val="auto"/>
        </w:rPr>
        <w:t>Includes a noncash after-tax cumulative effect of change in accounting principle of $1.1 million expense or $0.05 per share due to the adoption of SAB No. 101, Revenue Recognition in Financial Statements.</w:t>
      </w:r>
    </w:p>
    <w:p>
      <w:pPr>
        <w:ind w:left="302" w:hanging="302"/>
        <w:spacing w:after="0"/>
        <w:tabs>
          <w:tab w:leader="none" w:pos="302" w:val="left"/>
        </w:tabs>
        <w:numPr>
          <w:ilvl w:val="0"/>
          <w:numId w:val="46"/>
        </w:numPr>
        <w:rPr>
          <w:rFonts w:ascii="Arial" w:cs="Arial" w:eastAsia="Arial" w:hAnsi="Arial"/>
          <w:sz w:val="8"/>
          <w:szCs w:val="8"/>
          <w:i w:val="1"/>
          <w:iCs w:val="1"/>
          <w:color w:val="auto"/>
        </w:rPr>
      </w:pPr>
      <w:r>
        <w:rPr>
          <w:rFonts w:ascii="Arial" w:cs="Arial" w:eastAsia="Arial" w:hAnsi="Arial"/>
          <w:sz w:val="13"/>
          <w:szCs w:val="13"/>
          <w:i w:val="1"/>
          <w:iCs w:val="1"/>
          <w:color w:val="auto"/>
        </w:rPr>
        <w:t>Includes discontinued operations of Winnebago Acceptance Corporation for all years presented.</w:t>
      </w:r>
    </w:p>
    <w:p>
      <w:pPr>
        <w:sectPr>
          <w:pgSz w:w="11900" w:h="16838" w:orient="portrait"/>
          <w:cols w:equalWidth="0" w:num="1">
            <w:col w:w="11442"/>
          </w:cols>
          <w:pgMar w:left="238" w:top="126" w:right="219" w:bottom="492" w:gutter="0" w:footer="0" w:header="0"/>
        </w:sectPr>
      </w:pPr>
    </w:p>
    <w:p>
      <w:pPr>
        <w:spacing w:after="0" w:line="155" w:lineRule="exact"/>
        <w:rPr>
          <w:sz w:val="20"/>
          <w:szCs w:val="20"/>
          <w:color w:val="auto"/>
        </w:rPr>
      </w:pPr>
    </w:p>
    <w:p>
      <w:pPr>
        <w:jc w:val="center"/>
        <w:ind w:right="-1"/>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42"/>
          </w:cols>
          <w:pgMar w:left="238" w:top="126" w:right="219" w:bottom="492" w:gutter="0" w:footer="0" w:header="0"/>
          <w:type w:val="continuous"/>
        </w:sectPr>
      </w:pPr>
    </w:p>
    <w:bookmarkStart w:id="55" w:name="page56"/>
    <w:bookmarkEnd w:id="55"/>
    <w:p>
      <w:pPr>
        <w:ind w:left="2"/>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302"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Aug. 27,</w:t>
            </w: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Arial" w:cs="Arial" w:eastAsia="Arial" w:hAnsi="Arial"/>
                <w:sz w:val="16"/>
                <w:szCs w:val="16"/>
                <w:b w:val="1"/>
                <w:bCs w:val="1"/>
                <w:color w:val="auto"/>
              </w:rPr>
              <w:t>Aug. 28,</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Aug. 31,</w:t>
            </w:r>
          </w:p>
        </w:tc>
        <w:tc>
          <w:tcPr>
            <w:tcW w:w="1300" w:type="dxa"/>
            <w:vAlign w:val="bottom"/>
            <w:gridSpan w:val="3"/>
          </w:tcPr>
          <w:p>
            <w:pPr>
              <w:jc w:val="center"/>
              <w:ind w:left="258"/>
              <w:spacing w:after="0"/>
              <w:rPr>
                <w:sz w:val="20"/>
                <w:szCs w:val="20"/>
                <w:color w:val="auto"/>
              </w:rPr>
            </w:pPr>
            <w:r>
              <w:rPr>
                <w:rFonts w:ascii="Arial" w:cs="Arial" w:eastAsia="Arial" w:hAnsi="Arial"/>
                <w:sz w:val="16"/>
                <w:szCs w:val="16"/>
                <w:b w:val="1"/>
                <w:bCs w:val="1"/>
                <w:color w:val="auto"/>
              </w:rPr>
              <w:t>Aug. 2 5,</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Aug. 26,</w:t>
            </w:r>
          </w:p>
        </w:tc>
      </w:tr>
      <w:tr>
        <w:trPr>
          <w:trHeight w:val="234"/>
        </w:trPr>
        <w:tc>
          <w:tcPr>
            <w:tcW w:w="11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Aug. 26, 2006</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2005</w:t>
            </w: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2004</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Aug. 30, 2003</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2002 </w:t>
            </w:r>
            <w:r>
              <w:rPr>
                <w:rFonts w:ascii="Arial" w:cs="Arial" w:eastAsia="Arial" w:hAnsi="Arial"/>
                <w:sz w:val="19"/>
                <w:szCs w:val="19"/>
                <w:b w:val="1"/>
                <w:bCs w:val="1"/>
                <w:color w:val="auto"/>
                <w:vertAlign w:val="superscript"/>
              </w:rPr>
              <w:t>(2)</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xml:space="preserve">2001 </w:t>
            </w:r>
            <w:r>
              <w:rPr>
                <w:rFonts w:ascii="Arial" w:cs="Arial" w:eastAsia="Arial" w:hAnsi="Arial"/>
                <w:sz w:val="19"/>
                <w:szCs w:val="19"/>
                <w:b w:val="1"/>
                <w:bCs w:val="1"/>
                <w:color w:val="auto"/>
                <w:w w:val="97"/>
                <w:vertAlign w:val="superscript"/>
              </w:rPr>
              <w:t>(3)</w:t>
            </w: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2000</w:t>
            </w:r>
          </w:p>
        </w:tc>
        <w:tc>
          <w:tcPr>
            <w:tcW w:w="160" w:type="dxa"/>
            <w:vAlign w:val="bottom"/>
            <w:tcBorders>
              <w:bottom w:val="single" w:sz="8" w:color="auto"/>
            </w:tcBorders>
          </w:tcPr>
          <w:p>
            <w:pPr>
              <w:spacing w:after="0"/>
              <w:rPr>
                <w:sz w:val="20"/>
                <w:szCs w:val="20"/>
                <w:color w:val="auto"/>
              </w:rPr>
            </w:pPr>
          </w:p>
        </w:tc>
      </w:tr>
      <w:tr>
        <w:trPr>
          <w:trHeight w:val="245"/>
        </w:trPr>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9"/>
        </w:trPr>
        <w:tc>
          <w:tcPr>
            <w:tcW w:w="1080" w:type="dxa"/>
            <w:vAlign w:val="bottom"/>
            <w:gridSpan w:val="3"/>
          </w:tcPr>
          <w:p>
            <w:pPr>
              <w:jc w:val="right"/>
              <w:ind w:right="360"/>
              <w:spacing w:after="0"/>
              <w:rPr>
                <w:sz w:val="20"/>
                <w:szCs w:val="20"/>
                <w:color w:val="auto"/>
              </w:rPr>
            </w:pPr>
            <w:r>
              <w:rPr>
                <w:rFonts w:ascii="Arial" w:cs="Arial" w:eastAsia="Arial" w:hAnsi="Arial"/>
                <w:sz w:val="16"/>
                <w:szCs w:val="16"/>
                <w:color w:val="auto"/>
              </w:rPr>
              <w:t>$864,403</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991,975</w:t>
            </w:r>
          </w:p>
        </w:tc>
        <w:tc>
          <w:tcPr>
            <w:tcW w:w="19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1,114,154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845,210</w:t>
            </w:r>
          </w:p>
        </w:tc>
        <w:tc>
          <w:tcPr>
            <w:tcW w:w="20" w:type="dxa"/>
            <w:vAlign w:val="bottom"/>
          </w:tcPr>
          <w:p>
            <w:pPr>
              <w:spacing w:after="0"/>
              <w:rPr>
                <w:sz w:val="20"/>
                <w:szCs w:val="20"/>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6"/>
                <w:szCs w:val="16"/>
                <w:color w:val="auto"/>
              </w:rPr>
              <w:t>$ 825,269</w:t>
            </w:r>
          </w:p>
        </w:tc>
        <w:tc>
          <w:tcPr>
            <w:tcW w:w="1300" w:type="dxa"/>
            <w:vAlign w:val="bottom"/>
            <w:gridSpan w:val="3"/>
          </w:tcPr>
          <w:p>
            <w:pPr>
              <w:jc w:val="right"/>
              <w:ind w:right="200"/>
              <w:spacing w:after="0"/>
              <w:rPr>
                <w:sz w:val="20"/>
                <w:szCs w:val="20"/>
                <w:color w:val="auto"/>
              </w:rPr>
            </w:pPr>
            <w:r>
              <w:rPr>
                <w:rFonts w:ascii="Arial" w:cs="Arial" w:eastAsia="Arial" w:hAnsi="Arial"/>
                <w:sz w:val="16"/>
                <w:szCs w:val="16"/>
                <w:color w:val="auto"/>
              </w:rPr>
              <w:t>$ 671,686</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$ 743,729</w:t>
            </w:r>
          </w:p>
        </w:tc>
      </w:tr>
      <w:tr>
        <w:trPr>
          <w:trHeight w:val="252"/>
        </w:trPr>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68,195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100,890</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112,234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78,693</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81,324</w:t>
            </w: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55,754</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70,583</w:t>
            </w:r>
          </w:p>
        </w:tc>
      </w:tr>
      <w:tr>
        <w:trPr>
          <w:trHeight w:val="239"/>
        </w:trPr>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10.2%</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9.3</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9.9%</w:t>
            </w:r>
          </w:p>
        </w:tc>
        <w:tc>
          <w:tcPr>
            <w:tcW w:w="5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8.3%</w:t>
            </w:r>
          </w:p>
        </w:tc>
        <w:tc>
          <w:tcPr>
            <w:tcW w:w="5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9.5%</w:t>
            </w:r>
          </w:p>
        </w:tc>
      </w:tr>
      <w:tr>
        <w:trPr>
          <w:trHeight w:val="252"/>
        </w:trPr>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23,451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35,817</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41,593</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29,961</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28,431</w:t>
            </w:r>
          </w:p>
        </w:tc>
        <w:tc>
          <w:tcPr>
            <w:tcW w:w="180" w:type="dxa"/>
            <w:vAlign w:val="bottom"/>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14,258</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24,400</w:t>
            </w:r>
          </w:p>
        </w:tc>
      </w:tr>
      <w:tr>
        <w:trPr>
          <w:trHeight w:val="245"/>
        </w:trPr>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35.5%</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37.1%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38.1%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35.0%</w:t>
            </w:r>
          </w:p>
        </w:tc>
        <w:tc>
          <w:tcPr>
            <w:tcW w:w="5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25.6%</w:t>
            </w:r>
          </w:p>
        </w:tc>
        <w:tc>
          <w:tcPr>
            <w:tcW w:w="5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34.6%</w:t>
            </w:r>
          </w:p>
        </w:tc>
      </w:tr>
      <w:tr>
        <w:trPr>
          <w:trHeight w:val="245"/>
        </w:trPr>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44,744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65,073</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70,641</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48,732</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52,893</w:t>
            </w: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41,496</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46,183</w:t>
            </w:r>
          </w:p>
        </w:tc>
      </w:tr>
      <w:tr>
        <w:trPr>
          <w:trHeight w:val="239"/>
        </w:trPr>
        <w:tc>
          <w:tcPr>
            <w:tcW w:w="120" w:type="dxa"/>
            <w:vAlign w:val="bottom"/>
          </w:tcPr>
          <w:p>
            <w:pPr>
              <w:spacing w:after="0"/>
              <w:rPr>
                <w:sz w:val="20"/>
                <w:szCs w:val="20"/>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1,152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1,778</w:t>
            </w:r>
          </w:p>
        </w:tc>
        <w:tc>
          <w:tcPr>
            <w:tcW w:w="5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2,258</w:t>
            </w:r>
          </w:p>
        </w:tc>
        <w:tc>
          <w:tcPr>
            <w:tcW w:w="5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2,216</w:t>
            </w:r>
          </w:p>
        </w:tc>
      </w:tr>
      <w:tr>
        <w:trPr>
          <w:trHeight w:val="245"/>
        </w:trPr>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(1,050)</w:t>
            </w:r>
          </w:p>
        </w:tc>
        <w:tc>
          <w:tcPr>
            <w:tcW w:w="5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38"/>
        </w:trPr>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44,744</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65,073</w:t>
            </w:r>
          </w:p>
        </w:tc>
        <w:tc>
          <w:tcPr>
            <w:tcW w:w="19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70,641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8"/>
              <w:spacing w:after="0"/>
              <w:rPr>
                <w:sz w:val="20"/>
                <w:szCs w:val="20"/>
                <w:color w:val="auto"/>
              </w:rPr>
            </w:pPr>
            <w:r>
              <w:rPr>
                <w:rFonts w:ascii="Arial" w:cs="Arial" w:eastAsia="Arial" w:hAnsi="Arial"/>
                <w:sz w:val="16"/>
                <w:szCs w:val="16"/>
                <w:color w:val="auto"/>
              </w:rPr>
              <w:t>49,884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gridSpan w:val="2"/>
          </w:tcPr>
          <w:p>
            <w:pPr>
              <w:ind w:left="36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54,671</w:t>
            </w:r>
          </w:p>
        </w:tc>
        <w:tc>
          <w:tcPr>
            <w:tcW w:w="520" w:type="dxa"/>
            <w:vAlign w:val="bottom"/>
          </w:tcPr>
          <w:p>
            <w:pPr>
              <w:ind w:left="3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42,704</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48,399</w:t>
            </w:r>
          </w:p>
        </w:tc>
      </w:tr>
      <w:tr>
        <w:trPr>
          <w:trHeight w:val="252"/>
        </w:trPr>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5"/>
        </w:trPr>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5"/>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1.95</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w:t>
            </w:r>
          </w:p>
        </w:tc>
        <w:tc>
          <w:tcPr>
            <w:tcW w:w="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$ 1.37</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1.03</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1.12</w:t>
            </w:r>
          </w:p>
        </w:tc>
      </w:tr>
      <w:tr>
        <w:trPr>
          <w:trHeight w:val="239"/>
        </w:trPr>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1.92</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1.01</w:t>
            </w:r>
          </w:p>
        </w:tc>
        <w:tc>
          <w:tcPr>
            <w:tcW w:w="5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1.10</w:t>
            </w:r>
          </w:p>
        </w:tc>
      </w:tr>
      <w:tr>
        <w:trPr>
          <w:trHeight w:val="252"/>
        </w:trPr>
        <w:tc>
          <w:tcPr>
            <w:tcW w:w="720" w:type="dxa"/>
            <w:vAlign w:val="bottom"/>
            <w:gridSpan w:val="2"/>
            <w:shd w:val="clear" w:color="auto" w:fill="CCEEFF"/>
          </w:tcPr>
          <w:p>
            <w:pPr>
              <w:spacing w:after="0"/>
              <w:rPr>
                <w:sz w:val="21"/>
                <w:szCs w:val="21"/>
                <w:color w:val="auto"/>
              </w:rPr>
            </w:pPr>
          </w:p>
        </w:tc>
        <w:tc>
          <w:tcPr>
            <w:tcW w:w="460" w:type="dxa"/>
            <w:vAlign w:val="bottom"/>
            <w:gridSpan w:val="2"/>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9"/>
        </w:trPr>
        <w:tc>
          <w:tcPr>
            <w:tcW w:w="1180" w:type="dxa"/>
            <w:vAlign w:val="bottom"/>
            <w:gridSpan w:val="4"/>
          </w:tcPr>
          <w:p>
            <w:pPr>
              <w:ind w:left="20"/>
              <w:spacing w:after="0"/>
              <w:rPr>
                <w:sz w:val="20"/>
                <w:szCs w:val="20"/>
                <w:color w:val="auto"/>
              </w:rPr>
            </w:pPr>
            <w:r>
              <w:rPr>
                <w:rFonts w:ascii="Arial" w:cs="Arial" w:eastAsia="Arial" w:hAnsi="Arial"/>
                <w:sz w:val="16"/>
                <w:szCs w:val="16"/>
                <w:color w:val="auto"/>
              </w:rPr>
              <w:t>&amp;mda sh;</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0.03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0.04</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0.05</w:t>
            </w:r>
          </w:p>
        </w:tc>
        <w:tc>
          <w:tcPr>
            <w:tcW w:w="5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0.05</w:t>
            </w:r>
          </w:p>
        </w:tc>
      </w:tr>
      <w:tr>
        <w:trPr>
          <w:trHeight w:val="252"/>
        </w:trPr>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0.03</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0.05</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0.05</w:t>
            </w:r>
          </w:p>
        </w:tc>
      </w:tr>
      <w:tr>
        <w:trPr>
          <w:trHeight w:val="245"/>
        </w:trPr>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5"/>
        </w:trPr>
        <w:tc>
          <w:tcPr>
            <w:tcW w:w="1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(0.02)</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45"/>
        </w:trPr>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(0.02)</w:t>
            </w: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8"/>
        </w:trPr>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8"/>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6"/>
                <w:szCs w:val="16"/>
                <w:color w:val="auto"/>
              </w:rPr>
              <w:t>&lt; font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6"/>
                <w:szCs w:val="16"/>
                <w:color w:val="auto"/>
              </w:rPr>
              <w:t>style="font-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&lt;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6"/>
                <w:szCs w:val="16"/>
                <w:color w:val="auto"/>
              </w:rPr>
              <w:t>family:Arial;font-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3"/>
        </w:trPr>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1.39/div&gt;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1.95</w:t>
            </w:r>
          </w:p>
        </w:tc>
        <w:tc>
          <w:tcPr>
            <w:tcW w:w="19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180"/>
              <w:spacing w:after="0"/>
              <w:rPr>
                <w:sz w:val="20"/>
                <w:szCs w:val="20"/>
                <w:color w:val="auto"/>
              </w:rPr>
            </w:pPr>
            <w:r>
              <w:rPr>
                <w:rFonts w:ascii="Arial" w:cs="Arial" w:eastAsia="Arial" w:hAnsi="Arial"/>
                <w:sz w:val="16"/>
                <w:szCs w:val="16"/>
                <w:color w:val="auto"/>
              </w:rPr>
              <w:t>size:10pt;"&gt;1.38</w:t>
            </w:r>
          </w:p>
        </w:tc>
        <w:tc>
          <w:tcPr>
            <w:tcW w:w="460" w:type="dxa"/>
            <w:vAlign w:val="bottom"/>
            <w:gridSpan w:val="2"/>
          </w:tcPr>
          <w:p>
            <w:pPr>
              <w:ind w:left="3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20"/>
                <w:szCs w:val="20"/>
                <w:color w:val="auto"/>
              </w:rPr>
            </w:pPr>
          </w:p>
        </w:tc>
        <w:tc>
          <w:tcPr>
            <w:tcW w:w="520" w:type="dxa"/>
            <w:vAlign w:val="bottom"/>
          </w:tcPr>
          <w:p>
            <w:pPr>
              <w:ind w:left="3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1.06</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1.17</w:t>
            </w:r>
          </w:p>
        </w:tc>
      </w:tr>
      <w:tr>
        <w:trPr>
          <w:trHeight w:val="239"/>
        </w:trPr>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1.92</w:t>
            </w:r>
          </w:p>
        </w:tc>
        <w:tc>
          <w:tcPr>
            <w:tcW w:w="1960" w:type="dxa"/>
            <w:vAlign w:val="bottom"/>
            <w:tcBorders>
              <w:bottom w:val="single" w:sz="8" w:color="auto"/>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w:t>
            </w: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1.04</w:t>
            </w:r>
          </w:p>
        </w:tc>
        <w:tc>
          <w:tcPr>
            <w:tcW w:w="5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w:t>
            </w:r>
          </w:p>
        </w:tc>
      </w:tr>
      <w:tr>
        <w:trPr>
          <w:trHeight w:val="244"/>
        </w:trPr>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5"/>
        </w:trPr>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32,265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33,382</w:t>
            </w:r>
          </w:p>
        </w:tc>
        <w:tc>
          <w:tcPr>
            <w:tcW w:w="180" w:type="dxa"/>
            <w:vAlign w:val="bottom"/>
          </w:tcPr>
          <w:p>
            <w:pPr>
              <w:spacing w:after="0"/>
              <w:rPr>
                <w:sz w:val="21"/>
                <w:szCs w:val="21"/>
                <w:color w:val="auto"/>
              </w:rPr>
            </w:pP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34,214</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36,974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518"/>
              <w:spacing w:after="0"/>
              <w:rPr>
                <w:sz w:val="20"/>
                <w:szCs w:val="20"/>
                <w:color w:val="auto"/>
              </w:rPr>
            </w:pPr>
            <w:r>
              <w:rPr>
                <w:rFonts w:ascii="Arial" w:cs="Arial" w:eastAsia="Arial" w:hAnsi="Arial"/>
                <w:sz w:val="16"/>
                <w:szCs w:val="16"/>
                <w:color w:val="auto"/>
                <w:w w:val="98"/>
              </w:rPr>
              <w:t>39,898</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41,470</w:t>
            </w: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43,360</w:t>
            </w:r>
          </w:p>
        </w:tc>
        <w:tc>
          <w:tcPr>
            <w:tcW w:w="60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&amp;nb</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7"/>
        </w:trPr>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32,550</w:t>
            </w:r>
          </w:p>
        </w:tc>
        <w:tc>
          <w:tcPr>
            <w:tcW w:w="10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33,812</w:t>
            </w: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34,789</w:t>
            </w:r>
          </w:p>
        </w:tc>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sp;</w:t>
            </w:r>
          </w:p>
        </w:tc>
        <w:tc>
          <w:tcPr>
            <w:tcW w:w="3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37,636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40,768</w:t>
            </w:r>
          </w:p>
        </w:tc>
        <w:tc>
          <w:tcPr>
            <w:tcW w:w="5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42,080</w:t>
            </w:r>
          </w:p>
        </w:tc>
        <w:tc>
          <w:tcPr>
            <w:tcW w:w="5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44,022</w:t>
            </w:r>
          </w:p>
        </w:tc>
      </w:tr>
      <w:tr>
        <w:trPr>
          <w:trHeight w:val="252"/>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0.28</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0.10</w:t>
            </w:r>
          </w:p>
        </w:tc>
        <w:tc>
          <w:tcPr>
            <w:tcW w:w="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0.10</w:t>
            </w:r>
          </w:p>
        </w:tc>
      </w:tr>
      <w:tr>
        <w:trPr>
          <w:trHeight w:val="239"/>
        </w:trPr>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7.15</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5.78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4.81</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5.00</w:t>
            </w:r>
          </w:p>
        </w:tc>
        <w:tc>
          <w:tcPr>
            <w:tcW w:w="5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4.11</w:t>
            </w:r>
          </w:p>
        </w:tc>
      </w:tr>
      <w:tr>
        <w:trPr>
          <w:trHeight w:val="252"/>
        </w:trPr>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16.1%</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r>
      <w:tr>
        <w:trPr>
          <w:trHeight w:val="245"/>
        </w:trPr>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29.7%</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34.4%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25.6%</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28.2%</w:t>
            </w:r>
          </w:p>
        </w:tc>
        <w:tc>
          <w:tcPr>
            <w:tcW w:w="5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22.3%</w:t>
            </w:r>
          </w:p>
        </w:tc>
        <w:tc>
          <w:tcPr>
            <w:tcW w:w="5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29.8%</w:t>
            </w:r>
          </w:p>
        </w:tc>
      </w:tr>
      <w:tr>
        <w:trPr>
          <w:trHeight w:val="245"/>
        </w:trPr>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29.1%</w:t>
            </w: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24.1%</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28.2%</w:t>
            </w:r>
          </w:p>
        </w:tc>
      </w:tr>
      <w:tr>
        <w:trPr>
          <w:trHeight w:val="245"/>
        </w:trPr>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11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r>
      <w:tr>
        <w:trPr>
          <w:trHeight w:val="245"/>
        </w:trPr>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6,674</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8,108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6,705</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6,725</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5,666</w:t>
            </w:r>
          </w:p>
        </w:tc>
        <w:tc>
          <w:tcPr>
            <w:tcW w:w="20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6,819</w:t>
            </w:r>
          </w:p>
        </w:tc>
      </w:tr>
      <w:tr>
        <w:trPr>
          <w:trHeight w:val="239"/>
        </w:trPr>
        <w:tc>
          <w:tcPr>
            <w:tcW w:w="120" w:type="dxa"/>
            <w:vAlign w:val="bottom"/>
          </w:tcPr>
          <w:p>
            <w:pPr>
              <w:spacing w:after="0"/>
              <w:rPr>
                <w:sz w:val="20"/>
                <w:szCs w:val="20"/>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308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763</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703</w:t>
            </w:r>
          </w:p>
        </w:tc>
        <w:tc>
          <w:tcPr>
            <w:tcW w:w="5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854</w:t>
            </w:r>
          </w:p>
        </w:tc>
      </w:tr>
      <w:tr>
        <w:trPr>
          <w:trHeight w:val="245"/>
        </w:trPr>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5,388</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3,963</w:t>
            </w:r>
          </w:p>
        </w:tc>
        <w:tc>
          <w:tcPr>
            <w:tcW w:w="1960" w:type="dxa"/>
            <w:vAlign w:val="bottom"/>
            <w:tcBorders>
              <w:bottom w:val="single" w:sz="8" w:color="auto"/>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4,408</w:t>
            </w: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4,329</w:t>
            </w:r>
          </w:p>
        </w:tc>
        <w:tc>
          <w:tcPr>
            <w:tcW w:w="5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3,410</w:t>
            </w:r>
          </w:p>
        </w:tc>
        <w:tc>
          <w:tcPr>
            <w:tcW w:w="5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3,697</w:t>
            </w:r>
          </w:p>
        </w:tc>
      </w:tr>
      <w:tr>
        <w:trPr>
          <w:trHeight w:val="244"/>
        </w:trPr>
        <w:tc>
          <w:tcPr>
            <w:tcW w:w="120" w:type="dxa"/>
            <w:vAlign w:val="bottom"/>
          </w:tcPr>
          <w:p>
            <w:pPr>
              <w:spacing w:after="0"/>
              <w:rPr>
                <w:sz w:val="21"/>
                <w:szCs w:val="21"/>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9,843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10,637</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12,516</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11,034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11,817</w:t>
            </w:r>
          </w:p>
        </w:tc>
        <w:tc>
          <w:tcPr>
            <w:tcW w:w="520" w:type="dxa"/>
            <w:vAlign w:val="bottom"/>
          </w:tcPr>
          <w:p>
            <w:pPr>
              <w:ind w:left="100"/>
              <w:spacing w:after="0"/>
              <w:rPr>
                <w:sz w:val="20"/>
                <w:szCs w:val="20"/>
                <w:color w:val="auto"/>
              </w:rPr>
            </w:pPr>
            <w:r>
              <w:rPr>
                <w:rFonts w:ascii="Arial" w:cs="Arial" w:eastAsia="Arial" w:hAnsi="Arial"/>
                <w:sz w:val="16"/>
                <w:szCs w:val="16"/>
                <w:color w:val="auto"/>
                <w:w w:val="99"/>
              </w:rPr>
              <w:t>9,779</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11,370</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8"/>
        </w:trPr>
        <w:tc>
          <w:tcPr>
            <w:tcW w:w="720" w:type="dxa"/>
            <w:vAlign w:val="bottom"/>
            <w:gridSpan w:val="2"/>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spacing w:after="0"/>
              <w:rPr>
                <w:sz w:val="22"/>
                <w:szCs w:val="22"/>
                <w:color w:val="auto"/>
              </w:rPr>
            </w:pPr>
          </w:p>
        </w:tc>
        <w:tc>
          <w:tcPr>
            <w:tcW w:w="19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spacing w:after="0"/>
              <w:rPr>
                <w:sz w:val="22"/>
                <w:szCs w:val="22"/>
                <w:color w:val="auto"/>
              </w:rPr>
            </w:pPr>
          </w:p>
        </w:tc>
        <w:tc>
          <w:tcPr>
            <w:tcW w:w="1100" w:type="dxa"/>
            <w:vAlign w:val="bottom"/>
            <w:gridSpan w:val="2"/>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260" w:type="dxa"/>
            <w:vAlign w:val="bottom"/>
            <w:gridSpan w:val="3"/>
            <w:shd w:val="clear" w:color="auto" w:fill="CCEEFF"/>
          </w:tcPr>
          <w:p>
            <w:pPr>
              <w:spacing w:after="0"/>
              <w:rPr>
                <w:sz w:val="22"/>
                <w:szCs w:val="22"/>
                <w:color w:val="auto"/>
              </w:rPr>
            </w:pPr>
          </w:p>
        </w:tc>
      </w:tr>
      <w:tr>
        <w:trPr>
          <w:trHeight w:val="245"/>
        </w:trPr>
        <w:tc>
          <w:tcPr>
            <w:tcW w:w="7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3"/>
          </w:tcPr>
          <w:p>
            <w:pPr>
              <w:spacing w:after="0"/>
              <w:rPr>
                <w:sz w:val="21"/>
                <w:szCs w:val="21"/>
                <w:color w:val="auto"/>
              </w:rPr>
            </w:pPr>
          </w:p>
        </w:tc>
        <w:tc>
          <w:tcPr>
            <w:tcW w:w="11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r>
      <w:tr>
        <w:trPr>
          <w:trHeight w:val="245"/>
        </w:trPr>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$384,715</w:t>
            </w:r>
          </w:p>
        </w:tc>
        <w:tc>
          <w:tcPr>
            <w:tcW w:w="100" w:type="dxa"/>
            <w:vAlign w:val="bottom"/>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412,960</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394,556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377,462</w:t>
            </w:r>
          </w:p>
        </w:tc>
        <w:tc>
          <w:tcPr>
            <w:tcW w:w="20" w:type="dxa"/>
            <w:vAlign w:val="bottom"/>
            <w:shd w:val="clear" w:color="auto" w:fill="CCEEFF"/>
          </w:tcPr>
          <w:p>
            <w:pPr>
              <w:spacing w:after="0"/>
              <w:rPr>
                <w:sz w:val="21"/>
                <w:szCs w:val="21"/>
                <w:color w:val="auto"/>
              </w:rPr>
            </w:pPr>
          </w:p>
        </w:tc>
        <w:tc>
          <w:tcPr>
            <w:tcW w:w="12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$ 337,077</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$ 351,922</w:t>
            </w:r>
          </w:p>
        </w:tc>
        <w:tc>
          <w:tcPr>
            <w:tcW w:w="200" w:type="dxa"/>
            <w:vAlign w:val="bottom"/>
            <w:tcBorders>
              <w:right w:val="single" w:sz="8" w:color="CCEEFF"/>
            </w:tcBorders>
          </w:tcPr>
          <w:p>
            <w:pPr>
              <w:spacing w:after="0"/>
              <w:rPr>
                <w:sz w:val="21"/>
                <w:szCs w:val="21"/>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$ 308,686</w:t>
            </w:r>
          </w:p>
        </w:tc>
      </w:tr>
      <w:tr>
        <w:trPr>
          <w:trHeight w:val="239"/>
        </w:trPr>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218,322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235,887</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201,875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210,626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179,815</w:t>
            </w:r>
          </w:p>
        </w:tc>
        <w:tc>
          <w:tcPr>
            <w:tcW w:w="5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207,464</w:t>
            </w:r>
          </w:p>
        </w:tc>
        <w:tc>
          <w:tcPr>
            <w:tcW w:w="5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174,909</w:t>
            </w:r>
          </w:p>
        </w:tc>
      </w:tr>
      <w:tr>
        <w:trPr>
          <w:trHeight w:val="252"/>
        </w:trPr>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884,789</w:t>
            </w:r>
          </w:p>
        </w:tc>
        <w:tc>
          <w:tcPr>
            <w:tcW w:w="360" w:type="dxa"/>
            <w:vAlign w:val="bottom"/>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1,073,165</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1,071,570</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898,010</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713,500</w:t>
            </w: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581,779</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272,733</w:t>
            </w:r>
          </w:p>
        </w:tc>
      </w:tr>
      <w:tr>
        <w:trPr>
          <w:trHeight w:val="208"/>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&lt; div</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w w:val="96"/>
              </w:rPr>
              <w:t>style="overflow:hidden;font-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7"/>
        </w:trPr>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187,038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197,469</w:t>
            </w:r>
          </w:p>
        </w:tc>
        <w:tc>
          <w:tcPr>
            <w:tcW w:w="1960" w:type="dxa"/>
            <w:vAlign w:val="bottom"/>
          </w:tcPr>
          <w:p>
            <w:pPr>
              <w:ind w:left="20"/>
              <w:spacing w:after="0"/>
              <w:rPr>
                <w:sz w:val="20"/>
                <w:szCs w:val="20"/>
                <w:color w:val="auto"/>
              </w:rPr>
            </w:pPr>
            <w:r>
              <w:rPr>
                <w:rFonts w:ascii="Arial" w:cs="Arial" w:eastAsia="Arial" w:hAnsi="Arial"/>
                <w:sz w:val="16"/>
                <w:szCs w:val="16"/>
                <w:color w:val="auto"/>
              </w:rPr>
              <w:t>size:10pt;"&gt;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164,175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164,017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144,303</w:t>
            </w:r>
          </w:p>
        </w:tc>
        <w:tc>
          <w:tcPr>
            <w:tcW w:w="5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173,677</w:t>
            </w:r>
          </w:p>
        </w:tc>
        <w:tc>
          <w:tcPr>
            <w:tcW w:w="5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141,096</w:t>
            </w:r>
          </w:p>
        </w:tc>
      </w:tr>
      <w:tr>
        <w:trPr>
          <w:trHeight w:val="252"/>
        </w:trPr>
        <w:tc>
          <w:tcPr>
            <w:tcW w:w="1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3.3 to 1</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 to 1</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to 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1000"/>
              <w:spacing w:after="0"/>
              <w:rPr>
                <w:sz w:val="20"/>
                <w:szCs w:val="20"/>
                <w:color w:val="auto"/>
              </w:rPr>
            </w:pPr>
            <w:r>
              <w:rPr>
                <w:rFonts w:ascii="Arial" w:cs="Arial" w:eastAsia="Arial" w:hAnsi="Arial"/>
                <w:sz w:val="16"/>
                <w:szCs w:val="16"/>
                <w:color w:val="auto"/>
              </w:rPr>
              <w:t>2.8 to 1</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to 1</w:t>
            </w: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 to 1</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to 1</w:t>
            </w:r>
          </w:p>
        </w:tc>
      </w:tr>
      <w:tr>
        <w:trPr>
          <w:trHeight w:val="239"/>
        </w:trPr>
        <w:tc>
          <w:tcPr>
            <w:tcW w:w="720" w:type="dxa"/>
            <w:vAlign w:val="bottom"/>
            <w:gridSpan w:val="2"/>
          </w:tcPr>
          <w:p>
            <w:pPr>
              <w:ind w:left="20"/>
              <w:spacing w:after="0"/>
              <w:rPr>
                <w:sz w:val="20"/>
                <w:szCs w:val="20"/>
                <w:color w:val="auto"/>
              </w:rPr>
            </w:pPr>
            <w:r>
              <w:rPr>
                <w:rFonts w:ascii="Arial" w:cs="Arial" w:eastAsia="Arial" w:hAnsi="Arial"/>
                <w:sz w:val="16"/>
                <w:szCs w:val="16"/>
                <w:color w:val="auto"/>
              </w:rPr>
              <w:t>3,150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3,610</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4,220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3,750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3,685</w:t>
            </w:r>
          </w:p>
        </w:tc>
        <w:tc>
          <w:tcPr>
            <w:tcW w:w="5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3,325</w:t>
            </w:r>
          </w:p>
        </w:tc>
        <w:tc>
          <w:tcPr>
            <w:tcW w:w="5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3,300</w:t>
            </w:r>
          </w:p>
        </w:tc>
      </w:tr>
      <w:tr>
        <w:trPr>
          <w:trHeight w:val="252"/>
        </w:trPr>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4,794</w:t>
            </w:r>
          </w:p>
        </w:tc>
        <w:tc>
          <w:tcPr>
            <w:tcW w:w="19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4,978</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3,945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4,000</w:t>
            </w:r>
          </w:p>
        </w:tc>
        <w:tc>
          <w:tcPr>
            <w:tcW w:w="5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3,549</w:t>
            </w:r>
          </w:p>
        </w:tc>
        <w:tc>
          <w:tcPr>
            <w:tcW w:w="5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3,756</w:t>
            </w:r>
          </w:p>
        </w:tc>
      </w:tr>
    </w:tbl>
    <w:p>
      <w:pPr>
        <w:spacing w:after="0" w:line="138" w:lineRule="exact"/>
        <w:rPr>
          <w:sz w:val="20"/>
          <w:szCs w:val="20"/>
          <w:color w:val="auto"/>
        </w:rPr>
      </w:pPr>
    </w:p>
    <w:p>
      <w:pPr>
        <w:ind w:left="302" w:hanging="302"/>
        <w:spacing w:after="0"/>
        <w:tabs>
          <w:tab w:leader="none" w:pos="302" w:val="left"/>
        </w:tabs>
        <w:numPr>
          <w:ilvl w:val="0"/>
          <w:numId w:val="47"/>
        </w:numPr>
        <w:rPr>
          <w:rFonts w:ascii="Arial" w:cs="Arial" w:eastAsia="Arial" w:hAnsi="Arial"/>
          <w:sz w:val="8"/>
          <w:szCs w:val="8"/>
          <w:i w:val="1"/>
          <w:iCs w:val="1"/>
          <w:color w:val="auto"/>
        </w:rPr>
      </w:pPr>
      <w:r>
        <w:rPr>
          <w:rFonts w:ascii="Arial" w:cs="Arial" w:eastAsia="Arial" w:hAnsi="Arial"/>
          <w:sz w:val="13"/>
          <w:szCs w:val="13"/>
          <w:i w:val="1"/>
          <w:iCs w:val="1"/>
          <w:color w:val="auto"/>
        </w:rPr>
        <w:t>Includes discontinued operations of Winnebago Acceptance Corporation for all years presented.</w:t>
      </w:r>
    </w:p>
    <w:p>
      <w:pPr>
        <w:spacing w:after="0" w:line="11" w:lineRule="exact"/>
        <w:rPr>
          <w:rFonts w:ascii="Arial" w:cs="Arial" w:eastAsia="Arial" w:hAnsi="Arial"/>
          <w:sz w:val="8"/>
          <w:szCs w:val="8"/>
          <w:i w:val="1"/>
          <w:iCs w:val="1"/>
          <w:color w:val="auto"/>
        </w:rPr>
      </w:pPr>
    </w:p>
    <w:p>
      <w:pPr>
        <w:ind w:left="302" w:hanging="302"/>
        <w:spacing w:after="0" w:line="236" w:lineRule="auto"/>
        <w:tabs>
          <w:tab w:leader="none" w:pos="302" w:val="left"/>
        </w:tabs>
        <w:numPr>
          <w:ilvl w:val="0"/>
          <w:numId w:val="47"/>
        </w:numPr>
        <w:rPr>
          <w:rFonts w:ascii="Arial" w:cs="Arial" w:eastAsia="Arial" w:hAnsi="Arial"/>
          <w:sz w:val="8"/>
          <w:szCs w:val="8"/>
          <w:i w:val="1"/>
          <w:iCs w:val="1"/>
          <w:color w:val="auto"/>
        </w:rPr>
      </w:pPr>
      <w:r>
        <w:rPr>
          <w:rFonts w:ascii="Arial" w:cs="Arial" w:eastAsia="Arial" w:hAnsi="Arial"/>
          <w:sz w:val="13"/>
          <w:szCs w:val="13"/>
          <w:i w:val="1"/>
          <w:iCs w:val="1"/>
          <w:color w:val="auto"/>
        </w:rPr>
        <w:t>ROE - Current period net income divided by average equity balance using current and previous ending periods.</w:t>
      </w:r>
    </w:p>
    <w:p>
      <w:pPr>
        <w:ind w:left="302" w:hanging="302"/>
        <w:spacing w:after="0"/>
        <w:tabs>
          <w:tab w:leader="none" w:pos="302" w:val="left"/>
        </w:tabs>
        <w:numPr>
          <w:ilvl w:val="0"/>
          <w:numId w:val="47"/>
        </w:numPr>
        <w:rPr>
          <w:rFonts w:ascii="Arial" w:cs="Arial" w:eastAsia="Arial" w:hAnsi="Arial"/>
          <w:sz w:val="8"/>
          <w:szCs w:val="8"/>
          <w:i w:val="1"/>
          <w:iCs w:val="1"/>
          <w:color w:val="auto"/>
        </w:rPr>
      </w:pPr>
      <w:r>
        <w:rPr>
          <w:rFonts w:ascii="Arial" w:cs="Arial" w:eastAsia="Arial" w:hAnsi="Arial"/>
          <w:sz w:val="13"/>
          <w:szCs w:val="13"/>
          <w:i w:val="1"/>
          <w:iCs w:val="1"/>
          <w:color w:val="auto"/>
        </w:rPr>
        <w:t>ROIC - Current period net income divided by average invested capital (total assets minus cash, short-term and long-term investments and noninterest liabilities) using current ending periods.</w:t>
      </w:r>
    </w:p>
    <w:p>
      <w:pPr>
        <w:sectPr>
          <w:pgSz w:w="11900" w:h="16838" w:orient="portrait"/>
          <w:cols w:equalWidth="0" w:num="1">
            <w:col w:w="11522"/>
          </w:cols>
          <w:pgMar w:left="238" w:top="153" w:right="139" w:bottom="1440" w:gutter="0" w:footer="0" w:header="0"/>
        </w:sectPr>
      </w:pPr>
    </w:p>
    <w:p>
      <w:pPr>
        <w:spacing w:after="0" w:line="167" w:lineRule="exact"/>
        <w:rPr>
          <w:sz w:val="20"/>
          <w:szCs w:val="20"/>
          <w:color w:val="auto"/>
        </w:rPr>
      </w:pPr>
    </w:p>
    <w:p>
      <w:pPr>
        <w:jc w:val="center"/>
        <w:ind w:right="78"/>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522"/>
          </w:cols>
          <w:pgMar w:left="238" w:top="153" w:right="139" w:bottom="1440" w:gutter="0" w:footer="0" w:header="0"/>
          <w:type w:val="continuous"/>
        </w:sectPr>
      </w:pPr>
    </w:p>
    <w:bookmarkStart w:id="56" w:name="page57"/>
    <w:bookmarkEnd w:id="5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97"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BOARD OF DIRECTORS</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Robert J. Olson (59)</w:t>
      </w:r>
    </w:p>
    <w:p>
      <w:pPr>
        <w:ind w:left="140"/>
        <w:spacing w:after="0" w:line="232" w:lineRule="auto"/>
        <w:rPr>
          <w:sz w:val="20"/>
          <w:szCs w:val="20"/>
          <w:color w:val="auto"/>
        </w:rPr>
      </w:pPr>
      <w:r>
        <w:rPr>
          <w:rFonts w:ascii="Arial" w:cs="Arial" w:eastAsia="Arial" w:hAnsi="Arial"/>
          <w:sz w:val="11"/>
          <w:szCs w:val="11"/>
          <w:color w:val="auto"/>
        </w:rPr>
        <w:t>Chairman of the Board,</w:t>
      </w:r>
    </w:p>
    <w:p>
      <w:pPr>
        <w:ind w:left="140"/>
        <w:spacing w:after="0" w:line="233" w:lineRule="auto"/>
        <w:rPr>
          <w:sz w:val="20"/>
          <w:szCs w:val="20"/>
          <w:color w:val="auto"/>
        </w:rPr>
      </w:pPr>
      <w:r>
        <w:rPr>
          <w:rFonts w:ascii="Arial" w:cs="Arial" w:eastAsia="Arial" w:hAnsi="Arial"/>
          <w:sz w:val="11"/>
          <w:szCs w:val="11"/>
          <w:color w:val="auto"/>
        </w:rPr>
        <w:t>Chief Executive Officer and President</w:t>
      </w:r>
    </w:p>
    <w:p>
      <w:pPr>
        <w:ind w:left="140"/>
        <w:spacing w:after="0"/>
        <w:rPr>
          <w:sz w:val="20"/>
          <w:szCs w:val="20"/>
          <w:color w:val="auto"/>
        </w:rPr>
      </w:pPr>
      <w:r>
        <w:rPr>
          <w:rFonts w:ascii="Arial" w:cs="Arial" w:eastAsia="Arial" w:hAnsi="Arial"/>
          <w:sz w:val="11"/>
          <w:szCs w:val="11"/>
          <w:color w:val="auto"/>
        </w:rPr>
        <w:t>Winnebago Industries, Inc.</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Irvin E. Aal (71) 1,2</w:t>
      </w:r>
    </w:p>
    <w:p>
      <w:pPr>
        <w:ind w:left="140"/>
        <w:spacing w:after="0" w:line="232" w:lineRule="auto"/>
        <w:rPr>
          <w:sz w:val="20"/>
          <w:szCs w:val="20"/>
          <w:color w:val="auto"/>
        </w:rPr>
      </w:pPr>
      <w:r>
        <w:rPr>
          <w:rFonts w:ascii="Arial" w:cs="Arial" w:eastAsia="Arial" w:hAnsi="Arial"/>
          <w:sz w:val="11"/>
          <w:szCs w:val="11"/>
          <w:color w:val="auto"/>
        </w:rPr>
        <w:t>Former General Manager</w:t>
      </w:r>
    </w:p>
    <w:p>
      <w:pPr>
        <w:ind w:left="140"/>
        <w:spacing w:after="0"/>
        <w:rPr>
          <w:sz w:val="20"/>
          <w:szCs w:val="20"/>
          <w:color w:val="auto"/>
        </w:rPr>
      </w:pPr>
      <w:r>
        <w:rPr>
          <w:rFonts w:ascii="Arial" w:cs="Arial" w:eastAsia="Arial" w:hAnsi="Arial"/>
          <w:sz w:val="11"/>
          <w:szCs w:val="11"/>
          <w:color w:val="auto"/>
        </w:rPr>
        <w:t>Case Tyler Business Unit of CNH Global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Robert M. Chiusano (59) 1,2</w:t>
      </w:r>
    </w:p>
    <w:p>
      <w:pPr>
        <w:ind w:left="140"/>
        <w:spacing w:after="0" w:line="232" w:lineRule="auto"/>
        <w:rPr>
          <w:sz w:val="20"/>
          <w:szCs w:val="20"/>
          <w:color w:val="auto"/>
        </w:rPr>
      </w:pPr>
      <w:r>
        <w:rPr>
          <w:rFonts w:ascii="Arial" w:cs="Arial" w:eastAsia="Arial" w:hAnsi="Arial"/>
          <w:sz w:val="11"/>
          <w:szCs w:val="11"/>
          <w:color w:val="auto"/>
        </w:rPr>
        <w:t>Former Executive Vice President and Chief</w:t>
      </w:r>
    </w:p>
    <w:p>
      <w:pPr>
        <w:ind w:left="140"/>
        <w:spacing w:after="0" w:line="233" w:lineRule="auto"/>
        <w:rPr>
          <w:sz w:val="20"/>
          <w:szCs w:val="20"/>
          <w:color w:val="auto"/>
        </w:rPr>
      </w:pPr>
      <w:r>
        <w:rPr>
          <w:rFonts w:ascii="Arial" w:cs="Arial" w:eastAsia="Arial" w:hAnsi="Arial"/>
          <w:sz w:val="11"/>
          <w:szCs w:val="11"/>
          <w:color w:val="auto"/>
        </w:rPr>
        <w:t>Operating Officer - Commercial Systems</w:t>
      </w:r>
    </w:p>
    <w:p>
      <w:pPr>
        <w:ind w:left="140"/>
        <w:spacing w:after="0"/>
        <w:rPr>
          <w:sz w:val="20"/>
          <w:szCs w:val="20"/>
          <w:color w:val="auto"/>
        </w:rPr>
      </w:pPr>
      <w:r>
        <w:rPr>
          <w:rFonts w:ascii="Arial" w:cs="Arial" w:eastAsia="Arial" w:hAnsi="Arial"/>
          <w:sz w:val="11"/>
          <w:szCs w:val="11"/>
          <w:color w:val="auto"/>
        </w:rPr>
        <w:t>Rockwell Collins, Inc.</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Jerry N. Currie (65) 3</w:t>
      </w:r>
    </w:p>
    <w:p>
      <w:pPr>
        <w:ind w:left="140"/>
        <w:spacing w:after="0" w:line="232" w:lineRule="auto"/>
        <w:rPr>
          <w:sz w:val="20"/>
          <w:szCs w:val="20"/>
          <w:color w:val="auto"/>
        </w:rPr>
      </w:pPr>
      <w:r>
        <w:rPr>
          <w:rFonts w:ascii="Arial" w:cs="Arial" w:eastAsia="Arial" w:hAnsi="Arial"/>
          <w:sz w:val="11"/>
          <w:szCs w:val="11"/>
          <w:color w:val="auto"/>
        </w:rPr>
        <w:t>President and Chief Executive Officer</w:t>
      </w:r>
    </w:p>
    <w:p>
      <w:pPr>
        <w:ind w:left="140"/>
        <w:spacing w:after="0" w:line="236" w:lineRule="auto"/>
        <w:rPr>
          <w:sz w:val="20"/>
          <w:szCs w:val="20"/>
          <w:color w:val="auto"/>
        </w:rPr>
      </w:pPr>
      <w:r>
        <w:rPr>
          <w:rFonts w:ascii="Arial" w:cs="Arial" w:eastAsia="Arial" w:hAnsi="Arial"/>
          <w:sz w:val="11"/>
          <w:szCs w:val="11"/>
          <w:color w:val="auto"/>
        </w:rPr>
        <w:t>CURRIES Company and GRAHAM</w:t>
      </w:r>
    </w:p>
    <w:p>
      <w:pPr>
        <w:ind w:left="240"/>
        <w:spacing w:after="0"/>
        <w:rPr>
          <w:sz w:val="20"/>
          <w:szCs w:val="20"/>
          <w:color w:val="auto"/>
        </w:rPr>
      </w:pPr>
      <w:r>
        <w:rPr>
          <w:rFonts w:ascii="Arial" w:cs="Arial" w:eastAsia="Arial" w:hAnsi="Arial"/>
          <w:sz w:val="11"/>
          <w:szCs w:val="11"/>
          <w:color w:val="auto"/>
        </w:rPr>
        <w:t>Manufacturing</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1"/>
          <w:szCs w:val="11"/>
          <w:color w:val="auto"/>
        </w:rPr>
        <w:t>Joseph W. England (70) 1</w:t>
      </w:r>
    </w:p>
    <w:p>
      <w:pPr>
        <w:ind w:left="140"/>
        <w:spacing w:after="0" w:line="232" w:lineRule="auto"/>
        <w:rPr>
          <w:sz w:val="20"/>
          <w:szCs w:val="20"/>
          <w:color w:val="auto"/>
        </w:rPr>
      </w:pPr>
      <w:r>
        <w:rPr>
          <w:rFonts w:ascii="Arial" w:cs="Arial" w:eastAsia="Arial" w:hAnsi="Arial"/>
          <w:sz w:val="11"/>
          <w:szCs w:val="11"/>
          <w:color w:val="auto"/>
        </w:rPr>
        <w:t>Former Senior Vice President</w:t>
      </w:r>
    </w:p>
    <w:p>
      <w:pPr>
        <w:ind w:left="140"/>
        <w:spacing w:after="0"/>
        <w:rPr>
          <w:sz w:val="20"/>
          <w:szCs w:val="20"/>
          <w:color w:val="auto"/>
        </w:rPr>
      </w:pPr>
      <w:r>
        <w:rPr>
          <w:rFonts w:ascii="Arial" w:cs="Arial" w:eastAsia="Arial" w:hAnsi="Arial"/>
          <w:sz w:val="11"/>
          <w:szCs w:val="11"/>
          <w:color w:val="auto"/>
        </w:rPr>
        <w:t>Deere &amp; Company</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Lawrence A. Erickson (61) 1*,2</w:t>
      </w:r>
    </w:p>
    <w:p>
      <w:pPr>
        <w:ind w:left="140"/>
        <w:spacing w:after="0" w:line="232" w:lineRule="auto"/>
        <w:rPr>
          <w:sz w:val="20"/>
          <w:szCs w:val="20"/>
          <w:color w:val="auto"/>
        </w:rPr>
      </w:pPr>
      <w:r>
        <w:rPr>
          <w:rFonts w:ascii="Arial" w:cs="Arial" w:eastAsia="Arial" w:hAnsi="Arial"/>
          <w:sz w:val="11"/>
          <w:szCs w:val="11"/>
          <w:color w:val="auto"/>
        </w:rPr>
        <w:t>Former Senior Vice President and Chief</w:t>
      </w:r>
    </w:p>
    <w:p>
      <w:pPr>
        <w:ind w:left="300"/>
        <w:spacing w:after="0" w:line="233" w:lineRule="auto"/>
        <w:rPr>
          <w:sz w:val="20"/>
          <w:szCs w:val="20"/>
          <w:color w:val="auto"/>
        </w:rPr>
      </w:pPr>
      <w:r>
        <w:rPr>
          <w:rFonts w:ascii="Arial" w:cs="Arial" w:eastAsia="Arial" w:hAnsi="Arial"/>
          <w:sz w:val="11"/>
          <w:szCs w:val="11"/>
          <w:color w:val="auto"/>
        </w:rPr>
        <w:t>Financial Officer</w:t>
      </w:r>
    </w:p>
    <w:p>
      <w:pPr>
        <w:ind w:left="140"/>
        <w:spacing w:after="0"/>
        <w:rPr>
          <w:sz w:val="20"/>
          <w:szCs w:val="20"/>
          <w:color w:val="auto"/>
        </w:rPr>
      </w:pPr>
      <w:r>
        <w:rPr>
          <w:rFonts w:ascii="Arial" w:cs="Arial" w:eastAsia="Arial" w:hAnsi="Arial"/>
          <w:sz w:val="11"/>
          <w:szCs w:val="11"/>
          <w:color w:val="auto"/>
        </w:rPr>
        <w:t>Rockwell Collins, Inc.</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John V. Hanson (68) 3*</w:t>
      </w:r>
    </w:p>
    <w:p>
      <w:pPr>
        <w:ind w:left="140"/>
        <w:spacing w:after="0" w:line="232" w:lineRule="auto"/>
        <w:rPr>
          <w:sz w:val="20"/>
          <w:szCs w:val="20"/>
          <w:color w:val="auto"/>
        </w:rPr>
      </w:pPr>
      <w:r>
        <w:rPr>
          <w:rFonts w:ascii="Arial" w:cs="Arial" w:eastAsia="Arial" w:hAnsi="Arial"/>
          <w:sz w:val="11"/>
          <w:szCs w:val="11"/>
          <w:color w:val="auto"/>
        </w:rPr>
        <w:t>Former Deputy Chairman of the Board</w:t>
      </w:r>
    </w:p>
    <w:p>
      <w:pPr>
        <w:ind w:left="140"/>
        <w:spacing w:after="0"/>
        <w:rPr>
          <w:sz w:val="20"/>
          <w:szCs w:val="20"/>
          <w:color w:val="auto"/>
        </w:rPr>
      </w:pPr>
      <w:r>
        <w:rPr>
          <w:rFonts w:ascii="Arial" w:cs="Arial" w:eastAsia="Arial" w:hAnsi="Arial"/>
          <w:sz w:val="11"/>
          <w:szCs w:val="11"/>
          <w:color w:val="auto"/>
        </w:rPr>
        <w:t>Winnebago Industries, Inc.</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Gerald C. Kitch (72) **,2*,3</w:t>
      </w:r>
    </w:p>
    <w:p>
      <w:pPr>
        <w:ind w:left="140"/>
        <w:spacing w:after="0" w:line="232" w:lineRule="auto"/>
        <w:rPr>
          <w:sz w:val="20"/>
          <w:szCs w:val="20"/>
          <w:color w:val="auto"/>
        </w:rPr>
      </w:pPr>
      <w:r>
        <w:rPr>
          <w:rFonts w:ascii="Arial" w:cs="Arial" w:eastAsia="Arial" w:hAnsi="Arial"/>
          <w:sz w:val="11"/>
          <w:szCs w:val="11"/>
          <w:color w:val="auto"/>
        </w:rPr>
        <w:t>Former Executive Vice President</w:t>
      </w:r>
    </w:p>
    <w:p>
      <w:pPr>
        <w:ind w:left="140"/>
        <w:spacing w:after="0"/>
        <w:rPr>
          <w:sz w:val="20"/>
          <w:szCs w:val="20"/>
          <w:color w:val="auto"/>
        </w:rPr>
      </w:pPr>
      <w:r>
        <w:rPr>
          <w:rFonts w:ascii="Arial" w:cs="Arial" w:eastAsia="Arial" w:hAnsi="Arial"/>
          <w:sz w:val="11"/>
          <w:szCs w:val="11"/>
          <w:color w:val="auto"/>
        </w:rPr>
        <w:t>Pentair, Inc.</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Board Committee /Members</w:t>
      </w:r>
    </w:p>
    <w:p>
      <w:pPr>
        <w:ind w:left="280" w:hanging="135"/>
        <w:spacing w:after="0" w:line="232" w:lineRule="auto"/>
        <w:tabs>
          <w:tab w:leader="none" w:pos="2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Audit</w:t>
      </w:r>
    </w:p>
    <w:p>
      <w:pPr>
        <w:ind w:left="280" w:hanging="135"/>
        <w:spacing w:after="0" w:line="232" w:lineRule="auto"/>
        <w:tabs>
          <w:tab w:leader="none" w:pos="2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Human Resources</w:t>
      </w:r>
    </w:p>
    <w:p>
      <w:pPr>
        <w:ind w:left="140" w:right="1600" w:firstLine="5"/>
        <w:spacing w:after="0" w:line="232" w:lineRule="auto"/>
        <w:tabs>
          <w:tab w:leader="none" w:pos="267" w:val="left"/>
        </w:tabs>
        <w:numPr>
          <w:ilvl w:val="0"/>
          <w:numId w:val="48"/>
        </w:numPr>
        <w:rPr>
          <w:rFonts w:ascii="Arial" w:cs="Arial" w:eastAsia="Arial" w:hAnsi="Arial"/>
          <w:sz w:val="11"/>
          <w:szCs w:val="11"/>
          <w:color w:val="auto"/>
        </w:rPr>
      </w:pPr>
      <w:r>
        <w:rPr>
          <w:rFonts w:ascii="Arial" w:cs="Arial" w:eastAsia="Arial" w:hAnsi="Arial"/>
          <w:sz w:val="11"/>
          <w:szCs w:val="11"/>
          <w:color w:val="auto"/>
        </w:rPr>
        <w:t>Nominating and Governance * Committee Chairman</w:t>
      </w:r>
    </w:p>
    <w:p>
      <w:pPr>
        <w:ind w:left="140"/>
        <w:spacing w:after="0"/>
        <w:rPr>
          <w:rFonts w:ascii="Arial" w:cs="Arial" w:eastAsia="Arial" w:hAnsi="Arial"/>
          <w:sz w:val="11"/>
          <w:szCs w:val="11"/>
          <w:color w:val="auto"/>
        </w:rPr>
      </w:pPr>
      <w:r>
        <w:rPr>
          <w:rFonts w:ascii="Arial" w:cs="Arial" w:eastAsia="Arial" w:hAnsi="Arial"/>
          <w:sz w:val="11"/>
          <w:szCs w:val="11"/>
          <w:color w:val="auto"/>
        </w:rPr>
        <w:t>** Lead Independent Director</w:t>
      </w:r>
    </w:p>
    <w:p>
      <w:pPr>
        <w:spacing w:after="0" w:line="301"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OFFICERS</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Robert J. Olson (59)</w:t>
      </w:r>
    </w:p>
    <w:p>
      <w:pPr>
        <w:ind w:left="140"/>
        <w:spacing w:after="0" w:line="232" w:lineRule="auto"/>
        <w:rPr>
          <w:sz w:val="20"/>
          <w:szCs w:val="20"/>
          <w:color w:val="auto"/>
        </w:rPr>
      </w:pPr>
      <w:r>
        <w:rPr>
          <w:rFonts w:ascii="Arial" w:cs="Arial" w:eastAsia="Arial" w:hAnsi="Arial"/>
          <w:sz w:val="11"/>
          <w:szCs w:val="11"/>
          <w:color w:val="auto"/>
        </w:rPr>
        <w:t>Chairman of the Board,</w:t>
      </w:r>
    </w:p>
    <w:p>
      <w:pPr>
        <w:ind w:left="140"/>
        <w:spacing w:after="0"/>
        <w:rPr>
          <w:sz w:val="20"/>
          <w:szCs w:val="20"/>
          <w:color w:val="auto"/>
        </w:rPr>
      </w:pPr>
      <w:r>
        <w:rPr>
          <w:rFonts w:ascii="Arial" w:cs="Arial" w:eastAsia="Arial" w:hAnsi="Arial"/>
          <w:sz w:val="11"/>
          <w:szCs w:val="11"/>
          <w:color w:val="auto"/>
        </w:rPr>
        <w:t>Chief Executive Officer and President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Raymond M. Beebe (68)</w:t>
      </w:r>
    </w:p>
    <w:p>
      <w:pPr>
        <w:ind w:left="140"/>
        <w:spacing w:after="0"/>
        <w:rPr>
          <w:sz w:val="20"/>
          <w:szCs w:val="20"/>
          <w:color w:val="auto"/>
        </w:rPr>
      </w:pPr>
      <w:r>
        <w:rPr>
          <w:rFonts w:ascii="Arial" w:cs="Arial" w:eastAsia="Arial" w:hAnsi="Arial"/>
          <w:sz w:val="11"/>
          <w:szCs w:val="11"/>
          <w:color w:val="auto"/>
        </w:rPr>
        <w:t>Vice President, General Counsel and Secretary</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Robert J. Gossett (59)</w:t>
      </w:r>
    </w:p>
    <w:p>
      <w:pPr>
        <w:ind w:left="140"/>
        <w:spacing w:after="0"/>
        <w:rPr>
          <w:sz w:val="20"/>
          <w:szCs w:val="20"/>
          <w:color w:val="auto"/>
        </w:rPr>
      </w:pPr>
      <w:r>
        <w:rPr>
          <w:rFonts w:ascii="Arial" w:cs="Arial" w:eastAsia="Arial" w:hAnsi="Arial"/>
          <w:sz w:val="11"/>
          <w:szCs w:val="11"/>
          <w:color w:val="auto"/>
        </w:rPr>
        <w:t>Vice President, Administration</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Daryl W. Krieger (47)</w:t>
      </w:r>
    </w:p>
    <w:p>
      <w:pPr>
        <w:ind w:left="140"/>
        <w:spacing w:after="0"/>
        <w:rPr>
          <w:sz w:val="20"/>
          <w:szCs w:val="20"/>
          <w:color w:val="auto"/>
        </w:rPr>
      </w:pPr>
      <w:r>
        <w:rPr>
          <w:rFonts w:ascii="Arial" w:cs="Arial" w:eastAsia="Arial" w:hAnsi="Arial"/>
          <w:sz w:val="11"/>
          <w:szCs w:val="11"/>
          <w:color w:val="auto"/>
        </w:rPr>
        <w:t>Vice President, Manufacturing</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Roger W. Martin (50)</w:t>
      </w:r>
    </w:p>
    <w:p>
      <w:pPr>
        <w:ind w:left="140"/>
        <w:spacing w:after="0"/>
        <w:rPr>
          <w:sz w:val="20"/>
          <w:szCs w:val="20"/>
          <w:color w:val="auto"/>
        </w:rPr>
      </w:pPr>
      <w:r>
        <w:rPr>
          <w:rFonts w:ascii="Arial" w:cs="Arial" w:eastAsia="Arial" w:hAnsi="Arial"/>
          <w:sz w:val="11"/>
          <w:szCs w:val="11"/>
          <w:color w:val="auto"/>
        </w:rPr>
        <w:t>Vice President, Sales and Mar keting</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Sarah N. Nielsen (37)</w:t>
      </w:r>
    </w:p>
    <w:p>
      <w:pPr>
        <w:ind w:left="140"/>
        <w:spacing w:after="0"/>
        <w:rPr>
          <w:sz w:val="20"/>
          <w:szCs w:val="20"/>
          <w:color w:val="auto"/>
        </w:rPr>
      </w:pPr>
      <w:r>
        <w:rPr>
          <w:rFonts w:ascii="Arial" w:cs="Arial" w:eastAsia="Arial" w:hAnsi="Arial"/>
          <w:sz w:val="11"/>
          <w:szCs w:val="11"/>
          <w:color w:val="auto"/>
        </w:rPr>
        <w:t>Vice President, Chief Financial Officer</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William J. O'Leary (61)</w:t>
      </w:r>
    </w:p>
    <w:p>
      <w:pPr>
        <w:ind w:left="140"/>
        <w:spacing w:after="0"/>
        <w:rPr>
          <w:sz w:val="20"/>
          <w:szCs w:val="20"/>
          <w:color w:val="auto"/>
        </w:rPr>
      </w:pPr>
      <w:r>
        <w:rPr>
          <w:rFonts w:ascii="Arial" w:cs="Arial" w:eastAsia="Arial" w:hAnsi="Arial"/>
          <w:sz w:val="11"/>
          <w:szCs w:val="11"/>
          <w:color w:val="auto"/>
        </w:rPr>
        <w:t>Vice President, Product Development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Randy J. Potts (51)</w:t>
      </w:r>
    </w:p>
    <w:p>
      <w:pPr>
        <w:ind w:left="140"/>
        <w:spacing w:after="0"/>
        <w:rPr>
          <w:sz w:val="20"/>
          <w:szCs w:val="20"/>
          <w:color w:val="auto"/>
        </w:rPr>
      </w:pPr>
      <w:r>
        <w:rPr>
          <w:rFonts w:ascii="Arial" w:cs="Arial" w:eastAsia="Arial" w:hAnsi="Arial"/>
          <w:sz w:val="11"/>
          <w:szCs w:val="11"/>
          <w:color w:val="auto"/>
        </w:rPr>
        <w:t>Senior Vice President, Strategic Planning</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Donald L. Heidemann (38)</w:t>
      </w:r>
    </w:p>
    <w:p>
      <w:pPr>
        <w:ind w:left="140"/>
        <w:spacing w:after="0"/>
        <w:rPr>
          <w:sz w:val="20"/>
          <w:szCs w:val="20"/>
          <w:color w:val="auto"/>
        </w:rPr>
      </w:pPr>
      <w:r>
        <w:rPr>
          <w:rFonts w:ascii="Arial" w:cs="Arial" w:eastAsia="Arial" w:hAnsi="Arial"/>
          <w:sz w:val="11"/>
          <w:szCs w:val="11"/>
          <w:color w:val="auto"/>
        </w:rPr>
        <w:t>Treasurer</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Brian J. Hrubes (59)</w:t>
      </w:r>
    </w:p>
    <w:p>
      <w:pPr>
        <w:ind w:left="140"/>
        <w:spacing w:after="0"/>
        <w:rPr>
          <w:sz w:val="20"/>
          <w:szCs w:val="20"/>
          <w:color w:val="auto"/>
        </w:rPr>
      </w:pPr>
      <w:r>
        <w:rPr>
          <w:rFonts w:ascii="Arial" w:cs="Arial" w:eastAsia="Arial" w:hAnsi="Arial"/>
          <w:sz w:val="11"/>
          <w:szCs w:val="11"/>
          <w:color w:val="auto"/>
        </w:rPr>
        <w:t>Controller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SHAREHOLDER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Publications</w:t>
      </w:r>
    </w:p>
    <w:p>
      <w:pPr>
        <w:spacing w:after="0" w:line="10" w:lineRule="exact"/>
        <w:rPr>
          <w:sz w:val="20"/>
          <w:szCs w:val="20"/>
          <w:color w:val="auto"/>
        </w:rPr>
      </w:pPr>
    </w:p>
    <w:p>
      <w:pPr>
        <w:ind w:right="60"/>
        <w:spacing w:after="0" w:line="243" w:lineRule="auto"/>
        <w:rPr>
          <w:sz w:val="20"/>
          <w:szCs w:val="20"/>
          <w:color w:val="auto"/>
        </w:rPr>
      </w:pPr>
      <w:r>
        <w:rPr>
          <w:rFonts w:ascii="Arial" w:cs="Arial" w:eastAsia="Arial" w:hAnsi="Arial"/>
          <w:sz w:val="11"/>
          <w:szCs w:val="11"/>
          <w:color w:val="auto"/>
        </w:rPr>
        <w:t>A notice of Annual Meeting of Shareholders and Proxy Statement is furnished to shareholders upon request in advance of the annual meeting.</w:t>
      </w:r>
    </w:p>
    <w:p>
      <w:pPr>
        <w:spacing w:after="0" w:line="106" w:lineRule="exact"/>
        <w:rPr>
          <w:sz w:val="20"/>
          <w:szCs w:val="20"/>
          <w:color w:val="auto"/>
        </w:rPr>
      </w:pPr>
    </w:p>
    <w:p>
      <w:pPr>
        <w:spacing w:after="0" w:line="238" w:lineRule="auto"/>
        <w:rPr>
          <w:sz w:val="20"/>
          <w:szCs w:val="20"/>
          <w:color w:val="auto"/>
        </w:rPr>
      </w:pPr>
      <w:r>
        <w:rPr>
          <w:rFonts w:ascii="Arial" w:cs="Arial" w:eastAsia="Arial" w:hAnsi="Arial"/>
          <w:sz w:val="11"/>
          <w:szCs w:val="11"/>
          <w:color w:val="auto"/>
        </w:rPr>
        <w:t>Copies of our quarterly financial earnings releases, the annual report on Form 10-K (without exhibits), the quarterly reports on Form 10-Q (without exhibits) and current reports on Form 8-K (without exhibits) as filed by us with the Securities and Exchange Commission, may be obtained without charge from the corporate offices as follows:</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Sheila Davis, PR/IR Manager</w:t>
      </w:r>
    </w:p>
    <w:p>
      <w:pPr>
        <w:spacing w:after="0" w:line="232" w:lineRule="auto"/>
        <w:rPr>
          <w:sz w:val="20"/>
          <w:szCs w:val="20"/>
          <w:color w:val="auto"/>
        </w:rPr>
      </w:pPr>
      <w:r>
        <w:rPr>
          <w:rFonts w:ascii="Arial" w:cs="Arial" w:eastAsia="Arial" w:hAnsi="Arial"/>
          <w:sz w:val="11"/>
          <w:szCs w:val="11"/>
          <w:color w:val="auto"/>
        </w:rPr>
        <w:t>Winnebago Industries, Inc.</w:t>
      </w:r>
    </w:p>
    <w:p>
      <w:pPr>
        <w:spacing w:after="0" w:line="233" w:lineRule="auto"/>
        <w:rPr>
          <w:sz w:val="20"/>
          <w:szCs w:val="20"/>
          <w:color w:val="auto"/>
        </w:rPr>
      </w:pPr>
      <w:r>
        <w:rPr>
          <w:rFonts w:ascii="Arial" w:cs="Arial" w:eastAsia="Arial" w:hAnsi="Arial"/>
          <w:sz w:val="11"/>
          <w:szCs w:val="11"/>
          <w:color w:val="auto"/>
        </w:rPr>
        <w:t>605 W. Crystal Lake Road</w:t>
      </w:r>
    </w:p>
    <w:p>
      <w:pPr>
        <w:spacing w:after="0" w:line="233" w:lineRule="auto"/>
        <w:rPr>
          <w:sz w:val="20"/>
          <w:szCs w:val="20"/>
          <w:color w:val="auto"/>
        </w:rPr>
      </w:pPr>
      <w:r>
        <w:rPr>
          <w:rFonts w:ascii="Arial" w:cs="Arial" w:eastAsia="Arial" w:hAnsi="Arial"/>
          <w:sz w:val="11"/>
          <w:szCs w:val="11"/>
          <w:color w:val="auto"/>
        </w:rPr>
        <w:t>P.O. Box 152</w:t>
      </w:r>
    </w:p>
    <w:p>
      <w:pPr>
        <w:spacing w:after="0" w:line="232" w:lineRule="auto"/>
        <w:rPr>
          <w:sz w:val="20"/>
          <w:szCs w:val="20"/>
          <w:color w:val="auto"/>
        </w:rPr>
      </w:pPr>
      <w:r>
        <w:rPr>
          <w:rFonts w:ascii="Arial" w:cs="Arial" w:eastAsia="Arial" w:hAnsi="Arial"/>
          <w:sz w:val="11"/>
          <w:szCs w:val="11"/>
          <w:color w:val="auto"/>
        </w:rPr>
        <w:t>Forest City, Iowa 50436-0152</w:t>
      </w:r>
    </w:p>
    <w:p>
      <w:pPr>
        <w:spacing w:after="0" w:line="233" w:lineRule="auto"/>
        <w:rPr>
          <w:sz w:val="20"/>
          <w:szCs w:val="20"/>
          <w:color w:val="auto"/>
        </w:rPr>
      </w:pPr>
      <w:r>
        <w:rPr>
          <w:rFonts w:ascii="Arial" w:cs="Arial" w:eastAsia="Arial" w:hAnsi="Arial"/>
          <w:sz w:val="11"/>
          <w:szCs w:val="11"/>
          <w:color w:val="auto"/>
        </w:rPr>
        <w:t>Telephone: (641) 585-3535</w:t>
      </w:r>
    </w:p>
    <w:p>
      <w:pPr>
        <w:spacing w:after="0" w:line="233" w:lineRule="auto"/>
        <w:rPr>
          <w:sz w:val="20"/>
          <w:szCs w:val="20"/>
          <w:color w:val="auto"/>
        </w:rPr>
      </w:pPr>
      <w:r>
        <w:rPr>
          <w:rFonts w:ascii="Arial" w:cs="Arial" w:eastAsia="Arial" w:hAnsi="Arial"/>
          <w:sz w:val="11"/>
          <w:szCs w:val="11"/>
          <w:color w:val="auto"/>
        </w:rPr>
        <w:t>Fax: (641) 585-6966</w:t>
      </w:r>
    </w:p>
    <w:p>
      <w:pPr>
        <w:spacing w:after="0"/>
        <w:rPr>
          <w:sz w:val="20"/>
          <w:szCs w:val="20"/>
          <w:color w:val="auto"/>
        </w:rPr>
      </w:pPr>
      <w:r>
        <w:rPr>
          <w:rFonts w:ascii="Arial" w:cs="Arial" w:eastAsia="Arial" w:hAnsi="Arial"/>
          <w:sz w:val="11"/>
          <w:szCs w:val="11"/>
          <w:color w:val="auto"/>
        </w:rPr>
        <w:t xml:space="preserve">E-Mail: </w:t>
      </w:r>
      <w:r>
        <w:rPr>
          <w:rFonts w:ascii="Arial" w:cs="Arial" w:eastAsia="Arial" w:hAnsi="Arial"/>
          <w:sz w:val="11"/>
          <w:szCs w:val="11"/>
          <w:u w:val="single" w:color="auto"/>
          <w:color w:val="auto"/>
        </w:rPr>
        <w:t>ir@winnebagoind.com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36" w:lineRule="auto"/>
        <w:rPr>
          <w:sz w:val="20"/>
          <w:szCs w:val="20"/>
          <w:color w:val="auto"/>
        </w:rPr>
      </w:pPr>
      <w:r>
        <w:rPr>
          <w:rFonts w:ascii="Arial" w:cs="Arial" w:eastAsia="Arial" w:hAnsi="Arial"/>
          <w:sz w:val="11"/>
          <w:szCs w:val="11"/>
          <w:color w:val="auto"/>
        </w:rPr>
        <w:t xml:space="preserve">All news releases issued by us, reports filed by us with the Securities and Exchange Commission (including exhibits) and information on our Corporate Governance Policies and Procedures may also be viewed at the Winnebago Industries' Web Site: </w:t>
      </w:r>
      <w:r>
        <w:rPr>
          <w:rFonts w:ascii="Arial" w:cs="Arial" w:eastAsia="Arial" w:hAnsi="Arial"/>
          <w:sz w:val="11"/>
          <w:szCs w:val="11"/>
          <w:u w:val="single" w:color="auto"/>
          <w:color w:val="auto"/>
        </w:rPr>
        <w:t>http://winnebagoind.com/investor.html.</w:t>
      </w:r>
      <w:r>
        <w:rPr>
          <w:rFonts w:ascii="Arial" w:cs="Arial" w:eastAsia="Arial" w:hAnsi="Arial"/>
          <w:sz w:val="11"/>
          <w:szCs w:val="11"/>
          <w:color w:val="auto"/>
        </w:rPr>
        <w:t xml:space="preserve"> Information contained on Winnebago Industries' Web Site is not incorporated into this Annual Report or other securities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Number of Shareholders of Record</w:t>
      </w:r>
    </w:p>
    <w:p>
      <w:pPr>
        <w:spacing w:after="0" w:line="10" w:lineRule="exact"/>
        <w:rPr>
          <w:sz w:val="20"/>
          <w:szCs w:val="20"/>
          <w:color w:val="auto"/>
        </w:rPr>
      </w:pPr>
    </w:p>
    <w:p>
      <w:pPr>
        <w:ind w:right="660"/>
        <w:spacing w:after="0" w:line="253" w:lineRule="auto"/>
        <w:rPr>
          <w:sz w:val="20"/>
          <w:szCs w:val="20"/>
          <w:color w:val="auto"/>
        </w:rPr>
      </w:pPr>
      <w:r>
        <w:rPr>
          <w:rFonts w:ascii="Arial" w:cs="Arial" w:eastAsia="Arial" w:hAnsi="Arial"/>
          <w:sz w:val="11"/>
          <w:szCs w:val="11"/>
          <w:color w:val="auto"/>
        </w:rPr>
        <w:t>As of October 5, 2010, Winnebago Industries had 3,544 shareholders of record.</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Dividends Paid</w:t>
      </w:r>
    </w:p>
    <w:p>
      <w:pPr>
        <w:spacing w:after="0" w:line="10" w:lineRule="exact"/>
        <w:rPr>
          <w:sz w:val="20"/>
          <w:szCs w:val="20"/>
          <w:color w:val="auto"/>
        </w:rPr>
      </w:pPr>
    </w:p>
    <w:p>
      <w:pPr>
        <w:jc w:val="both"/>
        <w:ind w:right="240"/>
        <w:spacing w:after="0" w:line="253" w:lineRule="auto"/>
        <w:rPr>
          <w:sz w:val="20"/>
          <w:szCs w:val="20"/>
          <w:color w:val="auto"/>
        </w:rPr>
      </w:pPr>
      <w:r>
        <w:rPr>
          <w:rFonts w:ascii="Arial" w:cs="Arial" w:eastAsia="Arial" w:hAnsi="Arial"/>
          <w:sz w:val="11"/>
          <w:szCs w:val="11"/>
          <w:color w:val="auto"/>
        </w:rPr>
        <w:t>No dividends were paid in Fiscal 2010. Cash dividend payments were suspended starting with the second quarter of Fiscal 2009.</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Shareholder Account Assistance</w:t>
      </w:r>
    </w:p>
    <w:p>
      <w:pPr>
        <w:spacing w:after="0" w:line="10" w:lineRule="exact"/>
        <w:rPr>
          <w:sz w:val="20"/>
          <w:szCs w:val="20"/>
          <w:color w:val="auto"/>
        </w:rPr>
      </w:pPr>
    </w:p>
    <w:p>
      <w:pPr>
        <w:ind w:right="60"/>
        <w:spacing w:after="0" w:line="253" w:lineRule="auto"/>
        <w:rPr>
          <w:sz w:val="20"/>
          <w:szCs w:val="20"/>
          <w:color w:val="auto"/>
        </w:rPr>
      </w:pPr>
      <w:r>
        <w:rPr>
          <w:rFonts w:ascii="Arial" w:cs="Arial" w:eastAsia="Arial" w:hAnsi="Arial"/>
          <w:sz w:val="11"/>
          <w:szCs w:val="11"/>
          <w:color w:val="auto"/>
        </w:rPr>
        <w:t>Transfer Agent to contact for address changes, account cer tificates and stock holdings:</w:t>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Wells Fargo Shareowner Services</w:t>
      </w:r>
    </w:p>
    <w:p>
      <w:pPr>
        <w:spacing w:after="0" w:line="232" w:lineRule="auto"/>
        <w:rPr>
          <w:sz w:val="20"/>
          <w:szCs w:val="20"/>
          <w:color w:val="auto"/>
        </w:rPr>
      </w:pPr>
      <w:r>
        <w:rPr>
          <w:rFonts w:ascii="Arial" w:cs="Arial" w:eastAsia="Arial" w:hAnsi="Arial"/>
          <w:sz w:val="11"/>
          <w:szCs w:val="11"/>
          <w:color w:val="auto"/>
        </w:rPr>
        <w:t>P.O. Box 64854</w:t>
      </w:r>
    </w:p>
    <w:p>
      <w:pPr>
        <w:spacing w:after="0" w:line="233" w:lineRule="auto"/>
        <w:rPr>
          <w:sz w:val="20"/>
          <w:szCs w:val="20"/>
          <w:color w:val="auto"/>
        </w:rPr>
      </w:pPr>
      <w:r>
        <w:rPr>
          <w:rFonts w:ascii="Arial" w:cs="Arial" w:eastAsia="Arial" w:hAnsi="Arial"/>
          <w:sz w:val="11"/>
          <w:szCs w:val="11"/>
          <w:color w:val="auto"/>
        </w:rPr>
        <w:t>St. Paul, Minnesota 55164-0854 or</w:t>
      </w:r>
    </w:p>
    <w:p>
      <w:pPr>
        <w:spacing w:after="0" w:line="233" w:lineRule="auto"/>
        <w:rPr>
          <w:sz w:val="20"/>
          <w:szCs w:val="20"/>
          <w:color w:val="auto"/>
        </w:rPr>
      </w:pPr>
      <w:r>
        <w:rPr>
          <w:rFonts w:ascii="Arial" w:cs="Arial" w:eastAsia="Arial" w:hAnsi="Arial"/>
          <w:sz w:val="11"/>
          <w:szCs w:val="11"/>
          <w:color w:val="auto"/>
        </w:rPr>
        <w:t>161 North Concord Exchange</w:t>
      </w:r>
    </w:p>
    <w:p>
      <w:pPr>
        <w:spacing w:after="0" w:line="232" w:lineRule="auto"/>
        <w:rPr>
          <w:sz w:val="20"/>
          <w:szCs w:val="20"/>
          <w:color w:val="auto"/>
        </w:rPr>
      </w:pPr>
      <w:r>
        <w:rPr>
          <w:rFonts w:ascii="Arial" w:cs="Arial" w:eastAsia="Arial" w:hAnsi="Arial"/>
          <w:sz w:val="11"/>
          <w:szCs w:val="11"/>
          <w:color w:val="auto"/>
        </w:rPr>
        <w:t>South St. Paul, Minnesota 55075-1139</w:t>
      </w:r>
    </w:p>
    <w:p>
      <w:pPr>
        <w:spacing w:after="0" w:line="233" w:lineRule="auto"/>
        <w:rPr>
          <w:sz w:val="20"/>
          <w:szCs w:val="20"/>
          <w:color w:val="auto"/>
        </w:rPr>
      </w:pPr>
      <w:r>
        <w:rPr>
          <w:rFonts w:ascii="Arial" w:cs="Arial" w:eastAsia="Arial" w:hAnsi="Arial"/>
          <w:sz w:val="11"/>
          <w:szCs w:val="11"/>
          <w:color w:val="auto"/>
        </w:rPr>
        <w:t>Telephone: (800) 468-9716 or (651) 450-4064</w:t>
      </w:r>
    </w:p>
    <w:p>
      <w:pPr>
        <w:spacing w:after="0"/>
        <w:rPr>
          <w:sz w:val="20"/>
          <w:szCs w:val="20"/>
          <w:color w:val="auto"/>
        </w:rPr>
      </w:pPr>
      <w:r>
        <w:rPr>
          <w:rFonts w:ascii="Arial" w:cs="Arial" w:eastAsia="Arial" w:hAnsi="Arial"/>
          <w:sz w:val="11"/>
          <w:szCs w:val="11"/>
          <w:color w:val="auto"/>
        </w:rPr>
        <w:t>Inquiries: www.wellsfargo.com/shareownerservices</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Annual Meeting</w:t>
      </w:r>
    </w:p>
    <w:p>
      <w:pPr>
        <w:spacing w:after="0" w:line="10" w:lineRule="exact"/>
        <w:rPr>
          <w:sz w:val="20"/>
          <w:szCs w:val="20"/>
          <w:color w:val="auto"/>
        </w:rPr>
      </w:pPr>
    </w:p>
    <w:p>
      <w:pPr>
        <w:ind w:right="260"/>
        <w:spacing w:after="0" w:line="239" w:lineRule="auto"/>
        <w:rPr>
          <w:sz w:val="20"/>
          <w:szCs w:val="20"/>
          <w:color w:val="auto"/>
        </w:rPr>
      </w:pPr>
      <w:r>
        <w:rPr>
          <w:rFonts w:ascii="Arial" w:cs="Arial" w:eastAsia="Arial" w:hAnsi="Arial"/>
          <w:sz w:val="11"/>
          <w:szCs w:val="11"/>
          <w:color w:val="auto"/>
        </w:rPr>
        <w:t>The Annual Meeting of Shareholders is scheduled to be held on Tuesday, December 14, 2010, at 4:00 p.m. (CST) in Winnebago Industries' South Office Complex Theater, 605 W. Crystal Lake Road, Forest City, Iowa.</w:t>
      </w:r>
    </w:p>
    <w:p>
      <w:pPr>
        <w:spacing w:after="0" w:line="19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Independent Auditors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Deloitte &amp; Touche LLP</w:t>
      </w:r>
    </w:p>
    <w:p>
      <w:pPr>
        <w:spacing w:after="0" w:line="232" w:lineRule="auto"/>
        <w:rPr>
          <w:sz w:val="20"/>
          <w:szCs w:val="20"/>
          <w:color w:val="auto"/>
        </w:rPr>
      </w:pPr>
      <w:r>
        <w:rPr>
          <w:rFonts w:ascii="Arial" w:cs="Arial" w:eastAsia="Arial" w:hAnsi="Arial"/>
          <w:sz w:val="11"/>
          <w:szCs w:val="11"/>
          <w:color w:val="auto"/>
        </w:rPr>
        <w:t>400 One Financial Plaza</w:t>
      </w:r>
    </w:p>
    <w:p>
      <w:pPr>
        <w:spacing w:after="0" w:line="233" w:lineRule="auto"/>
        <w:rPr>
          <w:sz w:val="20"/>
          <w:szCs w:val="20"/>
          <w:color w:val="auto"/>
        </w:rPr>
      </w:pPr>
      <w:r>
        <w:rPr>
          <w:rFonts w:ascii="Arial" w:cs="Arial" w:eastAsia="Arial" w:hAnsi="Arial"/>
          <w:sz w:val="11"/>
          <w:szCs w:val="11"/>
          <w:color w:val="auto"/>
        </w:rPr>
        <w:t>120 South Sixth Street</w:t>
      </w:r>
    </w:p>
    <w:p>
      <w:pPr>
        <w:spacing w:after="0" w:line="233" w:lineRule="auto"/>
        <w:rPr>
          <w:sz w:val="20"/>
          <w:szCs w:val="20"/>
          <w:color w:val="auto"/>
        </w:rPr>
      </w:pPr>
      <w:r>
        <w:rPr>
          <w:rFonts w:ascii="Arial" w:cs="Arial" w:eastAsia="Arial" w:hAnsi="Arial"/>
          <w:sz w:val="11"/>
          <w:szCs w:val="11"/>
          <w:color w:val="auto"/>
        </w:rPr>
        <w:t>Minneapolis, Minnesota 55402-1844</w:t>
      </w:r>
    </w:p>
    <w:p>
      <w:pPr>
        <w:spacing w:after="0"/>
        <w:rPr>
          <w:sz w:val="20"/>
          <w:szCs w:val="20"/>
          <w:color w:val="auto"/>
        </w:rPr>
      </w:pPr>
      <w:r>
        <w:rPr>
          <w:rFonts w:ascii="Arial" w:cs="Arial" w:eastAsia="Arial" w:hAnsi="Arial"/>
          <w:sz w:val="11"/>
          <w:szCs w:val="11"/>
          <w:color w:val="auto"/>
        </w:rPr>
        <w:t>(612) 397-4000</w:t>
      </w:r>
    </w:p>
    <w:p>
      <w:pPr>
        <w:spacing w:after="0" w:line="105" w:lineRule="exact"/>
        <w:rPr>
          <w:sz w:val="20"/>
          <w:szCs w:val="20"/>
          <w:color w:val="auto"/>
        </w:rPr>
      </w:pPr>
    </w:p>
    <w:p>
      <w:pPr>
        <w:ind w:right="200"/>
        <w:spacing w:after="0" w:line="246" w:lineRule="auto"/>
        <w:rPr>
          <w:sz w:val="20"/>
          <w:szCs w:val="20"/>
          <w:color w:val="auto"/>
        </w:rPr>
      </w:pPr>
      <w:r>
        <w:rPr>
          <w:rFonts w:ascii="Arial" w:cs="Arial" w:eastAsia="Arial" w:hAnsi="Arial"/>
          <w:sz w:val="11"/>
          <w:szCs w:val="11"/>
          <w:b w:val="1"/>
          <w:bCs w:val="1"/>
          <w:color w:val="auto"/>
        </w:rPr>
        <w:t>NYSE Annual CEO Certification and Sarbanes-Oxley Section 302 Certifications</w:t>
      </w:r>
    </w:p>
    <w:p>
      <w:pPr>
        <w:spacing w:after="0" w:line="237" w:lineRule="auto"/>
        <w:rPr>
          <w:sz w:val="20"/>
          <w:szCs w:val="20"/>
          <w:color w:val="auto"/>
        </w:rPr>
      </w:pPr>
      <w:r>
        <w:rPr>
          <w:rFonts w:ascii="Arial" w:cs="Arial" w:eastAsia="Arial" w:hAnsi="Arial"/>
          <w:sz w:val="11"/>
          <w:szCs w:val="11"/>
          <w:color w:val="auto"/>
        </w:rPr>
        <w:t>We submitted the annual Chief Executive Officer Certification to the New York Stock Exchange (NYSE) as required under the corporate governance rules of the NYSE. W e also filed as exhibits to our 2010 Annual Report on Form 10-K, the Chief Executive Officer and Chief Financial Officer certifications required under Section 302 of the Sarbanes-Oxley Act of 2002.</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1496695</wp:posOffset>
            </wp:positionV>
            <wp:extent cx="631190" cy="638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1190" cy="63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236" w:lineRule="auto"/>
        <w:rPr>
          <w:sz w:val="20"/>
          <w:szCs w:val="20"/>
          <w:color w:val="auto"/>
        </w:rPr>
      </w:pPr>
      <w:r>
        <w:rPr>
          <w:rFonts w:ascii="Arial" w:cs="Arial" w:eastAsia="Arial" w:hAnsi="Arial"/>
          <w:sz w:val="11"/>
          <w:szCs w:val="11"/>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w:t>
      </w:r>
    </w:p>
    <w:p>
      <w:pPr>
        <w:sectPr>
          <w:pgSz w:w="11900" w:h="16838" w:orient="portrait"/>
          <w:cols w:equalWidth="0" w:num="3">
            <w:col w:w="3320" w:space="720"/>
            <w:col w:w="3480" w:space="400"/>
            <w:col w:w="3480"/>
          </w:cols>
          <w:pgMar w:left="240" w:top="154" w:right="259" w:bottom="1440" w:gutter="0" w:footer="0" w:header="0"/>
        </w:sectPr>
      </w:pPr>
    </w:p>
    <w:bookmarkStart w:id="57" w:name="page58"/>
    <w:bookmarkEnd w:id="57"/>
    <w:p>
      <w:pPr>
        <w:jc w:val="center"/>
        <w:ind w:right="-21"/>
        <w:spacing w:after="0"/>
        <w:rPr>
          <w:sz w:val="20"/>
          <w:szCs w:val="20"/>
          <w:color w:val="auto"/>
        </w:rPr>
      </w:pPr>
      <w:r>
        <w:rPr>
          <w:rFonts w:ascii="Arial" w:cs="Arial" w:eastAsia="Arial" w:hAnsi="Arial"/>
          <w:sz w:val="16"/>
          <w:szCs w:val="16"/>
          <w:b w:val="1"/>
          <w:bCs w:val="1"/>
          <w:color w:val="auto"/>
        </w:rPr>
        <w:t>Exhibit 10bb.</w:t>
      </w:r>
    </w:p>
    <w:p>
      <w:pPr>
        <w:spacing w:after="0" w:line="209"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u w:val="single" w:color="auto"/>
          <w:color w:val="auto"/>
        </w:rPr>
        <w:t>AGREEMENT OF PURCHASE AND SALE</w:t>
      </w:r>
    </w:p>
    <w:p>
      <w:pPr>
        <w:spacing w:after="0" w:line="231" w:lineRule="exact"/>
        <w:rPr>
          <w:sz w:val="20"/>
          <w:szCs w:val="20"/>
          <w:color w:val="auto"/>
        </w:rPr>
      </w:pPr>
    </w:p>
    <w:p>
      <w:pPr>
        <w:ind w:left="2"/>
        <w:spacing w:after="0" w:line="242" w:lineRule="auto"/>
        <w:rPr>
          <w:sz w:val="20"/>
          <w:szCs w:val="20"/>
          <w:color w:val="auto"/>
        </w:rPr>
      </w:pPr>
      <w:r>
        <w:rPr>
          <w:rFonts w:ascii="Arial" w:cs="Arial" w:eastAsia="Arial" w:hAnsi="Arial"/>
          <w:sz w:val="15"/>
          <w:szCs w:val="15"/>
          <w:color w:val="auto"/>
        </w:rPr>
        <w:t>THIS AGREEMENT OF SALE (this “Agreement”), made this 30th day of August, 2010 (the “Effective Date”), by and between WINNEBAGO INDUSTRIES, INC., an Iowa corporation (hereinafter called “Seller”), and CGS TIRES US, INC., a Delaware corporation (hereinafter called “Buyer”). The Effective Date shall be the last date this Agreement is executed by either Buyer or Seller.</w:t>
      </w:r>
    </w:p>
    <w:p>
      <w:pPr>
        <w:spacing w:after="0" w:line="172" w:lineRule="exact"/>
        <w:rPr>
          <w:sz w:val="20"/>
          <w:szCs w:val="20"/>
          <w:color w:val="auto"/>
        </w:rPr>
      </w:pPr>
    </w:p>
    <w:p>
      <w:pPr>
        <w:jc w:val="center"/>
        <w:ind w:right="-21"/>
        <w:spacing w:after="0"/>
        <w:rPr>
          <w:sz w:val="20"/>
          <w:szCs w:val="20"/>
          <w:color w:val="auto"/>
        </w:rPr>
      </w:pPr>
      <w:r>
        <w:rPr>
          <w:rFonts w:ascii="Arial" w:cs="Arial" w:eastAsia="Arial" w:hAnsi="Arial"/>
          <w:sz w:val="15"/>
          <w:szCs w:val="15"/>
          <w:b w:val="1"/>
          <w:bCs w:val="1"/>
          <w:color w:val="auto"/>
        </w:rPr>
        <w:t>W I T N E S S E T H:</w:t>
      </w:r>
    </w:p>
    <w:p>
      <w:pPr>
        <w:spacing w:after="0" w:line="213" w:lineRule="exact"/>
        <w:rPr>
          <w:sz w:val="20"/>
          <w:szCs w:val="20"/>
          <w:color w:val="auto"/>
        </w:rPr>
      </w:pPr>
    </w:p>
    <w:p>
      <w:pPr>
        <w:ind w:left="2" w:right="180"/>
        <w:spacing w:after="0" w:line="245" w:lineRule="auto"/>
        <w:rPr>
          <w:sz w:val="20"/>
          <w:szCs w:val="20"/>
          <w:color w:val="auto"/>
        </w:rPr>
      </w:pPr>
      <w:r>
        <w:rPr>
          <w:rFonts w:ascii="Arial" w:cs="Arial" w:eastAsia="Arial" w:hAnsi="Arial"/>
          <w:sz w:val="15"/>
          <w:szCs w:val="15"/>
          <w:color w:val="auto"/>
        </w:rPr>
        <w:t>For and in consideration of the mutual undertakings contained herein and for other good and valuable consideration, the receipt and sufficiency of which are hereby mutually acknowledged, the parties hereto, intending to be legally bound hereby, agree as follows:</w:t>
      </w:r>
    </w:p>
    <w:p>
      <w:pPr>
        <w:spacing w:after="0" w:line="163" w:lineRule="exact"/>
        <w:rPr>
          <w:sz w:val="20"/>
          <w:szCs w:val="20"/>
          <w:color w:val="auto"/>
        </w:rPr>
      </w:pPr>
    </w:p>
    <w:p>
      <w:pPr>
        <w:ind w:left="162" w:hanging="162"/>
        <w:spacing w:after="0"/>
        <w:tabs>
          <w:tab w:leader="none" w:pos="162"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Property</w:t>
      </w:r>
      <w:r>
        <w:rPr>
          <w:rFonts w:ascii="Arial" w:cs="Arial" w:eastAsia="Arial" w:hAnsi="Arial"/>
          <w:sz w:val="15"/>
          <w:szCs w:val="15"/>
          <w:color w:val="auto"/>
        </w:rPr>
        <w:t>.</w:t>
      </w:r>
    </w:p>
    <w:p>
      <w:pPr>
        <w:spacing w:after="0" w:line="170" w:lineRule="exact"/>
        <w:rPr>
          <w:rFonts w:ascii="Arial" w:cs="Arial" w:eastAsia="Arial" w:hAnsi="Arial"/>
          <w:sz w:val="15"/>
          <w:szCs w:val="15"/>
          <w:color w:val="auto"/>
        </w:rPr>
      </w:pPr>
    </w:p>
    <w:p>
      <w:pPr>
        <w:jc w:val="both"/>
        <w:ind w:left="2" w:right="220" w:firstLine="293"/>
        <w:spacing w:after="0" w:line="264" w:lineRule="auto"/>
        <w:tabs>
          <w:tab w:leader="none" w:pos="517" w:val="left"/>
        </w:tabs>
        <w:numPr>
          <w:ilvl w:val="1"/>
          <w:numId w:val="49"/>
        </w:numPr>
        <w:rPr>
          <w:rFonts w:ascii="Arial" w:cs="Arial" w:eastAsia="Arial" w:hAnsi="Arial"/>
          <w:sz w:val="14"/>
          <w:szCs w:val="14"/>
          <w:color w:val="auto"/>
        </w:rPr>
      </w:pPr>
      <w:r>
        <w:rPr>
          <w:rFonts w:ascii="Arial" w:cs="Arial" w:eastAsia="Arial" w:hAnsi="Arial"/>
          <w:sz w:val="14"/>
          <w:szCs w:val="14"/>
          <w:color w:val="auto"/>
        </w:rPr>
        <w:t>Seller hereby agrees to sell and convey to Buyer who agrees to purchase, all that certain lot, piece or parcel of ground (the “Land”), together with the improvements located thereon (the “Improvements”), situated in CHARLES CITY, IOWA and known as 1200 Rove Avenue consisting of approximately 34.1 acres of land, said lot, piece or parcel being more particularly described on Exhibit “A-1” attached hereto and made a part hereof (the Land, the Improvements are collectively referred to as the “Property”). The Property shall be as depicted on the Plat of Survey attached hereto, marked Exhibit “A-2”, and by this reference made a part hereof (the “Plat of Survey”).</w:t>
      </w:r>
    </w:p>
    <w:p>
      <w:pPr>
        <w:spacing w:after="0" w:line="150" w:lineRule="exact"/>
        <w:rPr>
          <w:rFonts w:ascii="Arial" w:cs="Arial" w:eastAsia="Arial" w:hAnsi="Arial"/>
          <w:sz w:val="14"/>
          <w:szCs w:val="14"/>
          <w:color w:val="auto"/>
        </w:rPr>
      </w:pPr>
    </w:p>
    <w:p>
      <w:pPr>
        <w:ind w:left="2" w:firstLine="293"/>
        <w:spacing w:after="0" w:line="258" w:lineRule="auto"/>
        <w:tabs>
          <w:tab w:leader="none" w:pos="517" w:val="left"/>
        </w:tabs>
        <w:numPr>
          <w:ilvl w:val="1"/>
          <w:numId w:val="49"/>
        </w:numPr>
        <w:rPr>
          <w:rFonts w:ascii="Arial" w:cs="Arial" w:eastAsia="Arial" w:hAnsi="Arial"/>
          <w:sz w:val="14"/>
          <w:szCs w:val="14"/>
          <w:color w:val="auto"/>
        </w:rPr>
      </w:pPr>
      <w:r>
        <w:rPr>
          <w:rFonts w:ascii="Arial" w:cs="Arial" w:eastAsia="Arial" w:hAnsi="Arial"/>
          <w:sz w:val="14"/>
          <w:szCs w:val="14"/>
          <w:color w:val="auto"/>
        </w:rPr>
        <w:t>The sale set forth in this Agreement shall also include (i) the fixtures, equipment and systems which are located in the Improvements; (ii) all certificates, licenses, permits, authorizations and approvals issued for or with respect to the Property by governmental and quasi-governmental authorities having jurisdiction (“Licenses, Permits and Approvals”), to the extent transferable; (iii) all assignable contracts and agreements relating to the management, operation, servicing and/or maintenance of Property, to the extent said contracts or agreements do not relate to Seller's remaining property, and to the extent Buyer elects to assume the same as provided herein (“Contracts”); (iv) all appurtenances, easements and other rights and privileges in any way pertaining or beneficial to the Land or the Improvements; (v) all tangible personal property, and fixtures owned by Seller and located at or on the Property or otherwise used primarily in connection with the ownership, maintenance or operation thereof as agreed to by the parties and as described on a Personal Property Inventory to be furnished by Seller as part of the due diligence materials. (the “Personalty”); (vii) to the extent assignable, all right, title and interest to Seller in and to any drawings, plans, building permits, surveys and certificates of occupancy relating to the Property, that are in the possession of the Seller; and (viii) all records relating to the described Property and Personalty for the previous three (3) years, including without limitation all records regarding management and leasing, real estate taxes, assessments, insurance, tenants, maintenance, repairs, capital improvements and services, to the extent available and in possession of Seller.</w:t>
      </w:r>
    </w:p>
    <w:p>
      <w:pPr>
        <w:spacing w:after="0" w:line="158" w:lineRule="exact"/>
        <w:rPr>
          <w:rFonts w:ascii="Arial" w:cs="Arial" w:eastAsia="Arial" w:hAnsi="Arial"/>
          <w:sz w:val="14"/>
          <w:szCs w:val="14"/>
          <w:color w:val="auto"/>
        </w:rPr>
      </w:pPr>
    </w:p>
    <w:p>
      <w:pPr>
        <w:jc w:val="both"/>
        <w:ind w:left="2" w:right="40" w:hanging="2"/>
        <w:spacing w:after="0" w:line="242" w:lineRule="auto"/>
        <w:tabs>
          <w:tab w:leader="none" w:pos="165"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Purchase Price</w:t>
      </w:r>
      <w:r>
        <w:rPr>
          <w:rFonts w:ascii="Arial" w:cs="Arial" w:eastAsia="Arial" w:hAnsi="Arial"/>
          <w:sz w:val="15"/>
          <w:szCs w:val="15"/>
          <w:color w:val="auto"/>
        </w:rPr>
        <w:t>. The total consideration and purchase price (the “Purchase Price”), which Buyer agrees to pay to Seller and which Seller agrees to accept for the Property is Three Million Nine Hundred Thousand ($3,900,000.00), subject to credit, debt and adjustment as herein provided and subject to all the terms and conditions herein contained, payable as follows:</w:t>
      </w:r>
    </w:p>
    <w:p>
      <w:pPr>
        <w:spacing w:after="0" w:line="165" w:lineRule="exact"/>
        <w:rPr>
          <w:rFonts w:ascii="Arial" w:cs="Arial" w:eastAsia="Arial" w:hAnsi="Arial"/>
          <w:sz w:val="15"/>
          <w:szCs w:val="15"/>
          <w:color w:val="auto"/>
        </w:rPr>
      </w:pPr>
    </w:p>
    <w:p>
      <w:pPr>
        <w:jc w:val="both"/>
        <w:ind w:left="2" w:right="120" w:firstLine="293"/>
        <w:spacing w:after="0" w:line="242" w:lineRule="auto"/>
        <w:tabs>
          <w:tab w:leader="none" w:pos="517" w:val="left"/>
        </w:tabs>
        <w:numPr>
          <w:ilvl w:val="1"/>
          <w:numId w:val="49"/>
        </w:numPr>
        <w:rPr>
          <w:rFonts w:ascii="Arial" w:cs="Arial" w:eastAsia="Arial" w:hAnsi="Arial"/>
          <w:sz w:val="15"/>
          <w:szCs w:val="15"/>
          <w:color w:val="auto"/>
        </w:rPr>
      </w:pPr>
      <w:r>
        <w:rPr>
          <w:rFonts w:ascii="Arial" w:cs="Arial" w:eastAsia="Arial" w:hAnsi="Arial"/>
          <w:sz w:val="15"/>
          <w:szCs w:val="15"/>
          <w:color w:val="auto"/>
        </w:rPr>
        <w:t>Within seven (7) business days after full execution and delivery by Buyer and Seller of this Agreement (the “</w:t>
      </w:r>
      <w:r>
        <w:rPr>
          <w:rFonts w:ascii="Arial" w:cs="Arial" w:eastAsia="Arial" w:hAnsi="Arial"/>
          <w:sz w:val="15"/>
          <w:szCs w:val="15"/>
          <w:u w:val="single" w:color="auto"/>
          <w:color w:val="auto"/>
        </w:rPr>
        <w:t>Effective Date</w:t>
      </w:r>
      <w:r>
        <w:rPr>
          <w:rFonts w:ascii="Arial" w:cs="Arial" w:eastAsia="Arial" w:hAnsi="Arial"/>
          <w:sz w:val="15"/>
          <w:szCs w:val="15"/>
          <w:color w:val="auto"/>
        </w:rPr>
        <w:t>”), Buyer shall deposit as earnest money in escrow the sum of Three Hundred Ninety Thousand Dollars ($390,000.00) in cash (such sum, together with any interest thereon, being hereinafter collectively referred to and held as the “</w:t>
      </w:r>
      <w:r>
        <w:rPr>
          <w:rFonts w:ascii="Arial" w:cs="Arial" w:eastAsia="Arial" w:hAnsi="Arial"/>
          <w:sz w:val="15"/>
          <w:szCs w:val="15"/>
          <w:u w:val="single" w:color="auto"/>
          <w:color w:val="auto"/>
        </w:rPr>
        <w:t>Deposit</w:t>
      </w:r>
      <w:r>
        <w:rPr>
          <w:rFonts w:ascii="Arial" w:cs="Arial" w:eastAsia="Arial" w:hAnsi="Arial"/>
          <w:sz w:val="15"/>
          <w:szCs w:val="15"/>
          <w:color w:val="auto"/>
        </w:rPr>
        <w:t>”).</w:t>
      </w:r>
    </w:p>
    <w:p>
      <w:pPr>
        <w:spacing w:after="0" w:line="165" w:lineRule="exact"/>
        <w:rPr>
          <w:rFonts w:ascii="Arial" w:cs="Arial" w:eastAsia="Arial" w:hAnsi="Arial"/>
          <w:sz w:val="15"/>
          <w:szCs w:val="15"/>
          <w:color w:val="auto"/>
        </w:rPr>
      </w:pPr>
    </w:p>
    <w:p>
      <w:pPr>
        <w:ind w:left="2" w:right="120" w:firstLine="293"/>
        <w:spacing w:after="0" w:line="245" w:lineRule="auto"/>
        <w:tabs>
          <w:tab w:leader="none" w:pos="517" w:val="left"/>
        </w:tabs>
        <w:numPr>
          <w:ilvl w:val="1"/>
          <w:numId w:val="49"/>
        </w:numPr>
        <w:rPr>
          <w:rFonts w:ascii="Arial" w:cs="Arial" w:eastAsia="Arial" w:hAnsi="Arial"/>
          <w:sz w:val="15"/>
          <w:szCs w:val="15"/>
          <w:color w:val="auto"/>
        </w:rPr>
      </w:pPr>
      <w:r>
        <w:rPr>
          <w:rFonts w:ascii="Arial" w:cs="Arial" w:eastAsia="Arial" w:hAnsi="Arial"/>
          <w:sz w:val="15"/>
          <w:szCs w:val="15"/>
          <w:color w:val="auto"/>
        </w:rPr>
        <w:t>Buyer shall pay the balance of the Purchase Price by wire transfer, certified or cashier's check at Closing, subject to credit for application of the amount of the Deposit paid to Seller as provided in subsection (a) of this Paragraph and subject to credit and adjustment as provided herein.</w:t>
      </w:r>
    </w:p>
    <w:p>
      <w:pPr>
        <w:spacing w:after="0" w:line="163" w:lineRule="exact"/>
        <w:rPr>
          <w:sz w:val="20"/>
          <w:szCs w:val="20"/>
          <w:color w:val="auto"/>
        </w:rPr>
      </w:pPr>
    </w:p>
    <w:p>
      <w:pPr>
        <w:ind w:left="2" w:right="100"/>
        <w:spacing w:after="0" w:line="245" w:lineRule="auto"/>
        <w:rPr>
          <w:sz w:val="20"/>
          <w:szCs w:val="20"/>
          <w:color w:val="auto"/>
        </w:rPr>
      </w:pPr>
      <w:r>
        <w:rPr>
          <w:rFonts w:ascii="Arial" w:cs="Arial" w:eastAsia="Arial" w:hAnsi="Arial"/>
          <w:sz w:val="15"/>
          <w:szCs w:val="15"/>
          <w:color w:val="auto"/>
        </w:rPr>
        <w:t>The Deposit shall be paid to First American Title Insurance Company as escrow agent (hereinafter “Escrow Agent. The Deposit shall become non-refundable at the expiration of the Due Diligence Period (hereinafter defined) if this Agreement has not been terminated prior to that date by the Buyer.</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5"/>
          <w:szCs w:val="15"/>
          <w:color w:val="auto"/>
        </w:rPr>
        <w:t>Buyer's Federal Tax I.D. Number # 13-4103544</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5"/>
          <w:szCs w:val="15"/>
          <w:color w:val="auto"/>
        </w:rPr>
        <w:t>Seller's Federal Tax I.D. Number # 42-0802678</w:t>
      </w:r>
    </w:p>
    <w:p>
      <w:pPr>
        <w:spacing w:after="0" w:line="171" w:lineRule="exact"/>
        <w:rPr>
          <w:sz w:val="20"/>
          <w:szCs w:val="20"/>
          <w:color w:val="auto"/>
        </w:rPr>
      </w:pPr>
    </w:p>
    <w:p>
      <w:pPr>
        <w:ind w:left="162" w:hanging="162"/>
        <w:spacing w:after="0"/>
        <w:tabs>
          <w:tab w:leader="none" w:pos="162"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Title and Survey</w:t>
      </w:r>
      <w:r>
        <w:rPr>
          <w:rFonts w:ascii="Arial" w:cs="Arial" w:eastAsia="Arial" w:hAnsi="Arial"/>
          <w:sz w:val="15"/>
          <w:szCs w:val="15"/>
          <w:color w:val="auto"/>
        </w:rPr>
        <w:t>.</w:t>
      </w:r>
    </w:p>
    <w:p>
      <w:pPr>
        <w:spacing w:after="0" w:line="170" w:lineRule="exact"/>
        <w:rPr>
          <w:rFonts w:ascii="Arial" w:cs="Arial" w:eastAsia="Arial" w:hAnsi="Arial"/>
          <w:sz w:val="15"/>
          <w:szCs w:val="15"/>
          <w:color w:val="auto"/>
        </w:rPr>
      </w:pPr>
    </w:p>
    <w:p>
      <w:pPr>
        <w:ind w:left="2" w:right="20" w:firstLine="293"/>
        <w:spacing w:after="0" w:line="268" w:lineRule="auto"/>
        <w:tabs>
          <w:tab w:leader="none" w:pos="517" w:val="left"/>
        </w:tabs>
        <w:numPr>
          <w:ilvl w:val="1"/>
          <w:numId w:val="50"/>
        </w:numPr>
        <w:rPr>
          <w:rFonts w:ascii="Arial" w:cs="Arial" w:eastAsia="Arial" w:hAnsi="Arial"/>
          <w:sz w:val="14"/>
          <w:szCs w:val="14"/>
          <w:color w:val="auto"/>
        </w:rPr>
      </w:pPr>
      <w:r>
        <w:rPr>
          <w:rFonts w:ascii="Arial" w:cs="Arial" w:eastAsia="Arial" w:hAnsi="Arial"/>
          <w:sz w:val="14"/>
          <w:szCs w:val="14"/>
          <w:color w:val="auto"/>
        </w:rPr>
        <w:t>Seller, at its expense, shall promptly obtain an abstract of title covering the entire Property continued to a current date and deliver it to Buyer's attorney for examination. It shall show marketable title in Seller in conformity with this Agreement, Iowa law and title standards of the Iowa State Bar Association. Seller shall make every reasonable effort to promptly perfect title. If closing is delayed due to Seller's inability to provide marketable title, this Agreement shall continue in force and effect until either</w:t>
      </w:r>
    </w:p>
    <w:p>
      <w:pPr>
        <w:spacing w:after="0" w:line="148" w:lineRule="exact"/>
        <w:rPr>
          <w:sz w:val="20"/>
          <w:szCs w:val="20"/>
          <w:color w:val="auto"/>
        </w:rPr>
      </w:pPr>
    </w:p>
    <w:p>
      <w:pPr>
        <w:jc w:val="center"/>
        <w:ind w:right="-21"/>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02"/>
          </w:cols>
          <w:pgMar w:left="238" w:top="474" w:right="259" w:bottom="1440" w:gutter="0" w:footer="0" w:header="0"/>
        </w:sectPr>
      </w:pPr>
    </w:p>
    <w:bookmarkStart w:id="58" w:name="page59"/>
    <w:bookmarkEnd w:id="58"/>
    <w:p>
      <w:pPr>
        <w:spacing w:after="0" w:line="45" w:lineRule="exact"/>
        <w:rPr>
          <w:sz w:val="20"/>
          <w:szCs w:val="20"/>
          <w:color w:val="auto"/>
        </w:rPr>
      </w:pPr>
    </w:p>
    <w:p>
      <w:pPr>
        <w:ind w:left="2"/>
        <w:spacing w:after="0"/>
        <w:rPr>
          <w:sz w:val="20"/>
          <w:szCs w:val="20"/>
          <w:color w:val="auto"/>
        </w:rPr>
      </w:pPr>
      <w:r>
        <w:rPr>
          <w:rFonts w:ascii="Arial" w:cs="Arial" w:eastAsia="Arial" w:hAnsi="Arial"/>
          <w:sz w:val="15"/>
          <w:szCs w:val="15"/>
          <w:color w:val="auto"/>
        </w:rPr>
        <w:t>party rescinds the Agreement after giving ten days written notice to the other party. The abstract shall become property of Buyer when the purchase price is paid in full.</w:t>
      </w:r>
    </w:p>
    <w:p>
      <w:pPr>
        <w:spacing w:after="0" w:line="171" w:lineRule="exact"/>
        <w:rPr>
          <w:sz w:val="20"/>
          <w:szCs w:val="20"/>
          <w:color w:val="auto"/>
        </w:rPr>
      </w:pPr>
    </w:p>
    <w:p>
      <w:pPr>
        <w:ind w:left="2" w:firstLine="293"/>
        <w:spacing w:after="0" w:line="241" w:lineRule="auto"/>
        <w:tabs>
          <w:tab w:leader="none" w:pos="517" w:val="left"/>
        </w:tabs>
        <w:numPr>
          <w:ilvl w:val="0"/>
          <w:numId w:val="51"/>
        </w:numPr>
        <w:rPr>
          <w:rFonts w:ascii="Arial" w:cs="Arial" w:eastAsia="Arial" w:hAnsi="Arial"/>
          <w:sz w:val="15"/>
          <w:szCs w:val="15"/>
          <w:color w:val="auto"/>
        </w:rPr>
      </w:pPr>
      <w:r>
        <w:rPr>
          <w:rFonts w:ascii="Arial" w:cs="Arial" w:eastAsia="Arial" w:hAnsi="Arial"/>
          <w:sz w:val="15"/>
          <w:szCs w:val="15"/>
          <w:color w:val="auto"/>
        </w:rPr>
        <w:t>Buyer may, within thirty (30) days after the Effective Date, at it's sole cost and expense, apply for a commitment for title insurance policy with First American Title Insurance Company or from Iowa Title Guaranty (“Commitment for Title Insurance”). The Commitment for Title Insurance shall be in an amount equal to the Purchase Price and shall insure good, marketable fee simple title in the Property subj ect only to Permitted Exceptions. All "Standard Exceptions" shall be deleted from the Title Policy. If obtained, Buyer shall provide Seller with a copy of the Commitment for Title Insurance prior to the expiration of the Due Diligence Period.</w:t>
      </w:r>
    </w:p>
    <w:p>
      <w:pPr>
        <w:spacing w:after="0" w:line="166" w:lineRule="exact"/>
        <w:rPr>
          <w:sz w:val="20"/>
          <w:szCs w:val="20"/>
          <w:color w:val="auto"/>
        </w:rPr>
      </w:pPr>
    </w:p>
    <w:p>
      <w:pPr>
        <w:ind w:left="2" w:right="80"/>
        <w:spacing w:after="0" w:line="239" w:lineRule="auto"/>
        <w:rPr>
          <w:sz w:val="20"/>
          <w:szCs w:val="20"/>
          <w:color w:val="auto"/>
        </w:rPr>
      </w:pPr>
      <w:r>
        <w:rPr>
          <w:rFonts w:ascii="Arial" w:cs="Arial" w:eastAsia="Arial" w:hAnsi="Arial"/>
          <w:sz w:val="15"/>
          <w:szCs w:val="15"/>
          <w:color w:val="auto"/>
        </w:rPr>
        <w:t>Within twenty (20) days after the Effective Date, Buyer may, at its sole cost and expense, obtain an “as-built” survey of the Property, which survey shall be prepared by a registered land surveyor and shall be certified to Buyer, Buyer's lender and Title Company (the "Survey"). The Survey shall be prepared in accordance with the "Minimum Standard Detail Requirements for ALTA/ASCM Land Title Surveys", jointly established by ALTA and ASCM in 1999, The Survey shall show, the exact legal description of the Property, the exact area of the Property, exclusive of roads, road easements and rights of way, the boundary lines of the Property, all monuments, any building setback lines or similar restrictions, the location of all improvements now on the Property, access to public roads, the location of sewer, water, storm sewer, gas, electric and telephone connections to the public systems for service to the Property, and the location of all easements (by reference to the book and page or document number of the instrument creating same, if any), encroachments and rights of way on the Property. Notwithstanding the forgoing, Seller shall pay the cost to prepare and record the Plat of Survey. If obtained, Buyer shall provide Seller with a copy of the Survey prior to the expiration of the Due Diligence Period.</w:t>
      </w:r>
    </w:p>
    <w:p>
      <w:pPr>
        <w:spacing w:after="0" w:line="171" w:lineRule="exact"/>
        <w:rPr>
          <w:sz w:val="20"/>
          <w:szCs w:val="20"/>
          <w:color w:val="auto"/>
        </w:rPr>
      </w:pPr>
    </w:p>
    <w:p>
      <w:pPr>
        <w:ind w:left="2"/>
        <w:spacing w:after="0" w:line="245" w:lineRule="auto"/>
        <w:rPr>
          <w:sz w:val="20"/>
          <w:szCs w:val="20"/>
          <w:color w:val="auto"/>
        </w:rPr>
      </w:pPr>
      <w:r>
        <w:rPr>
          <w:rFonts w:ascii="Arial" w:cs="Arial" w:eastAsia="Arial" w:hAnsi="Arial"/>
          <w:sz w:val="15"/>
          <w:szCs w:val="15"/>
          <w:color w:val="auto"/>
        </w:rPr>
        <w:t>Buye r shall have until the expiration of the Due Diligence Period to review the Abstract of Title, Commitment for Title Insurance and/or the Survey and give written notice to Seller of any objections Buyer may reasonably have to any item set forth in the title evidence or the Survey (“Title Objection Notice”).</w:t>
      </w:r>
    </w:p>
    <w:p>
      <w:pPr>
        <w:spacing w:after="0" w:line="163" w:lineRule="exact"/>
        <w:rPr>
          <w:sz w:val="20"/>
          <w:szCs w:val="20"/>
          <w:color w:val="auto"/>
        </w:rPr>
      </w:pPr>
    </w:p>
    <w:p>
      <w:pPr>
        <w:ind w:left="2" w:right="40"/>
        <w:spacing w:after="0" w:line="259" w:lineRule="auto"/>
        <w:rPr>
          <w:sz w:val="20"/>
          <w:szCs w:val="20"/>
          <w:color w:val="auto"/>
        </w:rPr>
      </w:pPr>
      <w:r>
        <w:rPr>
          <w:rFonts w:ascii="Arial" w:cs="Arial" w:eastAsia="Arial" w:hAnsi="Arial"/>
          <w:sz w:val="14"/>
          <w:szCs w:val="14"/>
          <w:color w:val="auto"/>
        </w:rPr>
        <w:t>If Buyer notifies Seller of any such objection(s), Seller shall either: (a) cure such objections as soon as reasonably possible but no later than prior to Closing (and, for purposes of this Agreement, "cure" shall include, but not be limited to, removing any such defect); or (b) decline to cure such objections. If Seller declines to cure such objections Seller shall so notify Buyer within five (5) business days of receiving Title Objection No tice from Buyer. Thereafter, Buyer shall either waive such objections and proceed to Closing or terminate this Agreement. If title defects are discovered by or reported to Buyer on or prior to the Date of Closing which are not shown on the Abstract of Title, Commitment for Title Insurance or the Survey, or which were created or came into existence on or after the date of delivery of the Abstract of Title, Commitment for Title Insurance or the Survey, Buyer shall immediately notify Seller in writing of any such title defects. Seller may then either (a) cure such objections prior to Closing (and, for purposes of this Agreement, "cure" shall include, but not be limited to removing of any such defect); or (b) decline to cure such objections. If Seller declines to cure such objections, it shall so notify Buyer within five (5) business days. Thereafter, Buyer shall either waive such objections and proceed to Closing or terminate this Agreement.</w:t>
      </w:r>
    </w:p>
    <w:p>
      <w:pPr>
        <w:spacing w:after="0" w:line="180" w:lineRule="exact"/>
        <w:rPr>
          <w:sz w:val="20"/>
          <w:szCs w:val="20"/>
          <w:color w:val="auto"/>
        </w:rPr>
      </w:pPr>
    </w:p>
    <w:p>
      <w:pPr>
        <w:ind w:left="2" w:right="120"/>
        <w:spacing w:after="0" w:line="264" w:lineRule="auto"/>
        <w:rPr>
          <w:sz w:val="20"/>
          <w:szCs w:val="20"/>
          <w:color w:val="auto"/>
        </w:rPr>
      </w:pPr>
      <w:r>
        <w:rPr>
          <w:rFonts w:ascii="Arial" w:cs="Arial" w:eastAsia="Arial" w:hAnsi="Arial"/>
          <w:sz w:val="14"/>
          <w:szCs w:val="14"/>
          <w:color w:val="auto"/>
        </w:rPr>
        <w:t>“Permitted Exceptions” shall mean typical utility, drainage and access easements necessary for the operation and maintenance of the Property, liens for taxes, water charges, sewer rents and other governmental charges not due and payable by or at the Closing (provided same are apportioned between Seller and Buyer in the customary manner); the Declaration of Covenants and Restrictions filed January 29, 2001 as Document No. 2001-0181 of the Floyd County, Iowa, Recorder's Office (the “Declaration of Covenants”); leases and occupancy rights as may be approved by Buyer; and such other non-monetary encumbrances or exceptions as may be acceptable to Buyer.</w:t>
      </w:r>
    </w:p>
    <w:p>
      <w:pPr>
        <w:spacing w:after="0" w:line="150" w:lineRule="exact"/>
        <w:rPr>
          <w:sz w:val="20"/>
          <w:szCs w:val="20"/>
          <w:color w:val="auto"/>
        </w:rPr>
      </w:pPr>
    </w:p>
    <w:p>
      <w:pPr>
        <w:ind w:left="2" w:right="20" w:hanging="2"/>
        <w:spacing w:after="0" w:line="260" w:lineRule="auto"/>
        <w:tabs>
          <w:tab w:leader="none" w:pos="165"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Buyer's Financing Contingency.</w:t>
      </w:r>
      <w:r>
        <w:rPr>
          <w:rFonts w:ascii="Arial" w:cs="Arial" w:eastAsia="Arial" w:hAnsi="Arial"/>
          <w:sz w:val="14"/>
          <w:szCs w:val="14"/>
          <w:color w:val="auto"/>
        </w:rPr>
        <w:t xml:space="preserve"> Buyer's obligation to purchase the Property and to perform its other obligations under this Agreement is contingent on Buyer obtaining a written commitment for a loan in the amount of at least $2,730,000 on terms reasonably satisfactory to Buyer (the “Loan Commitment”) on or before the date thirty (30) days after the Effective Date (the “Financing Contingency Deadline”). If Buyer provides Seller written notice on or before the Financing Contingency Deadline of Buyer's failure to obtain such Loan Commitment, this Agreement shall be rendered null and void, the Deposit shall be returned, and Buyer and Seller shall have no further obligations hereunder. If Buyer does not terminate this Agreement prior to expiration of the Financing Contingency Deadline, Buyer shall be deemed to have waived the financing contingency in this Paragraph 4. Upon receipt of the Loan Comm itment, Buyer shall have no further right to terminate this Agreement and receive back the Deposit under this Paragraph 4.</w:t>
      </w:r>
    </w:p>
    <w:p>
      <w:pPr>
        <w:spacing w:after="0" w:line="155" w:lineRule="exact"/>
        <w:rPr>
          <w:rFonts w:ascii="Arial" w:cs="Arial" w:eastAsia="Arial" w:hAnsi="Arial"/>
          <w:sz w:val="14"/>
          <w:szCs w:val="14"/>
          <w:color w:val="auto"/>
        </w:rPr>
      </w:pPr>
    </w:p>
    <w:p>
      <w:pPr>
        <w:ind w:left="162" w:hanging="162"/>
        <w:spacing w:after="0"/>
        <w:tabs>
          <w:tab w:leader="none" w:pos="162"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Buyer</w:t>
      </w:r>
      <w:r>
        <w:rPr>
          <w:rFonts w:ascii="Arial" w:cs="Arial" w:eastAsia="Arial" w:hAnsi="Arial"/>
          <w:sz w:val="15"/>
          <w:szCs w:val="15"/>
          <w:color w:val="auto"/>
        </w:rPr>
        <w:t>.</w:t>
      </w:r>
    </w:p>
    <w:p>
      <w:pPr>
        <w:spacing w:after="0" w:line="171" w:lineRule="exact"/>
        <w:rPr>
          <w:sz w:val="20"/>
          <w:szCs w:val="20"/>
          <w:color w:val="auto"/>
        </w:rPr>
      </w:pPr>
    </w:p>
    <w:p>
      <w:pPr>
        <w:ind w:left="2" w:right="140"/>
        <w:spacing w:after="0" w:line="260" w:lineRule="auto"/>
        <w:rPr>
          <w:sz w:val="20"/>
          <w:szCs w:val="20"/>
          <w:color w:val="auto"/>
        </w:rPr>
      </w:pPr>
      <w:r>
        <w:rPr>
          <w:rFonts w:ascii="Arial" w:cs="Arial" w:eastAsia="Arial" w:hAnsi="Arial"/>
          <w:sz w:val="14"/>
          <w:szCs w:val="14"/>
          <w:color w:val="auto"/>
        </w:rPr>
        <w:t>Buyer represents and warrants to Seller that Buyer has all requisite power and authority to execute, deliver, enter into and perform its duties and obligations under this Agreement; and that neither the execution nor the d elivery of this Agreement, the consummation of the sale and purchase contemplated hereby, nor the fulfillment of or compliance with the terms and conditions hereof conflict with or will result in the breach of any of the terms, conditions or provisions of any agreement or instrument to which the Buyer is a party or by which the Buyer is bound. Buyer further represents and warrants to Seller that the Buyer has not (i) made a general assignment for the benefit of creditors, (ii) filed any voluntary petition in the bankruptcy or suffered the filing of an involuntary petition by Buyer's creditors, (iii) suffered the appointment of a receiver to take possession of all or substantially all of the Buyer's assets, (iv) suffered the attachment or other judicial seizure of all, or substantially all, of Buyer's assets, (v)</w:t>
      </w:r>
    </w:p>
    <w:p>
      <w:pPr>
        <w:spacing w:after="0" w:line="156"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8472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
        <w:spacing w:after="0"/>
        <w:rPr>
          <w:sz w:val="20"/>
          <w:szCs w:val="20"/>
          <w:color w:val="auto"/>
        </w:rPr>
      </w:pPr>
      <w:r>
        <w:rPr>
          <w:rFonts w:ascii="Arial" w:cs="Arial" w:eastAsia="Arial" w:hAnsi="Arial"/>
          <w:sz w:val="15"/>
          <w:szCs w:val="15"/>
          <w:color w:val="auto"/>
        </w:rPr>
        <w:t>admitted in writing its inability to pay its debts as they become due, or (vi) made an offer of settlement, extension or compromise to its creditors generally.</w:t>
      </w:r>
    </w:p>
    <w:p>
      <w:pPr>
        <w:spacing w:after="0" w:line="171" w:lineRule="exact"/>
        <w:rPr>
          <w:sz w:val="20"/>
          <w:szCs w:val="20"/>
          <w:color w:val="auto"/>
        </w:rPr>
      </w:pPr>
    </w:p>
    <w:p>
      <w:pPr>
        <w:ind w:left="162" w:hanging="162"/>
        <w:spacing w:after="0"/>
        <w:tabs>
          <w:tab w:leader="none" w:pos="162"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Seller</w:t>
      </w:r>
      <w:r>
        <w:rPr>
          <w:rFonts w:ascii="Arial" w:cs="Arial" w:eastAsia="Arial" w:hAnsi="Arial"/>
          <w:sz w:val="15"/>
          <w:szCs w:val="15"/>
          <w:color w:val="auto"/>
        </w:rPr>
        <w:t>.</w:t>
      </w:r>
    </w:p>
    <w:p>
      <w:pPr>
        <w:spacing w:after="0" w:line="161" w:lineRule="exact"/>
        <w:rPr>
          <w:sz w:val="20"/>
          <w:szCs w:val="20"/>
          <w:color w:val="auto"/>
        </w:rPr>
      </w:pPr>
    </w:p>
    <w:p>
      <w:pPr>
        <w:ind w:left="2" w:right="40"/>
        <w:spacing w:after="0" w:line="243" w:lineRule="auto"/>
        <w:rPr>
          <w:sz w:val="20"/>
          <w:szCs w:val="20"/>
          <w:color w:val="auto"/>
        </w:rPr>
      </w:pPr>
      <w:r>
        <w:rPr>
          <w:rFonts w:ascii="Arial" w:cs="Arial" w:eastAsia="Arial" w:hAnsi="Arial"/>
          <w:sz w:val="15"/>
          <w:szCs w:val="15"/>
          <w:color w:val="auto"/>
        </w:rPr>
        <w:t>Seller makes the following representations and warranties, which representations and warranties are true and correct on the date hereof, and which representations and warranties shall survive the Closing for a period of one (1) year. The phrases “to the best of Seller's knowledge” or “Seller's knowledge” as used in this Agreement shall mean the actual knowledge, without independent inquiry, of Sarah Nielsen, as Vice President and CFO of Seller, and Raymond Beebe, as Vice President-General Counsel and Secretary of Seller. In addition, the term “Environmental Law” shall mean any Federal, State or local law, rule, regulation, ordinance or other regulatory requirement intended to protect the environment or human health, and the term “Regulated Substance” shall mean any hazardous substance, residue or waste (including specifically petroleum and related hydrocarbons and their byproducts, asbestos, and polychlorinated biphenyls) that is r egulated by an Environmental Law.</w:t>
      </w:r>
    </w:p>
    <w:p>
      <w:pPr>
        <w:spacing w:after="0" w:line="164" w:lineRule="exact"/>
        <w:rPr>
          <w:sz w:val="20"/>
          <w:szCs w:val="20"/>
          <w:color w:val="auto"/>
        </w:rPr>
      </w:pPr>
    </w:p>
    <w:p>
      <w:pPr>
        <w:ind w:left="762" w:hanging="467"/>
        <w:spacing w:after="0"/>
        <w:tabs>
          <w:tab w:leader="none" w:pos="7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Seller is a corporation duly organized, validly existing and in good standing under the laws of the State of Iowa.</w:t>
      </w:r>
    </w:p>
    <w:p>
      <w:pPr>
        <w:spacing w:after="0" w:line="170" w:lineRule="exact"/>
        <w:rPr>
          <w:rFonts w:ascii="Arial" w:cs="Arial" w:eastAsia="Arial" w:hAnsi="Arial"/>
          <w:sz w:val="15"/>
          <w:szCs w:val="15"/>
          <w:color w:val="auto"/>
        </w:rPr>
      </w:pPr>
    </w:p>
    <w:p>
      <w:pPr>
        <w:ind w:left="762" w:hanging="467"/>
        <w:spacing w:after="0"/>
        <w:tabs>
          <w:tab w:leader="none" w:pos="7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Seller has all necessary power and authority to own, use and transfer the Property and to transact the business in which it is engaged.</w:t>
      </w:r>
    </w:p>
    <w:p>
      <w:pPr>
        <w:spacing w:after="0" w:line="170" w:lineRule="exact"/>
        <w:rPr>
          <w:rFonts w:ascii="Arial" w:cs="Arial" w:eastAsia="Arial" w:hAnsi="Arial"/>
          <w:sz w:val="15"/>
          <w:szCs w:val="15"/>
          <w:color w:val="auto"/>
        </w:rPr>
      </w:pPr>
    </w:p>
    <w:p>
      <w:pPr>
        <w:ind w:left="762" w:hanging="467"/>
        <w:spacing w:after="0"/>
        <w:tabs>
          <w:tab w:leader="none" w:pos="7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Seller is duly authorized to execute, deliver and perform this Agreement and all documents and instruments and transactions contemplated hereby or incidental</w:t>
      </w:r>
    </w:p>
    <w:p>
      <w:pPr>
        <w:ind w:left="2"/>
        <w:spacing w:after="0"/>
        <w:rPr>
          <w:rFonts w:ascii="Arial" w:cs="Arial" w:eastAsia="Arial" w:hAnsi="Arial"/>
          <w:sz w:val="15"/>
          <w:szCs w:val="15"/>
          <w:color w:val="auto"/>
        </w:rPr>
      </w:pPr>
      <w:r>
        <w:rPr>
          <w:rFonts w:ascii="Arial" w:cs="Arial" w:eastAsia="Arial" w:hAnsi="Arial"/>
          <w:sz w:val="15"/>
          <w:szCs w:val="15"/>
          <w:color w:val="auto"/>
        </w:rPr>
        <w:t>hereto.</w:t>
      </w:r>
    </w:p>
    <w:p>
      <w:pPr>
        <w:spacing w:after="0" w:line="170" w:lineRule="exact"/>
        <w:rPr>
          <w:rFonts w:ascii="Arial" w:cs="Arial" w:eastAsia="Arial" w:hAnsi="Arial"/>
          <w:sz w:val="15"/>
          <w:szCs w:val="15"/>
          <w:color w:val="auto"/>
        </w:rPr>
      </w:pPr>
    </w:p>
    <w:p>
      <w:pPr>
        <w:ind w:left="762" w:hanging="467"/>
        <w:spacing w:after="0"/>
        <w:tabs>
          <w:tab w:leader="none" w:pos="7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Seller owns the Property free and clear of all encumbrances except the Permitted Exceptions, other than liens to be discharged at Settlement.</w:t>
      </w:r>
    </w:p>
    <w:p>
      <w:pPr>
        <w:spacing w:after="0" w:line="170" w:lineRule="exact"/>
        <w:rPr>
          <w:rFonts w:ascii="Arial" w:cs="Arial" w:eastAsia="Arial" w:hAnsi="Arial"/>
          <w:sz w:val="15"/>
          <w:szCs w:val="15"/>
          <w:color w:val="auto"/>
        </w:rPr>
      </w:pPr>
    </w:p>
    <w:p>
      <w:pPr>
        <w:ind w:left="2" w:right="100" w:firstLine="293"/>
        <w:spacing w:after="0" w:line="264" w:lineRule="auto"/>
        <w:tabs>
          <w:tab w:leader="none" w:pos="754"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 the best of Seller's knowledge there has not been any generation, transportation, treatment, storage, disposal or release in or on the Property by third parties, and, to the best of Seller's knowledge, Seller has not caused or permitted any generation, transportation, treatment, storage, disposal or release in or on the Property (or in or on any other Property adjacent thereto which is or has been owned by Seller), of any Regulated Substances in violation of any Environmental Law that may support a claim or cause of action against the Property or any owner thereof, whether by a governmental agency or body, private party or individual, under any Environmental Law.</w:t>
      </w:r>
    </w:p>
    <w:p>
      <w:pPr>
        <w:spacing w:after="0" w:line="150" w:lineRule="exact"/>
        <w:rPr>
          <w:rFonts w:ascii="Arial" w:cs="Arial" w:eastAsia="Arial" w:hAnsi="Arial"/>
          <w:sz w:val="14"/>
          <w:szCs w:val="14"/>
          <w:color w:val="auto"/>
        </w:rPr>
      </w:pPr>
    </w:p>
    <w:p>
      <w:pPr>
        <w:ind w:left="742" w:hanging="447"/>
        <w:spacing w:after="0"/>
        <w:tabs>
          <w:tab w:leader="none" w:pos="742" w:val="left"/>
        </w:tabs>
        <w:numPr>
          <w:ilvl w:val="0"/>
          <w:numId w:val="54"/>
        </w:numPr>
        <w:rPr>
          <w:rFonts w:ascii="Arial" w:cs="Arial" w:eastAsia="Arial" w:hAnsi="Arial"/>
          <w:sz w:val="15"/>
          <w:szCs w:val="15"/>
          <w:color w:val="auto"/>
        </w:rPr>
      </w:pPr>
      <w:r>
        <w:rPr>
          <w:rFonts w:ascii="Arial" w:cs="Arial" w:eastAsia="Arial" w:hAnsi="Arial"/>
          <w:sz w:val="15"/>
          <w:szCs w:val="15"/>
          <w:color w:val="auto"/>
        </w:rPr>
        <w:t>To the best of Seller's knowledge, there are no underground storage tanks presently or previously located on the Property.</w:t>
      </w:r>
    </w:p>
    <w:p>
      <w:pPr>
        <w:spacing w:after="0" w:line="170" w:lineRule="exact"/>
        <w:rPr>
          <w:rFonts w:ascii="Arial" w:cs="Arial" w:eastAsia="Arial" w:hAnsi="Arial"/>
          <w:sz w:val="15"/>
          <w:szCs w:val="15"/>
          <w:color w:val="auto"/>
        </w:rPr>
      </w:pPr>
    </w:p>
    <w:p>
      <w:pPr>
        <w:ind w:left="762" w:hanging="467"/>
        <w:spacing w:after="0"/>
        <w:tabs>
          <w:tab w:leader="none" w:pos="7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To the best of Seller's knowledge there are no wells located on the Property.</w:t>
      </w:r>
    </w:p>
    <w:p>
      <w:pPr>
        <w:spacing w:after="0" w:line="170" w:lineRule="exact"/>
        <w:rPr>
          <w:rFonts w:ascii="Arial" w:cs="Arial" w:eastAsia="Arial" w:hAnsi="Arial"/>
          <w:sz w:val="15"/>
          <w:szCs w:val="15"/>
          <w:color w:val="auto"/>
        </w:rPr>
      </w:pPr>
    </w:p>
    <w:p>
      <w:pPr>
        <w:ind w:left="762" w:hanging="467"/>
        <w:spacing w:after="0"/>
        <w:tabs>
          <w:tab w:leader="none" w:pos="7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To the best of Seller's knowledge there are no individual sewage treatment systems located on or near the Property.</w:t>
      </w:r>
    </w:p>
    <w:p>
      <w:pPr>
        <w:spacing w:after="0" w:line="170" w:lineRule="exact"/>
        <w:rPr>
          <w:rFonts w:ascii="Arial" w:cs="Arial" w:eastAsia="Arial" w:hAnsi="Arial"/>
          <w:sz w:val="15"/>
          <w:szCs w:val="15"/>
          <w:color w:val="auto"/>
        </w:rPr>
      </w:pPr>
    </w:p>
    <w:p>
      <w:pPr>
        <w:ind w:left="722" w:hanging="427"/>
        <w:spacing w:after="0"/>
        <w:tabs>
          <w:tab w:leader="none" w:pos="722" w:val="left"/>
        </w:tabs>
        <w:numPr>
          <w:ilvl w:val="0"/>
          <w:numId w:val="54"/>
        </w:numPr>
        <w:rPr>
          <w:rFonts w:ascii="Arial" w:cs="Arial" w:eastAsia="Arial" w:hAnsi="Arial"/>
          <w:sz w:val="15"/>
          <w:szCs w:val="15"/>
          <w:color w:val="auto"/>
        </w:rPr>
      </w:pPr>
      <w:r>
        <w:rPr>
          <w:rFonts w:ascii="Arial" w:cs="Arial" w:eastAsia="Arial" w:hAnsi="Arial"/>
          <w:sz w:val="15"/>
          <w:szCs w:val="15"/>
          <w:color w:val="auto"/>
        </w:rPr>
        <w:t>To the best of Seller's knowledge no asbestos was used in the construction or insulation of the improvements on the Property.</w:t>
      </w:r>
    </w:p>
    <w:p>
      <w:pPr>
        <w:spacing w:after="0" w:line="170" w:lineRule="exact"/>
        <w:rPr>
          <w:rFonts w:ascii="Arial" w:cs="Arial" w:eastAsia="Arial" w:hAnsi="Arial"/>
          <w:sz w:val="15"/>
          <w:szCs w:val="15"/>
          <w:color w:val="auto"/>
        </w:rPr>
      </w:pPr>
    </w:p>
    <w:p>
      <w:pPr>
        <w:ind w:left="2" w:right="40" w:firstLine="293"/>
        <w:spacing w:after="0" w:line="242" w:lineRule="auto"/>
        <w:tabs>
          <w:tab w:leader="none" w:pos="721" w:val="left"/>
        </w:tabs>
        <w:numPr>
          <w:ilvl w:val="0"/>
          <w:numId w:val="54"/>
        </w:numPr>
        <w:rPr>
          <w:rFonts w:ascii="Arial" w:cs="Arial" w:eastAsia="Arial" w:hAnsi="Arial"/>
          <w:sz w:val="15"/>
          <w:szCs w:val="15"/>
          <w:color w:val="auto"/>
        </w:rPr>
      </w:pPr>
      <w:r>
        <w:rPr>
          <w:rFonts w:ascii="Arial" w:cs="Arial" w:eastAsia="Arial" w:hAnsi="Arial"/>
          <w:sz w:val="15"/>
          <w:szCs w:val="15"/>
          <w:color w:val="auto"/>
        </w:rPr>
        <w:t>To the best of Seller's knowledge, there is no action, suit, proceeding or investigation pending which would become a cloud on the title to the Property or any portion thereof, or which questions the validity or enforceability of the transaction contemplated by this Agreement or any action taken pursuant hereto, in any court or by any federal, district, county or municipal department, commission, board, bureau, agency or other governmental instrumentality.</w:t>
      </w:r>
    </w:p>
    <w:p>
      <w:pPr>
        <w:spacing w:after="0" w:line="165" w:lineRule="exact"/>
        <w:rPr>
          <w:rFonts w:ascii="Arial" w:cs="Arial" w:eastAsia="Arial" w:hAnsi="Arial"/>
          <w:sz w:val="15"/>
          <w:szCs w:val="15"/>
          <w:color w:val="auto"/>
        </w:rPr>
      </w:pPr>
    </w:p>
    <w:p>
      <w:pPr>
        <w:ind w:left="762" w:hanging="467"/>
        <w:spacing w:after="0"/>
        <w:tabs>
          <w:tab w:leader="none" w:pos="7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Seller is neither a "foreign person" nor a "foreign corporation" (as those terms are defined in Section 1445 of the Internal Revenue Code of 1986, as amended).</w:t>
      </w:r>
    </w:p>
    <w:p>
      <w:pPr>
        <w:spacing w:after="0" w:line="170" w:lineRule="exact"/>
        <w:rPr>
          <w:rFonts w:ascii="Arial" w:cs="Arial" w:eastAsia="Arial" w:hAnsi="Arial"/>
          <w:sz w:val="15"/>
          <w:szCs w:val="15"/>
          <w:color w:val="auto"/>
        </w:rPr>
      </w:pPr>
    </w:p>
    <w:p>
      <w:pPr>
        <w:ind w:left="2" w:right="160" w:firstLine="293"/>
        <w:spacing w:after="0" w:line="280" w:lineRule="auto"/>
        <w:tabs>
          <w:tab w:leader="none" w:pos="721"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Seller has not: (i) made a general assignment for the benefit of creditors, (ii) filed any voluntary petition in bankruptcy or suffered the filing of an involuntary petition by Seller's creditors, (iii) suffered the appointment of a receiver to take possession of all, or substantially all, of Seller's assets, (iv) suffered the attachment or other judicial</w:t>
      </w:r>
    </w:p>
    <w:p>
      <w:pPr>
        <w:sectPr>
          <w:pgSz w:w="11900" w:h="16884" w:orient="portrait"/>
          <w:cols w:equalWidth="0" w:num="1">
            <w:col w:w="11422"/>
          </w:cols>
          <w:pgMar w:left="238" w:top="485" w:right="239" w:bottom="0" w:gutter="0" w:footer="0" w:header="0"/>
        </w:sectPr>
      </w:pPr>
    </w:p>
    <w:bookmarkStart w:id="59" w:name="page60"/>
    <w:bookmarkEnd w:id="59"/>
    <w:p>
      <w:pPr>
        <w:ind w:right="20"/>
        <w:spacing w:after="0" w:line="242" w:lineRule="auto"/>
        <w:rPr>
          <w:sz w:val="20"/>
          <w:szCs w:val="20"/>
          <w:color w:val="auto"/>
        </w:rPr>
      </w:pPr>
      <w:r>
        <w:rPr>
          <w:rFonts w:ascii="Arial" w:cs="Arial" w:eastAsia="Arial" w:hAnsi="Arial"/>
          <w:sz w:val="15"/>
          <w:szCs w:val="15"/>
          <w:color w:val="auto"/>
        </w:rPr>
        <w:t>seizure of all, or substantially all, of Seller's assets, (v) admitted in writing its inability to pay its debts as they become due, or (vi) made an offer of settlement, extension or compen sation to its creditors generally; and no attachments, assignments for the benefit of creditors, or insolvency, bankruptcy, reorganization, execution or other proceedings are pending or, to the best of Seller's knowledge, threatened against Seller or the Property, nor are any such proceedings contemplated by Seller.</w:t>
      </w:r>
    </w:p>
    <w:p>
      <w:pPr>
        <w:spacing w:after="0" w:line="165" w:lineRule="exact"/>
        <w:rPr>
          <w:sz w:val="20"/>
          <w:szCs w:val="20"/>
          <w:color w:val="auto"/>
        </w:rPr>
      </w:pPr>
    </w:p>
    <w:p>
      <w:pPr>
        <w:ind w:firstLine="293"/>
        <w:spacing w:after="0" w:line="245" w:lineRule="auto"/>
        <w:tabs>
          <w:tab w:leader="none" w:pos="809" w:val="left"/>
        </w:tabs>
        <w:numPr>
          <w:ilvl w:val="0"/>
          <w:numId w:val="55"/>
        </w:numPr>
        <w:rPr>
          <w:rFonts w:ascii="Arial" w:cs="Arial" w:eastAsia="Arial" w:hAnsi="Arial"/>
          <w:sz w:val="15"/>
          <w:szCs w:val="15"/>
          <w:color w:val="auto"/>
        </w:rPr>
      </w:pPr>
      <w:r>
        <w:rPr>
          <w:rFonts w:ascii="Arial" w:cs="Arial" w:eastAsia="Arial" w:hAnsi="Arial"/>
          <w:sz w:val="15"/>
          <w:szCs w:val="15"/>
          <w:color w:val="auto"/>
        </w:rPr>
        <w:t>No work has been performed or is in progress at, and no materials have been furnished to, the Property or any portion thereof by or on behalf of Seller which could give rise to any mechanic's, materialman's or other liens and no such liens are outstanding.</w:t>
      </w:r>
    </w:p>
    <w:p>
      <w:pPr>
        <w:spacing w:after="0" w:line="163" w:lineRule="exact"/>
        <w:rPr>
          <w:rFonts w:ascii="Arial" w:cs="Arial" w:eastAsia="Arial" w:hAnsi="Arial"/>
          <w:sz w:val="15"/>
          <w:szCs w:val="15"/>
          <w:color w:val="auto"/>
        </w:rPr>
      </w:pPr>
    </w:p>
    <w:p>
      <w:pPr>
        <w:ind w:right="700" w:firstLine="293"/>
        <w:spacing w:after="0" w:line="245" w:lineRule="auto"/>
        <w:tabs>
          <w:tab w:leader="none" w:pos="768"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Seller has received no written notice of condemnation of any portion of the Property from any governmental authority, that there are presently no pending assessments against the property and Seller has not received any written notice of any assessments being contemplated.</w:t>
      </w:r>
    </w:p>
    <w:p>
      <w:pPr>
        <w:spacing w:after="0" w:line="163"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00"/>
          </w:cols>
          <w:pgMar w:left="240" w:top="141" w:right="259" w:bottom="1440" w:gutter="0" w:footer="0" w:header="0"/>
        </w:sectPr>
      </w:pPr>
    </w:p>
    <w:bookmarkStart w:id="60" w:name="page61"/>
    <w:bookmarkEnd w:id="60"/>
    <w:p>
      <w:pPr>
        <w:ind w:right="200" w:firstLine="293"/>
        <w:spacing w:after="0" w:line="245" w:lineRule="auto"/>
        <w:tabs>
          <w:tab w:leader="none" w:pos="768"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There are no other agreements to lease, sell, option, mortgage or otherwise encumber or dispose of its interest in the Property or any part thereof, except for this Agreement and the Leases.</w:t>
      </w:r>
    </w:p>
    <w:p>
      <w:pPr>
        <w:spacing w:after="0" w:line="163" w:lineRule="exact"/>
        <w:rPr>
          <w:rFonts w:ascii="Arial" w:cs="Arial" w:eastAsia="Arial" w:hAnsi="Arial"/>
          <w:sz w:val="15"/>
          <w:szCs w:val="15"/>
          <w:color w:val="auto"/>
        </w:rPr>
      </w:pPr>
    </w:p>
    <w:p>
      <w:pPr>
        <w:ind w:right="80" w:firstLine="293"/>
        <w:spacing w:after="0" w:line="242" w:lineRule="auto"/>
        <w:tabs>
          <w:tab w:leader="none" w:pos="768"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There are no tenancies, occupancies affecting the Property or persons in possession of any part thereof, except under or pursuant to the Leases. As of the date hereof, Seller is the holder of all of the landlord's right, title and interest in, to and under the Leases. Seller has not received any written cl aim from any tenant under any of the Leases alleging any type of default by the landlord under any of the Leases.</w:t>
      </w:r>
    </w:p>
    <w:p>
      <w:pPr>
        <w:spacing w:after="0" w:line="165" w:lineRule="exact"/>
        <w:rPr>
          <w:rFonts w:ascii="Arial" w:cs="Arial" w:eastAsia="Arial" w:hAnsi="Arial"/>
          <w:sz w:val="15"/>
          <w:szCs w:val="15"/>
          <w:color w:val="auto"/>
        </w:rPr>
      </w:pPr>
    </w:p>
    <w:p>
      <w:pPr>
        <w:ind w:right="640" w:firstLine="293"/>
        <w:spacing w:after="0" w:line="245" w:lineRule="auto"/>
        <w:tabs>
          <w:tab w:leader="none" w:pos="768"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copies of documents comprising the Leases and the Contracts to be delivered to Buyer pursuant to this Agreement are accurate copies of all material documents comprising the Leases and the Contracts.</w:t>
      </w:r>
    </w:p>
    <w:p>
      <w:pPr>
        <w:spacing w:after="0" w:line="163" w:lineRule="exact"/>
        <w:rPr>
          <w:rFonts w:ascii="Arial" w:cs="Arial" w:eastAsia="Arial" w:hAnsi="Arial"/>
          <w:sz w:val="15"/>
          <w:szCs w:val="15"/>
          <w:color w:val="auto"/>
        </w:rPr>
      </w:pPr>
    </w:p>
    <w:p>
      <w:pPr>
        <w:ind w:right="120" w:firstLine="293"/>
        <w:spacing w:after="0" w:line="241" w:lineRule="auto"/>
        <w:tabs>
          <w:tab w:leader="none" w:pos="736"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Seller has received no written building code violation notices or other written notices of any violation of any federal, state, county or local law with respect to the Property (other than written notices of violations which have been removed or corrected), and Seller has received no written notices of any action or governmental proceeding in eminent domain, or for a zoning change, which would affect the Property, other than as may be disclosed in any of the documents or reports to be delivered by Seller to Buyer pursuant to this Agreement.</w:t>
      </w:r>
    </w:p>
    <w:p>
      <w:pPr>
        <w:spacing w:after="0" w:line="165" w:lineRule="exact"/>
        <w:rPr>
          <w:rFonts w:ascii="Arial" w:cs="Arial" w:eastAsia="Arial" w:hAnsi="Arial"/>
          <w:sz w:val="15"/>
          <w:szCs w:val="15"/>
          <w:color w:val="auto"/>
        </w:rPr>
      </w:pPr>
    </w:p>
    <w:p>
      <w:pPr>
        <w:ind w:left="760" w:hanging="467"/>
        <w:spacing w:after="0"/>
        <w:tabs>
          <w:tab w:leader="none" w:pos="7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Seller has not received any written notice from any governmental authority as to the existence of any diseas e of any trees on the Property.</w:t>
      </w:r>
    </w:p>
    <w:p>
      <w:pPr>
        <w:spacing w:after="0" w:line="170" w:lineRule="exact"/>
        <w:rPr>
          <w:rFonts w:ascii="Arial" w:cs="Arial" w:eastAsia="Arial" w:hAnsi="Arial"/>
          <w:sz w:val="15"/>
          <w:szCs w:val="15"/>
          <w:color w:val="auto"/>
        </w:rPr>
      </w:pPr>
    </w:p>
    <w:p>
      <w:pPr>
        <w:ind w:left="600" w:hanging="307"/>
        <w:spacing w:after="0"/>
        <w:tabs>
          <w:tab w:leader="none" w:pos="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Seller shall maintain prior to the Closing insurance policies with respect to the Property and such operation in amounts as are comparable.</w:t>
      </w:r>
    </w:p>
    <w:p>
      <w:pPr>
        <w:spacing w:after="0" w:line="170" w:lineRule="exact"/>
        <w:rPr>
          <w:rFonts w:ascii="Arial" w:cs="Arial" w:eastAsia="Arial" w:hAnsi="Arial"/>
          <w:sz w:val="15"/>
          <w:szCs w:val="15"/>
          <w:color w:val="auto"/>
        </w:rPr>
      </w:pPr>
    </w:p>
    <w:p>
      <w:pPr>
        <w:ind w:right="40" w:firstLine="293"/>
        <w:spacing w:after="0" w:line="242" w:lineRule="auto"/>
        <w:tabs>
          <w:tab w:leader="none" w:pos="635"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That utilities serving the Property are located on the Property, or enter the Property from adjacent public right-of-way, and Seller will relocate from the Property all service meters serving Seller's retained property to property owned by Seller. Buyer shall all ow Seller sixty (60) days following Closing within which to complete this relocation. Seller shall repair all damage to the Property caused by such relocation.</w:t>
      </w:r>
    </w:p>
    <w:p>
      <w:pPr>
        <w:spacing w:after="0" w:line="165" w:lineRule="exact"/>
        <w:rPr>
          <w:sz w:val="20"/>
          <w:szCs w:val="20"/>
          <w:color w:val="auto"/>
        </w:rPr>
      </w:pPr>
    </w:p>
    <w:p>
      <w:pPr>
        <w:ind w:firstLine="294"/>
        <w:spacing w:after="0"/>
        <w:rPr>
          <w:sz w:val="20"/>
          <w:szCs w:val="20"/>
          <w:color w:val="auto"/>
        </w:rPr>
      </w:pPr>
      <w:r>
        <w:rPr>
          <w:rFonts w:ascii="Arial" w:cs="Arial" w:eastAsia="Arial" w:hAnsi="Arial"/>
          <w:sz w:val="15"/>
          <w:szCs w:val="15"/>
          <w:color w:val="auto"/>
        </w:rPr>
        <w:t>Seller's warranties and representations contained in this paragraph shall survive the delivery of the Warranty Deed and Closing for a period of one (1) year. In the event any of the representations and warranties contained herein becomes untrue as of the Date of Closing as a result of information received by Seller or occurrences subsequent to the Effective Date hereof or otherwise, Seller shall promptly notify Buyer. Seller will indemnify Buyer, its successors and assigns, against and will hold Buyer, its successors and assigns, harmless from, any loss, claim, damage or expense, including reasonable attor neys' fees, which Buyer incurs because of the breach of any of the above representations and warranties, whether such breach is discovered before or after the Date of Closing; provided that written notice of the breach is given by Buyer to Seller within one (1) year after the Closing Date.</w:t>
      </w:r>
    </w:p>
    <w:p>
      <w:pPr>
        <w:spacing w:after="0" w:line="167" w:lineRule="exact"/>
        <w:rPr>
          <w:sz w:val="20"/>
          <w:szCs w:val="20"/>
          <w:color w:val="auto"/>
        </w:rPr>
      </w:pPr>
    </w:p>
    <w:p>
      <w:pPr>
        <w:ind w:right="20" w:firstLine="293"/>
        <w:spacing w:after="0" w:line="241" w:lineRule="auto"/>
        <w:tabs>
          <w:tab w:leader="none" w:pos="458"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Property Sold “AS IS” and “WHERE IS.”</w:t>
      </w:r>
      <w:r>
        <w:rPr>
          <w:rFonts w:ascii="Arial" w:cs="Arial" w:eastAsia="Arial" w:hAnsi="Arial"/>
          <w:sz w:val="15"/>
          <w:szCs w:val="15"/>
          <w:color w:val="auto"/>
        </w:rPr>
        <w:t xml:space="preserve"> It is understood that the Property is being purchased on an “AS-IS” and “WHERE-IS” basis and has been or will be inspected by Buyer or Buyer's duly authorized agent; that the same is and has been purchased as a result of such inspection and not in reliance upon any represent ations, inducements or promises, either oral or written, made by Seller, Agent or any selling agent or other agent of Seller except as expressly stated in this Agreement, and Seller shall not be responsible or liable for any agreement, condition or stipulation not set forth herein relating to or affecting the Property.</w:t>
      </w:r>
    </w:p>
    <w:p>
      <w:pPr>
        <w:spacing w:after="0" w:line="166" w:lineRule="exact"/>
        <w:rPr>
          <w:sz w:val="20"/>
          <w:szCs w:val="20"/>
          <w:color w:val="auto"/>
        </w:rPr>
      </w:pPr>
    </w:p>
    <w:p>
      <w:pPr>
        <w:ind w:right="100" w:firstLine="294"/>
        <w:spacing w:after="0" w:line="239" w:lineRule="auto"/>
        <w:rPr>
          <w:sz w:val="20"/>
          <w:szCs w:val="20"/>
          <w:color w:val="auto"/>
        </w:rPr>
      </w:pPr>
      <w:r>
        <w:rPr>
          <w:rFonts w:ascii="Arial" w:cs="Arial" w:eastAsia="Arial" w:hAnsi="Arial"/>
          <w:sz w:val="15"/>
          <w:szCs w:val="15"/>
          <w:color w:val="auto"/>
        </w:rPr>
        <w:t>From the Effective Date through the Closing, Seller or its agent shall continue to manage and operate the Property in a first class manner consistent with the operation at the present time; however, during this period Seller shall not implement any operational changes, including, without limitation, the termination, extension or renewal of major service or maintenance contracts in effect on the Agreement Date, or enter into any new major service or maintenance contracts (unless cancelable by the owner of the Property on not more than 30 days' notice) or leases, without having first obtained the written consent of Buyer, such consent not to be unreasonably withheld. Following the Approval Date or extension thereof as provided herein, no new leases or management/operating agreements may be signed by Seller without the prior written consent of Buyer. Subject to Closing on the Closing Date, Seller shall tender possession of the Property to Buyer in the same condition the Property was in when last inspected by Buyer, except for ordinary wear and tear, casualty loss and condemnation (provided Buyer shall not have elected to terminate this Agreement pursuant to Paragraphs 13 and 14 as a result of such casualty loss or condemnation).</w:t>
      </w:r>
    </w:p>
    <w:p>
      <w:pPr>
        <w:spacing w:after="0" w:line="171" w:lineRule="exact"/>
        <w:rPr>
          <w:sz w:val="20"/>
          <w:szCs w:val="20"/>
          <w:color w:val="auto"/>
        </w:rPr>
      </w:pPr>
    </w:p>
    <w:p>
      <w:pPr>
        <w:ind w:right="320" w:firstLine="294"/>
        <w:spacing w:after="0" w:line="245" w:lineRule="auto"/>
        <w:rPr>
          <w:sz w:val="20"/>
          <w:szCs w:val="20"/>
          <w:color w:val="auto"/>
        </w:rPr>
      </w:pPr>
      <w:r>
        <w:rPr>
          <w:rFonts w:ascii="Arial" w:cs="Arial" w:eastAsia="Arial" w:hAnsi="Arial"/>
          <w:sz w:val="15"/>
          <w:szCs w:val="15"/>
          <w:color w:val="auto"/>
        </w:rPr>
        <w:t>From the Effective Date to the Closing Date, Seller shall maintain or cause to be maintained in full force and effect liability, casualty and other insurance upon and with respect to the Property against such hazards and in such amounts as are currently so maintained.</w:t>
      </w:r>
    </w:p>
    <w:p>
      <w:pPr>
        <w:spacing w:after="0" w:line="163" w:lineRule="exact"/>
        <w:rPr>
          <w:sz w:val="20"/>
          <w:szCs w:val="20"/>
          <w:color w:val="auto"/>
        </w:rPr>
      </w:pPr>
    </w:p>
    <w:p>
      <w:pPr>
        <w:ind w:right="380" w:firstLine="294"/>
        <w:spacing w:after="0" w:line="242" w:lineRule="auto"/>
        <w:rPr>
          <w:sz w:val="20"/>
          <w:szCs w:val="20"/>
          <w:color w:val="auto"/>
        </w:rPr>
      </w:pPr>
      <w:r>
        <w:rPr>
          <w:rFonts w:ascii="Arial" w:cs="Arial" w:eastAsia="Arial" w:hAnsi="Arial"/>
          <w:sz w:val="15"/>
          <w:szCs w:val="15"/>
          <w:color w:val="auto"/>
        </w:rPr>
        <w:t>Absent the prior written consent of Buyer, from the Effective Date until the Closing Date, unless the Agreement is terminated during that period, Seller shall not sell, encumber or grant any interest in the Property or any part thereof in any form or manner whatsoever, or otherwise perform or permit any act that will diminish or otherwise affect Buyer's interest under this Agreement or in or to the Property or that will prevent Seller's fu ll performance of its obligations hereunder.</w:t>
      </w:r>
    </w:p>
    <w:p>
      <w:pPr>
        <w:spacing w:after="0" w:line="165" w:lineRule="exact"/>
        <w:rPr>
          <w:sz w:val="20"/>
          <w:szCs w:val="20"/>
          <w:color w:val="auto"/>
        </w:rPr>
      </w:pPr>
    </w:p>
    <w:p>
      <w:pPr>
        <w:ind w:left="240" w:hanging="168"/>
        <w:spacing w:after="0"/>
        <w:tabs>
          <w:tab w:leader="none" w:pos="240"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Real Estate Taxes and Assessments</w:t>
      </w:r>
      <w:r>
        <w:rPr>
          <w:rFonts w:ascii="Arial" w:cs="Arial" w:eastAsia="Arial" w:hAnsi="Arial"/>
          <w:sz w:val="15"/>
          <w:szCs w:val="15"/>
          <w:color w:val="auto"/>
        </w:rPr>
        <w:t>.</w:t>
      </w:r>
    </w:p>
    <w:p>
      <w:pPr>
        <w:spacing w:after="0" w:line="171"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40" w:top="656" w:right="239" w:bottom="1440" w:gutter="0" w:footer="0" w:header="0"/>
        </w:sectPr>
      </w:pPr>
    </w:p>
    <w:bookmarkStart w:id="61" w:name="page62"/>
    <w:bookmarkEnd w:id="61"/>
    <w:p>
      <w:pPr>
        <w:ind w:firstLine="293"/>
        <w:spacing w:after="0" w:line="258" w:lineRule="auto"/>
        <w:tabs>
          <w:tab w:leader="none" w:pos="515" w:val="left"/>
        </w:tabs>
        <w:numPr>
          <w:ilvl w:val="0"/>
          <w:numId w:val="59"/>
        </w:numPr>
        <w:rPr>
          <w:rFonts w:ascii="Arial" w:cs="Arial" w:eastAsia="Arial" w:hAnsi="Arial"/>
          <w:sz w:val="14"/>
          <w:szCs w:val="14"/>
          <w:color w:val="auto"/>
        </w:rPr>
      </w:pPr>
      <w:r>
        <w:rPr>
          <w:rFonts w:ascii="Arial" w:cs="Arial" w:eastAsia="Arial" w:hAnsi="Arial"/>
          <w:sz w:val="14"/>
          <w:szCs w:val="14"/>
          <w:color w:val="auto"/>
        </w:rPr>
        <w:t>Seller shall pay all real estate taxes on the Property payable in the fiscal year of Closing and any unpaid real estate taxes payable in prior years. At Closing, Seller shall pay Buyer, or Buyer shall be given a credit for, taxes from the first day of July prior to the Closing Date to the Closing Date payable in the subsequent fiscal year based upon the last known actual net real estate taxes payable according to public records. However, if such taxes are based upon a partial assessment of the present property improvements or a changed tax classification as of the Closing Date, such proration shall be based on the current levy rate, assessed value, legislative tax rollbacks and real estate tax exemptions that will actually be applicable as shown by the assessor's records on the Closing Date. Buyer shall pay all subsequent real estate taxes. In the event that the sale of the Property requires a split of a current assessment parcel, Seller shall pay all taxes payable at c losing and the proration amount shall be based on a pro rata allocation of respective land and improvement values of the tax parcel being split. It is agreed by Buyer and Seller that, if all of the improvements of a current assessment parcel being split are located on the Property, then the pro rata allocation of the taxes for that portion of the assessment parcel located on the Property shall include all taxes attributed by the Floyd County Assessor's Office to the improvements. The remaining portion of the real estate taxes attributed by the Floyd County Assessor's Office to the land shall be allocated between Buyer and Seller based on the percentage of acreage of land on the parties' respective portion of the current assessment parcel. In the event Floyd County will not issue a separate tax statement for fiscal year 2010-2011 for any parcel being purchased by Buyer, Buyer shall not receive a credit at Closing for prorated taxes for such parcel, and Buyer and Seller shall enter into a Tax Proration Agreeme nt setting for their respective obligation for payment of the taxes based on the forgoing.</w:t>
      </w:r>
    </w:p>
    <w:p>
      <w:pPr>
        <w:spacing w:after="0" w:line="155" w:lineRule="exact"/>
        <w:rPr>
          <w:rFonts w:ascii="Arial" w:cs="Arial" w:eastAsia="Arial" w:hAnsi="Arial"/>
          <w:sz w:val="14"/>
          <w:szCs w:val="14"/>
          <w:color w:val="auto"/>
        </w:rPr>
      </w:pPr>
    </w:p>
    <w:p>
      <w:pPr>
        <w:ind w:right="80" w:firstLine="293"/>
        <w:spacing w:after="0" w:line="242" w:lineRule="auto"/>
        <w:tabs>
          <w:tab w:leader="none" w:pos="515" w:val="left"/>
        </w:tabs>
        <w:numPr>
          <w:ilvl w:val="0"/>
          <w:numId w:val="59"/>
        </w:numPr>
        <w:rPr>
          <w:rFonts w:ascii="Arial" w:cs="Arial" w:eastAsia="Arial" w:hAnsi="Arial"/>
          <w:sz w:val="15"/>
          <w:szCs w:val="15"/>
          <w:color w:val="auto"/>
        </w:rPr>
      </w:pPr>
      <w:r>
        <w:rPr>
          <w:rFonts w:ascii="Arial" w:cs="Arial" w:eastAsia="Arial" w:hAnsi="Arial"/>
          <w:sz w:val="15"/>
          <w:szCs w:val="15"/>
          <w:color w:val="auto"/>
        </w:rPr>
        <w:t>Seller shall pay all special assessments that are a lien on the Property at the time of delivery of possession of such property to Buyer. Any preliminary or deficiency special assessments, if any, that cannot be paid at Closing shall be paid by escrowing the estimated amount of such payment, with the Escrow Agent to pay such assessment in full as soon as it can be paid, with any escrowed amount not needed for payment of such special assessment to be paid to Seller.</w:t>
      </w:r>
    </w:p>
    <w:p>
      <w:pPr>
        <w:spacing w:after="0" w:line="165" w:lineRule="exact"/>
        <w:rPr>
          <w:rFonts w:ascii="Arial" w:cs="Arial" w:eastAsia="Arial" w:hAnsi="Arial"/>
          <w:sz w:val="15"/>
          <w:szCs w:val="15"/>
          <w:color w:val="auto"/>
        </w:rPr>
      </w:pPr>
    </w:p>
    <w:p>
      <w:pPr>
        <w:ind w:right="240" w:firstLine="293"/>
        <w:spacing w:after="0" w:line="245" w:lineRule="auto"/>
        <w:tabs>
          <w:tab w:leader="none" w:pos="507" w:val="left"/>
        </w:tabs>
        <w:numPr>
          <w:ilvl w:val="0"/>
          <w:numId w:val="59"/>
        </w:numPr>
        <w:rPr>
          <w:rFonts w:ascii="Arial" w:cs="Arial" w:eastAsia="Arial" w:hAnsi="Arial"/>
          <w:sz w:val="15"/>
          <w:szCs w:val="15"/>
          <w:color w:val="auto"/>
        </w:rPr>
      </w:pPr>
      <w:r>
        <w:rPr>
          <w:rFonts w:ascii="Arial" w:cs="Arial" w:eastAsia="Arial" w:hAnsi="Arial"/>
          <w:sz w:val="15"/>
          <w:szCs w:val="15"/>
          <w:color w:val="auto"/>
        </w:rPr>
        <w:t>All charges for solid waste, sewage, other utilities, and assessments made by any governmental body or public utility attributable to that period of Seller's ownership shall be paid by Seller.</w:t>
      </w:r>
    </w:p>
    <w:p>
      <w:pPr>
        <w:spacing w:after="0" w:line="163" w:lineRule="exact"/>
        <w:rPr>
          <w:rFonts w:ascii="Arial" w:cs="Arial" w:eastAsia="Arial" w:hAnsi="Arial"/>
          <w:sz w:val="15"/>
          <w:szCs w:val="15"/>
          <w:color w:val="auto"/>
        </w:rPr>
      </w:pPr>
    </w:p>
    <w:p>
      <w:pPr>
        <w:ind w:left="520" w:hanging="227"/>
        <w:spacing w:after="0"/>
        <w:tabs>
          <w:tab w:leader="none" w:pos="5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All subsequent real estate taxes, special assessments and charges are to be paid by Buyer.</w:t>
      </w:r>
    </w:p>
    <w:p>
      <w:pPr>
        <w:spacing w:after="0" w:line="171" w:lineRule="exact"/>
        <w:rPr>
          <w:sz w:val="20"/>
          <w:szCs w:val="20"/>
          <w:color w:val="auto"/>
        </w:rPr>
      </w:pPr>
    </w:p>
    <w:p>
      <w:pPr>
        <w:ind w:left="460" w:hanging="167"/>
        <w:spacing w:after="0"/>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Easements</w:t>
      </w:r>
      <w:r>
        <w:rPr>
          <w:rFonts w:ascii="Arial" w:cs="Arial" w:eastAsia="Arial" w:hAnsi="Arial"/>
          <w:sz w:val="15"/>
          <w:szCs w:val="15"/>
          <w:color w:val="auto"/>
        </w:rPr>
        <w:t>.</w:t>
      </w:r>
    </w:p>
    <w:p>
      <w:pPr>
        <w:spacing w:after="0" w:line="171" w:lineRule="exact"/>
        <w:rPr>
          <w:sz w:val="20"/>
          <w:szCs w:val="20"/>
          <w:color w:val="auto"/>
        </w:rPr>
      </w:pPr>
    </w:p>
    <w:p>
      <w:pPr>
        <w:ind w:right="160" w:firstLine="294"/>
        <w:spacing w:after="0" w:line="241" w:lineRule="auto"/>
        <w:rPr>
          <w:sz w:val="20"/>
          <w:szCs w:val="20"/>
          <w:color w:val="auto"/>
        </w:rPr>
      </w:pPr>
      <w:r>
        <w:rPr>
          <w:rFonts w:ascii="Arial" w:cs="Arial" w:eastAsia="Arial" w:hAnsi="Arial"/>
          <w:sz w:val="15"/>
          <w:szCs w:val="15"/>
          <w:color w:val="auto"/>
        </w:rPr>
        <w:t>Prior to the expiration of the Due Diligence Period, Buyer and Seller shall mutually agree to the form and content of (a) a written access easement for limited ingress and egress by Buyer over the vacated portion of Corporate Drive/Winnebago Road retained by Seller. Said ingress and egress by Buyer shall be limited to fire or life safety emergencies, technical inspections, fence maintenance or unexpected difficulties with the main entrance to the Property and (b) an easement for storm water detention to benefit the Property and Seller's retained property (the “Easements”).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Except for emergency situations, Buyer shall give reasonable advance notice to Seller of any planned use of the ingress/egress easement.</w:t>
      </w:r>
    </w:p>
    <w:p>
      <w:pPr>
        <w:spacing w:after="0" w:line="171" w:lineRule="exact"/>
        <w:rPr>
          <w:sz w:val="20"/>
          <w:szCs w:val="20"/>
          <w:color w:val="auto"/>
        </w:rPr>
      </w:pPr>
    </w:p>
    <w:p>
      <w:pPr>
        <w:ind w:right="160" w:firstLine="294"/>
        <w:spacing w:after="0"/>
        <w:rPr>
          <w:sz w:val="20"/>
          <w:szCs w:val="20"/>
          <w:color w:val="auto"/>
        </w:rPr>
      </w:pPr>
      <w:r>
        <w:rPr>
          <w:rFonts w:ascii="Arial" w:cs="Arial" w:eastAsia="Arial" w:hAnsi="Arial"/>
          <w:sz w:val="15"/>
          <w:szCs w:val="15"/>
          <w:color w:val="auto"/>
        </w:rPr>
        <w:t>The storm water easement shall provide that Buyer may continue to allow storm water to drain onto Seller's retained property at the current rate of discharge. If any proposed improvements by Buyer would increase the rate of discharge, then Buyer will need to provide additional retention on its own property so that the rate of discharge onto Seller's retained property will remain the same. Pursuant to the Declaration of Covenants, Buyer must submit a complete storm water detention plan to the Charles City City Engineer and Floyd County Engineer for review and approval prior to the commencement of any improvements on the Property. Buyer shall provide Seller with a copy of the aforementioned plan at the same time Buyer submits it to the City and County Engineer.</w:t>
      </w:r>
    </w:p>
    <w:p>
      <w:pPr>
        <w:spacing w:after="0" w:line="168" w:lineRule="exact"/>
        <w:rPr>
          <w:sz w:val="20"/>
          <w:szCs w:val="20"/>
          <w:color w:val="auto"/>
        </w:rPr>
      </w:pPr>
    </w:p>
    <w:p>
      <w:pPr>
        <w:ind w:right="40" w:firstLine="294"/>
        <w:spacing w:after="0" w:line="245" w:lineRule="auto"/>
        <w:rPr>
          <w:sz w:val="20"/>
          <w:szCs w:val="20"/>
          <w:color w:val="auto"/>
        </w:rPr>
      </w:pPr>
      <w:r>
        <w:rPr>
          <w:rFonts w:ascii="Arial" w:cs="Arial" w:eastAsia="Arial" w:hAnsi="Arial"/>
          <w:sz w:val="15"/>
          <w:szCs w:val="15"/>
          <w:color w:val="auto"/>
        </w:rPr>
        <w:t>Each of the Easements shall be in form and content mutually acceptable to Buyer and Seller, shall be consistent with this Agreement, and shall be executed and delivered by the parties at closing, and shall be filed of record following the Deed to Buyer.</w:t>
      </w:r>
    </w:p>
    <w:p>
      <w:pPr>
        <w:spacing w:after="0" w:line="163" w:lineRule="exact"/>
        <w:rPr>
          <w:sz w:val="20"/>
          <w:szCs w:val="20"/>
          <w:color w:val="auto"/>
        </w:rPr>
      </w:pPr>
    </w:p>
    <w:p>
      <w:pPr>
        <w:ind w:right="40" w:firstLine="294"/>
        <w:spacing w:after="0" w:line="245" w:lineRule="auto"/>
        <w:rPr>
          <w:sz w:val="20"/>
          <w:szCs w:val="20"/>
          <w:color w:val="auto"/>
        </w:rPr>
      </w:pPr>
      <w:r>
        <w:rPr>
          <w:rFonts w:ascii="Arial" w:cs="Arial" w:eastAsia="Arial" w:hAnsi="Arial"/>
          <w:sz w:val="15"/>
          <w:szCs w:val="15"/>
          <w:color w:val="auto"/>
        </w:rPr>
        <w:t>In the event that Buyer and Seller are unable to reach agreement on the form and content of the Easement prior to the expi ration of the Due Diligence Period, either party may elect to terminate this Agreement.</w:t>
      </w:r>
    </w:p>
    <w:p>
      <w:pPr>
        <w:spacing w:after="0" w:line="163" w:lineRule="exact"/>
        <w:rPr>
          <w:sz w:val="20"/>
          <w:szCs w:val="20"/>
          <w:color w:val="auto"/>
        </w:rPr>
      </w:pPr>
    </w:p>
    <w:p>
      <w:pPr>
        <w:ind w:left="540" w:hanging="247"/>
        <w:spacing w:after="0"/>
        <w:tabs>
          <w:tab w:leader="none" w:pos="540"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Settlement</w:t>
      </w:r>
      <w:r>
        <w:rPr>
          <w:rFonts w:ascii="Arial" w:cs="Arial" w:eastAsia="Arial" w:hAnsi="Arial"/>
          <w:sz w:val="15"/>
          <w:szCs w:val="15"/>
          <w:color w:val="auto"/>
        </w:rPr>
        <w:t>.</w:t>
      </w:r>
    </w:p>
    <w:p>
      <w:pPr>
        <w:spacing w:after="0" w:line="171" w:lineRule="exact"/>
        <w:rPr>
          <w:sz w:val="20"/>
          <w:szCs w:val="20"/>
          <w:color w:val="auto"/>
        </w:rPr>
      </w:pPr>
    </w:p>
    <w:p>
      <w:pPr>
        <w:ind w:right="340" w:firstLine="293"/>
        <w:spacing w:after="0" w:line="242" w:lineRule="auto"/>
        <w:tabs>
          <w:tab w:leader="none" w:pos="515" w:val="left"/>
        </w:tabs>
        <w:numPr>
          <w:ilvl w:val="0"/>
          <w:numId w:val="62"/>
        </w:numPr>
        <w:rPr>
          <w:rFonts w:ascii="Arial" w:cs="Arial" w:eastAsia="Arial" w:hAnsi="Arial"/>
          <w:sz w:val="15"/>
          <w:szCs w:val="15"/>
          <w:color w:val="auto"/>
        </w:rPr>
      </w:pPr>
      <w:r>
        <w:rPr>
          <w:rFonts w:ascii="Arial" w:cs="Arial" w:eastAsia="Arial" w:hAnsi="Arial"/>
          <w:sz w:val="15"/>
          <w:szCs w:val="15"/>
          <w:color w:val="auto"/>
        </w:rPr>
        <w:t>Settlement (also sometimes referred to herein as “Closing”) shall be made on or before November 1, 2010 (“Settlement Date” or “Closing Date”) at 10:00 a.m. (prevailing time) at the office of the Title Company, unless Seller and Buyer agree in w riting to a different time and place (“Settlement”). The date and time of Settlement is hereby agreed to be of the essence of this Agreement. Buyer shall have the right to advance the date of Settlement at its option.</w:t>
      </w:r>
    </w:p>
    <w:p>
      <w:pPr>
        <w:spacing w:after="0" w:line="165" w:lineRule="exact"/>
        <w:rPr>
          <w:rFonts w:ascii="Arial" w:cs="Arial" w:eastAsia="Arial" w:hAnsi="Arial"/>
          <w:sz w:val="15"/>
          <w:szCs w:val="15"/>
          <w:color w:val="auto"/>
        </w:rPr>
      </w:pPr>
    </w:p>
    <w:p>
      <w:pPr>
        <w:ind w:right="120" w:firstLine="293"/>
        <w:spacing w:after="0" w:line="245" w:lineRule="auto"/>
        <w:tabs>
          <w:tab w:leader="none" w:pos="515"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Realty taxes, water and sewer rentals, and any other items or charges which are properly apportionable under local law or custom shall be apportioned on a per diem basis pro rata as of the date of Settlement.</w:t>
      </w:r>
    </w:p>
    <w:p>
      <w:pPr>
        <w:spacing w:after="0" w:line="335"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00"/>
          </w:cols>
          <w:pgMar w:left="240" w:top="656" w:right="259" w:bottom="1440" w:gutter="0" w:footer="0" w:header="0"/>
        </w:sectPr>
      </w:pPr>
    </w:p>
    <w:bookmarkStart w:id="62" w:name="page63"/>
    <w:bookmarkEnd w:id="62"/>
    <w:p>
      <w:pPr>
        <w:ind w:left="500" w:hanging="207"/>
        <w:spacing w:after="0"/>
        <w:tabs>
          <w:tab w:leader="none" w:pos="5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State and local realty transfer taxes, if any, applicable to the sale set forth in this Agreement shall be paid by Seller.</w:t>
      </w:r>
    </w:p>
    <w:p>
      <w:pPr>
        <w:spacing w:after="0" w:line="170" w:lineRule="exact"/>
        <w:rPr>
          <w:rFonts w:ascii="Arial" w:cs="Arial" w:eastAsia="Arial" w:hAnsi="Arial"/>
          <w:sz w:val="15"/>
          <w:szCs w:val="15"/>
          <w:color w:val="auto"/>
        </w:rPr>
      </w:pPr>
    </w:p>
    <w:p>
      <w:pPr>
        <w:ind w:firstLine="293"/>
        <w:spacing w:after="0" w:line="241" w:lineRule="auto"/>
        <w:tabs>
          <w:tab w:leader="none" w:pos="515" w:val="left"/>
        </w:tabs>
        <w:numPr>
          <w:ilvl w:val="0"/>
          <w:numId w:val="63"/>
        </w:numPr>
        <w:rPr>
          <w:rFonts w:ascii="Arial" w:cs="Arial" w:eastAsia="Arial" w:hAnsi="Arial"/>
          <w:sz w:val="15"/>
          <w:szCs w:val="15"/>
          <w:color w:val="auto"/>
        </w:rPr>
      </w:pPr>
      <w:r>
        <w:rPr>
          <w:rFonts w:ascii="Arial" w:cs="Arial" w:eastAsia="Arial" w:hAnsi="Arial"/>
          <w:sz w:val="15"/>
          <w:szCs w:val="15"/>
          <w:color w:val="auto"/>
        </w:rPr>
        <w:t>Possession of the Property is to be delivered broom clean, vacant condition and free of all tenancies and/or occupancies by executed Deed (defined below) and keys at the time of Settlement, Said Deed shall be prepared by Seller or Seller's attorney and the acknowledgment and recording fees paid by Buyer. Seller shall submit to Buyer a copy of the Deed at least five (5) days prior to the time fixed for Settleme nt. Buyer shall submit to Seller a duplicate copy of the Title Report issued by the title insurance company insuring the title for Buyer and a copy of the survey, if ordered, at least fifteen (15) days prior to the time fixed for Settlement.</w:t>
      </w:r>
    </w:p>
    <w:p>
      <w:pPr>
        <w:spacing w:after="0" w:line="165" w:lineRule="exact"/>
        <w:rPr>
          <w:rFonts w:ascii="Arial" w:cs="Arial" w:eastAsia="Arial" w:hAnsi="Arial"/>
          <w:sz w:val="15"/>
          <w:szCs w:val="15"/>
          <w:color w:val="auto"/>
        </w:rPr>
      </w:pPr>
    </w:p>
    <w:p>
      <w:pPr>
        <w:ind w:right="40" w:firstLine="293"/>
        <w:spacing w:after="0" w:line="245" w:lineRule="auto"/>
        <w:tabs>
          <w:tab w:leader="none" w:pos="515" w:val="left"/>
        </w:tabs>
        <w:numPr>
          <w:ilvl w:val="0"/>
          <w:numId w:val="63"/>
        </w:numPr>
        <w:rPr>
          <w:rFonts w:ascii="Arial" w:cs="Arial" w:eastAsia="Arial" w:hAnsi="Arial"/>
          <w:sz w:val="15"/>
          <w:szCs w:val="15"/>
          <w:color w:val="auto"/>
        </w:rPr>
      </w:pPr>
      <w:r>
        <w:rPr>
          <w:rFonts w:ascii="Arial" w:cs="Arial" w:eastAsia="Arial" w:hAnsi="Arial"/>
          <w:sz w:val="15"/>
          <w:szCs w:val="15"/>
          <w:color w:val="auto"/>
        </w:rPr>
        <w:t>Without limitation to other conditions set forth in this Agreement, and notwithstanding anything contained herein to the contrary, Buyer's obligation to close hereunder is expressly contingent upon the satisfaction, or the express written waiver, of the following conditions: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i) As of the Settlement, title to the Property shall be as required or waived by Buyer, pursuant to Paragraph 3 of this Agreement;</w:t>
      </w:r>
    </w:p>
    <w:p>
      <w:pPr>
        <w:spacing w:after="0" w:line="171" w:lineRule="exact"/>
        <w:rPr>
          <w:sz w:val="20"/>
          <w:szCs w:val="20"/>
          <w:color w:val="auto"/>
        </w:rPr>
      </w:pPr>
    </w:p>
    <w:p>
      <w:pPr>
        <w:ind w:left="800" w:hanging="213"/>
        <w:spacing w:after="0"/>
        <w:tabs>
          <w:tab w:leader="none" w:pos="8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All representations and warranties made by Seller in this Agreement shall be true, complete and accurate in all material respects as of the Settlement Date;</w:t>
      </w:r>
    </w:p>
    <w:p>
      <w:pPr>
        <w:spacing w:after="0" w:line="170" w:lineRule="exact"/>
        <w:rPr>
          <w:rFonts w:ascii="Arial" w:cs="Arial" w:eastAsia="Arial" w:hAnsi="Arial"/>
          <w:sz w:val="15"/>
          <w:szCs w:val="15"/>
          <w:color w:val="auto"/>
        </w:rPr>
      </w:pPr>
    </w:p>
    <w:p>
      <w:pPr>
        <w:ind w:right="300" w:firstLine="587"/>
        <w:spacing w:after="0" w:line="245" w:lineRule="auto"/>
        <w:tabs>
          <w:tab w:leader="none" w:pos="826" w:val="left"/>
        </w:tabs>
        <w:numPr>
          <w:ilvl w:val="0"/>
          <w:numId w:val="64"/>
        </w:numPr>
        <w:rPr>
          <w:rFonts w:ascii="Arial" w:cs="Arial" w:eastAsia="Arial" w:hAnsi="Arial"/>
          <w:sz w:val="15"/>
          <w:szCs w:val="15"/>
          <w:color w:val="auto"/>
        </w:rPr>
      </w:pPr>
      <w:r>
        <w:rPr>
          <w:rFonts w:ascii="Arial" w:cs="Arial" w:eastAsia="Arial" w:hAnsi="Arial"/>
          <w:sz w:val="15"/>
          <w:szCs w:val="15"/>
          <w:color w:val="auto"/>
        </w:rPr>
        <w:t>Seller shall have performed, observed and complied with all agreements, covenants and obligations to be performed by Seller under this Agreement, including without limitation, the execution and/or delivery of all documents required to be executed and/or delivered by or on behalf of Seller hereunder;</w:t>
      </w:r>
    </w:p>
    <w:p>
      <w:pPr>
        <w:spacing w:after="0" w:line="163" w:lineRule="exact"/>
        <w:rPr>
          <w:rFonts w:ascii="Arial" w:cs="Arial" w:eastAsia="Arial" w:hAnsi="Arial"/>
          <w:sz w:val="15"/>
          <w:szCs w:val="15"/>
          <w:color w:val="auto"/>
        </w:rPr>
      </w:pPr>
    </w:p>
    <w:p>
      <w:pPr>
        <w:ind w:right="80" w:firstLine="587"/>
        <w:spacing w:after="0" w:line="264" w:lineRule="auto"/>
        <w:tabs>
          <w:tab w:leader="none" w:pos="834" w:val="left"/>
        </w:tabs>
        <w:numPr>
          <w:ilvl w:val="0"/>
          <w:numId w:val="64"/>
        </w:numPr>
        <w:rPr>
          <w:rFonts w:ascii="Arial" w:cs="Arial" w:eastAsia="Arial" w:hAnsi="Arial"/>
          <w:sz w:val="14"/>
          <w:szCs w:val="14"/>
          <w:color w:val="auto"/>
        </w:rPr>
      </w:pPr>
      <w:r>
        <w:rPr>
          <w:rFonts w:ascii="Arial" w:cs="Arial" w:eastAsia="Arial" w:hAnsi="Arial"/>
          <w:sz w:val="14"/>
          <w:szCs w:val="14"/>
          <w:color w:val="auto"/>
        </w:rPr>
        <w:t>Buyer shall have reviewed and approved or waived its right to approve each of the Contracts pursuant to Paragraph 23 of this Agreement. Buyer shall review and approve such Contracts (or disapprove the same and thereby terminate this Agreement) on or before the expiration of the Due Diligence Period; provided, however, that in the event Buyer shall disapprove any of the Contracts, Seller may, on or before the Date of Closing, secure at its own expense and effect a cancellation of such disapproved Contract(s) to the reasonable satisfaction of Buyer, whereupon this condition shall not be deemed unsatisfied by reason of Buyer's disapproval of such cancelled Contract(s) ;</w:t>
      </w:r>
    </w:p>
    <w:p>
      <w:pPr>
        <w:spacing w:after="0" w:line="150" w:lineRule="exact"/>
        <w:rPr>
          <w:rFonts w:ascii="Arial" w:cs="Arial" w:eastAsia="Arial" w:hAnsi="Arial"/>
          <w:sz w:val="14"/>
          <w:szCs w:val="14"/>
          <w:color w:val="auto"/>
        </w:rPr>
      </w:pPr>
    </w:p>
    <w:p>
      <w:pPr>
        <w:ind w:right="100" w:firstLine="587"/>
        <w:spacing w:after="0"/>
        <w:tabs>
          <w:tab w:leader="none" w:pos="801" w:val="left"/>
        </w:tabs>
        <w:numPr>
          <w:ilvl w:val="0"/>
          <w:numId w:val="64"/>
        </w:numPr>
        <w:rPr>
          <w:rFonts w:ascii="Arial" w:cs="Arial" w:eastAsia="Arial" w:hAnsi="Arial"/>
          <w:sz w:val="15"/>
          <w:szCs w:val="15"/>
          <w:color w:val="auto"/>
        </w:rPr>
      </w:pPr>
      <w:r>
        <w:rPr>
          <w:rFonts w:ascii="Arial" w:cs="Arial" w:eastAsia="Arial" w:hAnsi="Arial"/>
          <w:sz w:val="15"/>
          <w:szCs w:val="15"/>
          <w:color w:val="auto"/>
        </w:rPr>
        <w:t>Buyer shall have reviewed and approved a physical inspection(s) and engineering report(s) and analyses with respect to the Property, reflecting the physical condition of all improvements, equipment, plumbing, mechanical and electrical systems, fixtures, inventory and personal property comprising the Property, and the condition of the Property or waived its rights to object by not objecting prior to the expiration of the Due Diligence Period. Buyer agrees to furnish Seller with copies of such report(s) and analyses in the event that this Agreement is terminated. Buyer shall review and approve such report(s) and analyses (or disapprove the same and thereby terminate this Agreement) on or before the Due Diligence Date; provided, however, that in the event Buyer shall disapprove any matter shown on such report or analysis, Seller may, on or before the Date of Closing, at its own expense and effort, cure such disapproved matter to the reasonable satisfaction of Buyer, whereupon this condition shall not be deemed unsatisfied by reason of Buyer's disapproval of such matter shown on such report or analysis.</w:t>
      </w:r>
    </w:p>
    <w:p>
      <w:pPr>
        <w:spacing w:after="0" w:line="166" w:lineRule="exact"/>
        <w:rPr>
          <w:rFonts w:ascii="Arial" w:cs="Arial" w:eastAsia="Arial" w:hAnsi="Arial"/>
          <w:sz w:val="15"/>
          <w:szCs w:val="15"/>
          <w:color w:val="auto"/>
        </w:rPr>
      </w:pPr>
    </w:p>
    <w:p>
      <w:pPr>
        <w:ind w:left="840" w:hanging="253"/>
        <w:spacing w:after="0"/>
        <w:tabs>
          <w:tab w:leader="none" w:pos="8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Buyer shall have reviewed and approved the Survey of the Property or waived its right to object pursuant to Paragraph 3 of this Agreement.</w:t>
      </w:r>
    </w:p>
    <w:p>
      <w:pPr>
        <w:spacing w:after="0" w:line="170" w:lineRule="exact"/>
        <w:rPr>
          <w:rFonts w:ascii="Arial" w:cs="Arial" w:eastAsia="Arial" w:hAnsi="Arial"/>
          <w:sz w:val="15"/>
          <w:szCs w:val="15"/>
          <w:color w:val="auto"/>
        </w:rPr>
      </w:pPr>
    </w:p>
    <w:p>
      <w:pPr>
        <w:ind w:left="860" w:hanging="273"/>
        <w:spacing w:after="0"/>
        <w:tabs>
          <w:tab w:leader="none" w:pos="8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Buyer obtaining financing for the purchase of the Property or waiving the financing contingency pursuant to Paragraph 4 of this Agreement.</w:t>
      </w:r>
    </w:p>
    <w:p>
      <w:pPr>
        <w:spacing w:after="0" w:line="170" w:lineRule="exact"/>
        <w:rPr>
          <w:rFonts w:ascii="Arial" w:cs="Arial" w:eastAsia="Arial" w:hAnsi="Arial"/>
          <w:sz w:val="15"/>
          <w:szCs w:val="15"/>
          <w:color w:val="auto"/>
        </w:rPr>
      </w:pPr>
    </w:p>
    <w:p>
      <w:pPr>
        <w:ind w:right="60" w:firstLine="587"/>
        <w:spacing w:after="0" w:line="262" w:lineRule="auto"/>
        <w:tabs>
          <w:tab w:leader="none" w:pos="899" w:val="left"/>
        </w:tabs>
        <w:numPr>
          <w:ilvl w:val="0"/>
          <w:numId w:val="64"/>
        </w:numPr>
        <w:rPr>
          <w:rFonts w:ascii="Arial" w:cs="Arial" w:eastAsia="Arial" w:hAnsi="Arial"/>
          <w:sz w:val="14"/>
          <w:szCs w:val="14"/>
          <w:color w:val="auto"/>
        </w:rPr>
      </w:pPr>
      <w:r>
        <w:rPr>
          <w:rFonts w:ascii="Arial" w:cs="Arial" w:eastAsia="Arial" w:hAnsi="Arial"/>
          <w:sz w:val="14"/>
          <w:szCs w:val="14"/>
          <w:color w:val="auto"/>
        </w:rPr>
        <w:t>Buyer being able to obtain or waiving, pursuant to Paragraph 23 of this Agreement, all approvals, licenses and permits from appropriate governmental authorities having jurisdiction over the Property deemed necessary by Buyer to permit Buyer's use and operation of the Property in the manner contemplated by Buyer, which approvals shall be obtained at Buyer's expense. Buyer shall have timely received confirmation acceptable to Buyer, or waived its rights under Paragraph 23, that Buyer's intended use of the Property (with appropriate parking areas and setbacks) is a permitted use in the zoning classification pertaining to the Land. Seller shall cooperate with Buyer in obtaining such approvals, but shall not be obligated to assume any cost or liability in connection with the same, except as otherwise provided herein.</w:t>
      </w:r>
    </w:p>
    <w:p>
      <w:pPr>
        <w:spacing w:after="0" w:line="151" w:lineRule="exact"/>
        <w:rPr>
          <w:rFonts w:ascii="Arial" w:cs="Arial" w:eastAsia="Arial" w:hAnsi="Arial"/>
          <w:sz w:val="14"/>
          <w:szCs w:val="14"/>
          <w:color w:val="auto"/>
        </w:rPr>
      </w:pPr>
    </w:p>
    <w:p>
      <w:pPr>
        <w:ind w:firstLine="587"/>
        <w:spacing w:after="0" w:line="242" w:lineRule="auto"/>
        <w:tabs>
          <w:tab w:leader="none" w:pos="834" w:val="left"/>
        </w:tabs>
        <w:numPr>
          <w:ilvl w:val="0"/>
          <w:numId w:val="64"/>
        </w:numPr>
        <w:rPr>
          <w:rFonts w:ascii="Arial" w:cs="Arial" w:eastAsia="Arial" w:hAnsi="Arial"/>
          <w:sz w:val="15"/>
          <w:szCs w:val="15"/>
          <w:color w:val="auto"/>
        </w:rPr>
      </w:pPr>
      <w:r>
        <w:rPr>
          <w:rFonts w:ascii="Arial" w:cs="Arial" w:eastAsia="Arial" w:hAnsi="Arial"/>
          <w:sz w:val="15"/>
          <w:szCs w:val="15"/>
          <w:color w:val="auto"/>
        </w:rPr>
        <w:t>Buyer obtaining, or waiving pursuant to Paragraph 23 of this Agreement, governmental incentives from appropriate entities including but not limited to Charles City, Floyd County, and the State of Iowa upon terms and conditions acceptable to Buyer in its sole discretion. In the event that incentives acceptable to Buyer are not received by the expiration of the Due Diligence Period, Buyer may terminate this Agreement in accordance with Paragraph 23 of this Agreement.</w:t>
      </w:r>
    </w:p>
    <w:p>
      <w:pPr>
        <w:spacing w:after="0" w:line="165" w:lineRule="exact"/>
        <w:rPr>
          <w:sz w:val="20"/>
          <w:szCs w:val="20"/>
          <w:color w:val="auto"/>
        </w:rPr>
      </w:pPr>
    </w:p>
    <w:p>
      <w:pPr>
        <w:ind w:right="40" w:firstLine="883"/>
        <w:spacing w:after="0"/>
        <w:rPr>
          <w:sz w:val="20"/>
          <w:szCs w:val="20"/>
          <w:color w:val="auto"/>
        </w:rPr>
      </w:pPr>
      <w:r>
        <w:rPr>
          <w:rFonts w:ascii="Arial" w:cs="Arial" w:eastAsia="Arial" w:hAnsi="Arial"/>
          <w:sz w:val="15"/>
          <w:szCs w:val="15"/>
          <w:u w:val="single" w:color="auto"/>
          <w:color w:val="auto"/>
        </w:rPr>
        <w:t>Failure of Satisfaction of Conditions</w:t>
      </w:r>
      <w:r>
        <w:rPr>
          <w:rFonts w:ascii="Arial" w:cs="Arial" w:eastAsia="Arial" w:hAnsi="Arial"/>
          <w:sz w:val="15"/>
          <w:szCs w:val="15"/>
          <w:color w:val="auto"/>
        </w:rPr>
        <w:t>. In the event that any one or more of the matters referred to in each of the subsections of Paragraph 10(e) has not been reviewed and approved and the condition precedent set forth in each such subsection thereby satisfied on or before the the expiration of the Due Diligence Period (or, if earlier, the date for satisfaction thereof), Buyer may, at its option, elect to terminate this Agreement. In the event that on or prior to the expiration of the Due Diligence Period (or, if earlier, the date for satisfaction thereof) any such condition precedent is not expressly designated as satisfied or unsatisfied in writing by Buyer, then such condition precedent shall be conclus ively deemed satisfied or waived by</w:t>
      </w:r>
    </w:p>
    <w:p>
      <w:pPr>
        <w:spacing w:after="0" w:line="168"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20"/>
          </w:cols>
          <w:pgMar w:left="240" w:top="485" w:right="239" w:bottom="1440" w:gutter="0" w:footer="0" w:header="0"/>
        </w:sectPr>
      </w:pPr>
    </w:p>
    <w:bookmarkStart w:id="63" w:name="page64"/>
    <w:bookmarkEnd w:id="63"/>
    <w:p>
      <w:pPr>
        <w:ind w:left="7"/>
        <w:spacing w:after="0"/>
        <w:rPr>
          <w:sz w:val="20"/>
          <w:szCs w:val="20"/>
          <w:color w:val="auto"/>
        </w:rPr>
      </w:pPr>
      <w:r>
        <w:rPr>
          <w:rFonts w:ascii="Arial" w:cs="Arial" w:eastAsia="Arial" w:hAnsi="Arial"/>
          <w:sz w:val="15"/>
          <w:szCs w:val="15"/>
          <w:color w:val="auto"/>
        </w:rPr>
        <w:t>Buyer.</w:t>
      </w:r>
    </w:p>
    <w:p>
      <w:pPr>
        <w:spacing w:after="0" w:line="171" w:lineRule="exact"/>
        <w:rPr>
          <w:sz w:val="20"/>
          <w:szCs w:val="20"/>
          <w:color w:val="auto"/>
        </w:rPr>
      </w:pPr>
    </w:p>
    <w:p>
      <w:pPr>
        <w:ind w:left="-293" w:right="80" w:firstLine="293"/>
        <w:spacing w:after="0" w:line="245" w:lineRule="auto"/>
        <w:tabs>
          <w:tab w:leader="none" w:pos="182" w:val="left"/>
        </w:tabs>
        <w:numPr>
          <w:ilvl w:val="0"/>
          <w:numId w:val="65"/>
        </w:numPr>
        <w:rPr>
          <w:rFonts w:ascii="Arial" w:cs="Arial" w:eastAsia="Arial" w:hAnsi="Arial"/>
          <w:sz w:val="15"/>
          <w:szCs w:val="15"/>
          <w:color w:val="auto"/>
        </w:rPr>
      </w:pPr>
      <w:r>
        <w:rPr>
          <w:rFonts w:ascii="Arial" w:cs="Arial" w:eastAsia="Arial" w:hAnsi="Arial"/>
          <w:sz w:val="15"/>
          <w:szCs w:val="15"/>
          <w:color w:val="auto"/>
        </w:rPr>
        <w:t>Without limitation to other conditions set forth in this Agreement, and notwithstanding anything contained herein to the contrary, Seller's obligation to close hereunder is expressly contingent upon the satisfaction, or the express written waiver, of the following conditions:</w:t>
      </w:r>
    </w:p>
    <w:p>
      <w:pPr>
        <w:spacing w:after="0" w:line="163" w:lineRule="exact"/>
        <w:rPr>
          <w:rFonts w:ascii="Arial" w:cs="Arial" w:eastAsia="Arial" w:hAnsi="Arial"/>
          <w:sz w:val="15"/>
          <w:szCs w:val="15"/>
          <w:color w:val="auto"/>
        </w:rPr>
      </w:pPr>
    </w:p>
    <w:p>
      <w:pPr>
        <w:ind w:left="467" w:hanging="173"/>
        <w:spacing w:after="0"/>
        <w:tabs>
          <w:tab w:leader="none" w:pos="467" w:val="left"/>
        </w:tabs>
        <w:numPr>
          <w:ilvl w:val="1"/>
          <w:numId w:val="65"/>
        </w:numPr>
        <w:rPr>
          <w:rFonts w:ascii="Arial" w:cs="Arial" w:eastAsia="Arial" w:hAnsi="Arial"/>
          <w:sz w:val="15"/>
          <w:szCs w:val="15"/>
          <w:color w:val="auto"/>
        </w:rPr>
      </w:pPr>
      <w:r>
        <w:rPr>
          <w:rFonts w:ascii="Arial" w:cs="Arial" w:eastAsia="Arial" w:hAnsi="Arial"/>
          <w:sz w:val="15"/>
          <w:szCs w:val="15"/>
          <w:color w:val="auto"/>
        </w:rPr>
        <w:t>Seller shall have received the Purchase Price as adjusted pursuant to and payable in the manner provided for in this Agreement;</w:t>
      </w:r>
    </w:p>
    <w:p>
      <w:pPr>
        <w:spacing w:after="0" w:line="170" w:lineRule="exact"/>
        <w:rPr>
          <w:rFonts w:ascii="Arial" w:cs="Arial" w:eastAsia="Arial" w:hAnsi="Arial"/>
          <w:sz w:val="15"/>
          <w:szCs w:val="15"/>
          <w:color w:val="auto"/>
        </w:rPr>
      </w:pPr>
    </w:p>
    <w:p>
      <w:pPr>
        <w:ind w:left="507" w:hanging="213"/>
        <w:spacing w:after="0"/>
        <w:tabs>
          <w:tab w:leader="none" w:pos="507" w:val="left"/>
        </w:tabs>
        <w:numPr>
          <w:ilvl w:val="1"/>
          <w:numId w:val="65"/>
        </w:numPr>
        <w:rPr>
          <w:rFonts w:ascii="Arial" w:cs="Arial" w:eastAsia="Arial" w:hAnsi="Arial"/>
          <w:sz w:val="15"/>
          <w:szCs w:val="15"/>
          <w:color w:val="auto"/>
        </w:rPr>
      </w:pPr>
      <w:r>
        <w:rPr>
          <w:rFonts w:ascii="Arial" w:cs="Arial" w:eastAsia="Arial" w:hAnsi="Arial"/>
          <w:sz w:val="15"/>
          <w:szCs w:val="15"/>
          <w:color w:val="auto"/>
        </w:rPr>
        <w:t>All of the representations and warranties of Buyer contained in this Agreement shall be true and correct in all material respects as of the Date of Closing; and</w:t>
      </w:r>
    </w:p>
    <w:p>
      <w:pPr>
        <w:spacing w:after="0" w:line="170" w:lineRule="exact"/>
        <w:rPr>
          <w:rFonts w:ascii="Arial" w:cs="Arial" w:eastAsia="Arial" w:hAnsi="Arial"/>
          <w:sz w:val="15"/>
          <w:szCs w:val="15"/>
          <w:color w:val="auto"/>
        </w:rPr>
      </w:pPr>
    </w:p>
    <w:p>
      <w:pPr>
        <w:ind w:left="-293" w:right="60" w:firstLine="587"/>
        <w:spacing w:after="0" w:line="245" w:lineRule="auto"/>
        <w:tabs>
          <w:tab w:leader="none" w:pos="533" w:val="left"/>
        </w:tabs>
        <w:numPr>
          <w:ilvl w:val="1"/>
          <w:numId w:val="65"/>
        </w:numPr>
        <w:rPr>
          <w:rFonts w:ascii="Arial" w:cs="Arial" w:eastAsia="Arial" w:hAnsi="Arial"/>
          <w:sz w:val="15"/>
          <w:szCs w:val="15"/>
          <w:color w:val="auto"/>
        </w:rPr>
      </w:pPr>
      <w:r>
        <w:rPr>
          <w:rFonts w:ascii="Arial" w:cs="Arial" w:eastAsia="Arial" w:hAnsi="Arial"/>
          <w:sz w:val="15"/>
          <w:szCs w:val="15"/>
          <w:color w:val="auto"/>
        </w:rPr>
        <w:t>Buyer shall have performed and observed, in all material respects, all covenants and agreements of this Agreement to be performed and observed by Buyer as of the Date of Closing.</w:t>
      </w:r>
    </w:p>
    <w:p>
      <w:pPr>
        <w:spacing w:after="0" w:line="163" w:lineRule="exact"/>
        <w:rPr>
          <w:sz w:val="20"/>
          <w:szCs w:val="20"/>
          <w:color w:val="auto"/>
        </w:rPr>
      </w:pPr>
    </w:p>
    <w:p>
      <w:pPr>
        <w:ind w:left="247" w:hanging="247"/>
        <w:spacing w:after="0"/>
        <w:tabs>
          <w:tab w:leader="none" w:pos="247"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Closing Documents</w:t>
      </w:r>
      <w:r>
        <w:rPr>
          <w:rFonts w:ascii="Arial" w:cs="Arial" w:eastAsia="Arial" w:hAnsi="Arial"/>
          <w:sz w:val="15"/>
          <w:szCs w:val="15"/>
          <w:color w:val="auto"/>
        </w:rPr>
        <w:t>.</w:t>
      </w:r>
    </w:p>
    <w:p>
      <w:pPr>
        <w:spacing w:after="0" w:line="171" w:lineRule="exact"/>
        <w:rPr>
          <w:sz w:val="20"/>
          <w:szCs w:val="20"/>
          <w:color w:val="auto"/>
        </w:rPr>
      </w:pPr>
    </w:p>
    <w:p>
      <w:pPr>
        <w:ind w:left="227" w:hanging="227"/>
        <w:spacing w:after="0"/>
        <w:tabs>
          <w:tab w:leader="none" w:pos="227" w:val="left"/>
        </w:tabs>
        <w:numPr>
          <w:ilvl w:val="0"/>
          <w:numId w:val="67"/>
        </w:numPr>
        <w:rPr>
          <w:rFonts w:ascii="Arial" w:cs="Arial" w:eastAsia="Arial" w:hAnsi="Arial"/>
          <w:sz w:val="15"/>
          <w:szCs w:val="15"/>
          <w:color w:val="auto"/>
        </w:rPr>
      </w:pPr>
      <w:r>
        <w:rPr>
          <w:rFonts w:ascii="Arial" w:cs="Arial" w:eastAsia="Arial" w:hAnsi="Arial"/>
          <w:sz w:val="15"/>
          <w:szCs w:val="15"/>
          <w:color w:val="auto"/>
        </w:rPr>
        <w:t>At the time and place of Settlement, Seller shall deliver or cause to be delivered to Buyer the following:</w:t>
      </w:r>
    </w:p>
    <w:p>
      <w:pPr>
        <w:spacing w:after="0" w:line="170" w:lineRule="exact"/>
        <w:rPr>
          <w:rFonts w:ascii="Arial" w:cs="Arial" w:eastAsia="Arial" w:hAnsi="Arial"/>
          <w:sz w:val="15"/>
          <w:szCs w:val="15"/>
          <w:color w:val="auto"/>
        </w:rPr>
      </w:pPr>
    </w:p>
    <w:p>
      <w:pPr>
        <w:ind w:left="-293" w:right="160" w:firstLine="660"/>
        <w:spacing w:after="0" w:line="245" w:lineRule="auto"/>
        <w:tabs>
          <w:tab w:leader="none" w:pos="541" w:val="left"/>
        </w:tabs>
        <w:numPr>
          <w:ilvl w:val="2"/>
          <w:numId w:val="67"/>
        </w:numPr>
        <w:rPr>
          <w:rFonts w:ascii="Arial" w:cs="Arial" w:eastAsia="Arial" w:hAnsi="Arial"/>
          <w:sz w:val="15"/>
          <w:szCs w:val="15"/>
          <w:color w:val="auto"/>
        </w:rPr>
      </w:pPr>
      <w:r>
        <w:rPr>
          <w:rFonts w:ascii="Arial" w:cs="Arial" w:eastAsia="Arial" w:hAnsi="Arial"/>
          <w:sz w:val="15"/>
          <w:szCs w:val="15"/>
          <w:color w:val="auto"/>
        </w:rPr>
        <w:t>a general warranty deed executed by Seller in recordable form whereby Seller shall convey to Buyer fee simple title to the Property subject only to the Permitted Exceptions (the “Deed”);</w:t>
      </w:r>
    </w:p>
    <w:p>
      <w:pPr>
        <w:spacing w:after="0" w:line="163" w:lineRule="exact"/>
        <w:rPr>
          <w:rFonts w:ascii="Arial" w:cs="Arial" w:eastAsia="Arial" w:hAnsi="Arial"/>
          <w:sz w:val="15"/>
          <w:szCs w:val="15"/>
          <w:color w:val="auto"/>
        </w:rPr>
      </w:pPr>
    </w:p>
    <w:p>
      <w:pPr>
        <w:ind w:left="-293" w:right="160" w:firstLine="587"/>
        <w:spacing w:after="0" w:line="245" w:lineRule="auto"/>
        <w:tabs>
          <w:tab w:leader="none" w:pos="500" w:val="left"/>
        </w:tabs>
        <w:numPr>
          <w:ilvl w:val="1"/>
          <w:numId w:val="67"/>
        </w:numPr>
        <w:rPr>
          <w:rFonts w:ascii="Arial" w:cs="Arial" w:eastAsia="Arial" w:hAnsi="Arial"/>
          <w:sz w:val="15"/>
          <w:szCs w:val="15"/>
          <w:color w:val="auto"/>
        </w:rPr>
      </w:pPr>
      <w:r>
        <w:rPr>
          <w:rFonts w:ascii="Arial" w:cs="Arial" w:eastAsia="Arial" w:hAnsi="Arial"/>
          <w:sz w:val="15"/>
          <w:szCs w:val="15"/>
          <w:color w:val="auto"/>
        </w:rPr>
        <w:t>an assignment whereby Seller will assign and Buyer shall assume all of Seller's right, title, and interest, including all the obligations of Seller, in, to and under any assignable warranties, Licenses, Permits and Approvals and Contracts (hereinafter referred to as the “Assignment”);</w:t>
      </w:r>
    </w:p>
    <w:p>
      <w:pPr>
        <w:spacing w:after="0" w:line="163" w:lineRule="exact"/>
        <w:rPr>
          <w:rFonts w:ascii="Arial" w:cs="Arial" w:eastAsia="Arial" w:hAnsi="Arial"/>
          <w:sz w:val="15"/>
          <w:szCs w:val="15"/>
          <w:color w:val="auto"/>
        </w:rPr>
      </w:pPr>
    </w:p>
    <w:p>
      <w:pPr>
        <w:ind w:left="-293" w:right="360" w:firstLine="587"/>
        <w:spacing w:after="0" w:line="245" w:lineRule="auto"/>
        <w:tabs>
          <w:tab w:leader="none" w:pos="533" w:val="left"/>
        </w:tabs>
        <w:numPr>
          <w:ilvl w:val="1"/>
          <w:numId w:val="67"/>
        </w:numPr>
        <w:rPr>
          <w:rFonts w:ascii="Arial" w:cs="Arial" w:eastAsia="Arial" w:hAnsi="Arial"/>
          <w:sz w:val="15"/>
          <w:szCs w:val="15"/>
          <w:color w:val="auto"/>
        </w:rPr>
      </w:pPr>
      <w:r>
        <w:rPr>
          <w:rFonts w:ascii="Arial" w:cs="Arial" w:eastAsia="Arial" w:hAnsi="Arial"/>
          <w:sz w:val="15"/>
          <w:szCs w:val="15"/>
          <w:color w:val="auto"/>
        </w:rPr>
        <w:t>all original Licenses and as many signed originals (or true and correct copies of same) of the Con-tracts and other items covered by the Assignment as are in Seller's possession, unless previously delivered by Seller to Buyer;</w:t>
      </w:r>
    </w:p>
    <w:p>
      <w:pPr>
        <w:spacing w:after="0" w:line="163" w:lineRule="exact"/>
        <w:rPr>
          <w:rFonts w:ascii="Arial" w:cs="Arial" w:eastAsia="Arial" w:hAnsi="Arial"/>
          <w:sz w:val="15"/>
          <w:szCs w:val="15"/>
          <w:color w:val="auto"/>
        </w:rPr>
      </w:pPr>
    </w:p>
    <w:p>
      <w:pPr>
        <w:ind w:left="547" w:hanging="253"/>
        <w:spacing w:after="0"/>
        <w:tabs>
          <w:tab w:leader="none" w:pos="547" w:val="left"/>
        </w:tabs>
        <w:numPr>
          <w:ilvl w:val="1"/>
          <w:numId w:val="67"/>
        </w:numPr>
        <w:rPr>
          <w:rFonts w:ascii="Arial" w:cs="Arial" w:eastAsia="Arial" w:hAnsi="Arial"/>
          <w:sz w:val="15"/>
          <w:szCs w:val="15"/>
          <w:color w:val="auto"/>
        </w:rPr>
      </w:pPr>
      <w:r>
        <w:rPr>
          <w:rFonts w:ascii="Arial" w:cs="Arial" w:eastAsia="Arial" w:hAnsi="Arial"/>
          <w:sz w:val="15"/>
          <w:szCs w:val="15"/>
          <w:color w:val="auto"/>
        </w:rPr>
        <w:t>all equipment operating manuals and all equipment warranties and equipment guarantees, if any, in Seller's possession;</w:t>
      </w:r>
    </w:p>
    <w:p>
      <w:pPr>
        <w:spacing w:after="0" w:line="170" w:lineRule="exact"/>
        <w:rPr>
          <w:rFonts w:ascii="Arial" w:cs="Arial" w:eastAsia="Arial" w:hAnsi="Arial"/>
          <w:sz w:val="15"/>
          <w:szCs w:val="15"/>
          <w:color w:val="auto"/>
        </w:rPr>
      </w:pPr>
    </w:p>
    <w:p>
      <w:pPr>
        <w:ind w:left="507" w:hanging="213"/>
        <w:spacing w:after="0"/>
        <w:tabs>
          <w:tab w:leader="none" w:pos="507" w:val="left"/>
        </w:tabs>
        <w:numPr>
          <w:ilvl w:val="1"/>
          <w:numId w:val="67"/>
        </w:numPr>
        <w:rPr>
          <w:rFonts w:ascii="Arial" w:cs="Arial" w:eastAsia="Arial" w:hAnsi="Arial"/>
          <w:sz w:val="15"/>
          <w:szCs w:val="15"/>
          <w:color w:val="auto"/>
        </w:rPr>
      </w:pPr>
      <w:r>
        <w:rPr>
          <w:rFonts w:ascii="Arial" w:cs="Arial" w:eastAsia="Arial" w:hAnsi="Arial"/>
          <w:sz w:val="15"/>
          <w:szCs w:val="15"/>
          <w:color w:val="auto"/>
        </w:rPr>
        <w:t>all m aster and duplicate keys to all locks for the Improvements which are in Seller's possession;</w:t>
      </w:r>
    </w:p>
    <w:p>
      <w:pPr>
        <w:spacing w:after="0" w:line="170" w:lineRule="exact"/>
        <w:rPr>
          <w:rFonts w:ascii="Arial" w:cs="Arial" w:eastAsia="Arial" w:hAnsi="Arial"/>
          <w:sz w:val="15"/>
          <w:szCs w:val="15"/>
          <w:color w:val="auto"/>
        </w:rPr>
      </w:pPr>
    </w:p>
    <w:p>
      <w:pPr>
        <w:ind w:left="547" w:hanging="253"/>
        <w:spacing w:after="0"/>
        <w:tabs>
          <w:tab w:leader="none" w:pos="547" w:val="left"/>
        </w:tabs>
        <w:numPr>
          <w:ilvl w:val="1"/>
          <w:numId w:val="67"/>
        </w:numPr>
        <w:rPr>
          <w:rFonts w:ascii="Arial" w:cs="Arial" w:eastAsia="Arial" w:hAnsi="Arial"/>
          <w:sz w:val="15"/>
          <w:szCs w:val="15"/>
          <w:color w:val="auto"/>
        </w:rPr>
      </w:pPr>
      <w:r>
        <w:rPr>
          <w:rFonts w:ascii="Arial" w:cs="Arial" w:eastAsia="Arial" w:hAnsi="Arial"/>
          <w:sz w:val="15"/>
          <w:szCs w:val="15"/>
          <w:color w:val="auto"/>
        </w:rPr>
        <w:t>a non-foreign person certification;</w:t>
      </w:r>
    </w:p>
    <w:p>
      <w:pPr>
        <w:spacing w:after="0" w:line="170" w:lineRule="exact"/>
        <w:rPr>
          <w:rFonts w:ascii="Arial" w:cs="Arial" w:eastAsia="Arial" w:hAnsi="Arial"/>
          <w:sz w:val="15"/>
          <w:szCs w:val="15"/>
          <w:color w:val="auto"/>
        </w:rPr>
      </w:pPr>
    </w:p>
    <w:p>
      <w:pPr>
        <w:ind w:left="567" w:hanging="273"/>
        <w:spacing w:after="0"/>
        <w:tabs>
          <w:tab w:leader="none" w:pos="567" w:val="left"/>
        </w:tabs>
        <w:numPr>
          <w:ilvl w:val="1"/>
          <w:numId w:val="67"/>
        </w:numPr>
        <w:rPr>
          <w:rFonts w:ascii="Arial" w:cs="Arial" w:eastAsia="Arial" w:hAnsi="Arial"/>
          <w:sz w:val="15"/>
          <w:szCs w:val="15"/>
          <w:color w:val="auto"/>
        </w:rPr>
      </w:pPr>
      <w:r>
        <w:rPr>
          <w:rFonts w:ascii="Arial" w:cs="Arial" w:eastAsia="Arial" w:hAnsi="Arial"/>
          <w:sz w:val="15"/>
          <w:szCs w:val="15"/>
          <w:color w:val="auto"/>
        </w:rPr>
        <w:t>a Seller's title affidavit and such other documents as may be reasonably requested by the Title Company; and</w:t>
      </w:r>
    </w:p>
    <w:p>
      <w:pPr>
        <w:spacing w:after="0" w:line="170" w:lineRule="exact"/>
        <w:rPr>
          <w:rFonts w:ascii="Arial" w:cs="Arial" w:eastAsia="Arial" w:hAnsi="Arial"/>
          <w:sz w:val="15"/>
          <w:szCs w:val="15"/>
          <w:color w:val="auto"/>
        </w:rPr>
      </w:pPr>
    </w:p>
    <w:p>
      <w:pPr>
        <w:ind w:left="607" w:hanging="313"/>
        <w:spacing w:after="0"/>
        <w:tabs>
          <w:tab w:leader="none" w:pos="607" w:val="left"/>
        </w:tabs>
        <w:numPr>
          <w:ilvl w:val="1"/>
          <w:numId w:val="67"/>
        </w:numPr>
        <w:rPr>
          <w:rFonts w:ascii="Arial" w:cs="Arial" w:eastAsia="Arial" w:hAnsi="Arial"/>
          <w:sz w:val="15"/>
          <w:szCs w:val="15"/>
          <w:color w:val="auto"/>
        </w:rPr>
      </w:pPr>
      <w:r>
        <w:rPr>
          <w:rFonts w:ascii="Arial" w:cs="Arial" w:eastAsia="Arial" w:hAnsi="Arial"/>
          <w:sz w:val="15"/>
          <w:szCs w:val="15"/>
          <w:color w:val="auto"/>
        </w:rPr>
        <w:t>the Easements.</w:t>
      </w:r>
    </w:p>
    <w:p>
      <w:pPr>
        <w:spacing w:after="0" w:line="170" w:lineRule="exact"/>
        <w:rPr>
          <w:rFonts w:ascii="Arial" w:cs="Arial" w:eastAsia="Arial" w:hAnsi="Arial"/>
          <w:sz w:val="15"/>
          <w:szCs w:val="15"/>
          <w:color w:val="auto"/>
        </w:rPr>
      </w:pPr>
    </w:p>
    <w:p>
      <w:pPr>
        <w:ind w:left="227" w:hanging="227"/>
        <w:spacing w:after="0"/>
        <w:tabs>
          <w:tab w:leader="none" w:pos="227" w:val="left"/>
        </w:tabs>
        <w:numPr>
          <w:ilvl w:val="0"/>
          <w:numId w:val="67"/>
        </w:numPr>
        <w:rPr>
          <w:rFonts w:ascii="Arial" w:cs="Arial" w:eastAsia="Arial" w:hAnsi="Arial"/>
          <w:sz w:val="15"/>
          <w:szCs w:val="15"/>
          <w:color w:val="auto"/>
        </w:rPr>
      </w:pPr>
      <w:r>
        <w:rPr>
          <w:rFonts w:ascii="Arial" w:cs="Arial" w:eastAsia="Arial" w:hAnsi="Arial"/>
          <w:sz w:val="15"/>
          <w:szCs w:val="15"/>
          <w:color w:val="auto"/>
        </w:rPr>
        <w:t>At the time and place of Settlement, Buyer shall deliver or cause to be delivered to Seller the following:</w:t>
      </w:r>
    </w:p>
    <w:p>
      <w:pPr>
        <w:spacing w:after="0" w:line="170" w:lineRule="exact"/>
        <w:rPr>
          <w:rFonts w:ascii="Arial" w:cs="Arial" w:eastAsia="Arial" w:hAnsi="Arial"/>
          <w:sz w:val="15"/>
          <w:szCs w:val="15"/>
          <w:color w:val="auto"/>
        </w:rPr>
      </w:pPr>
    </w:p>
    <w:p>
      <w:pPr>
        <w:ind w:left="467" w:hanging="173"/>
        <w:spacing w:after="0"/>
        <w:tabs>
          <w:tab w:leader="none" w:pos="467" w:val="left"/>
        </w:tabs>
        <w:numPr>
          <w:ilvl w:val="1"/>
          <w:numId w:val="67"/>
        </w:numPr>
        <w:rPr>
          <w:rFonts w:ascii="Arial" w:cs="Arial" w:eastAsia="Arial" w:hAnsi="Arial"/>
          <w:sz w:val="15"/>
          <w:szCs w:val="15"/>
          <w:color w:val="auto"/>
        </w:rPr>
      </w:pPr>
      <w:r>
        <w:rPr>
          <w:rFonts w:ascii="Arial" w:cs="Arial" w:eastAsia="Arial" w:hAnsi="Arial"/>
          <w:sz w:val="15"/>
          <w:szCs w:val="15"/>
          <w:color w:val="auto"/>
        </w:rPr>
        <w:t>the balance of the Purchase Price;</w:t>
      </w:r>
    </w:p>
    <w:p>
      <w:pPr>
        <w:spacing w:after="0" w:line="170" w:lineRule="exact"/>
        <w:rPr>
          <w:rFonts w:ascii="Arial" w:cs="Arial" w:eastAsia="Arial" w:hAnsi="Arial"/>
          <w:sz w:val="15"/>
          <w:szCs w:val="15"/>
          <w:color w:val="auto"/>
        </w:rPr>
      </w:pPr>
    </w:p>
    <w:p>
      <w:pPr>
        <w:ind w:left="507" w:hanging="213"/>
        <w:spacing w:after="0"/>
        <w:tabs>
          <w:tab w:leader="none" w:pos="507" w:val="left"/>
        </w:tabs>
        <w:numPr>
          <w:ilvl w:val="1"/>
          <w:numId w:val="67"/>
        </w:numPr>
        <w:rPr>
          <w:rFonts w:ascii="Arial" w:cs="Arial" w:eastAsia="Arial" w:hAnsi="Arial"/>
          <w:sz w:val="15"/>
          <w:szCs w:val="15"/>
          <w:color w:val="auto"/>
        </w:rPr>
      </w:pPr>
      <w:r>
        <w:rPr>
          <w:rFonts w:ascii="Arial" w:cs="Arial" w:eastAsia="Arial" w:hAnsi="Arial"/>
          <w:sz w:val="15"/>
          <w:szCs w:val="15"/>
          <w:color w:val="auto"/>
        </w:rPr>
        <w:t>the Easement; and</w:t>
      </w:r>
    </w:p>
    <w:p>
      <w:pPr>
        <w:spacing w:after="0" w:line="170" w:lineRule="exact"/>
        <w:rPr>
          <w:rFonts w:ascii="Arial" w:cs="Arial" w:eastAsia="Arial" w:hAnsi="Arial"/>
          <w:sz w:val="15"/>
          <w:szCs w:val="15"/>
          <w:color w:val="auto"/>
        </w:rPr>
      </w:pPr>
    </w:p>
    <w:p>
      <w:pPr>
        <w:ind w:left="527" w:hanging="233"/>
        <w:spacing w:after="0"/>
        <w:tabs>
          <w:tab w:leader="none" w:pos="527" w:val="left"/>
        </w:tabs>
        <w:numPr>
          <w:ilvl w:val="1"/>
          <w:numId w:val="67"/>
        </w:numPr>
        <w:rPr>
          <w:rFonts w:ascii="Arial" w:cs="Arial" w:eastAsia="Arial" w:hAnsi="Arial"/>
          <w:sz w:val="15"/>
          <w:szCs w:val="15"/>
          <w:color w:val="auto"/>
        </w:rPr>
      </w:pPr>
      <w:r>
        <w:rPr>
          <w:rFonts w:ascii="Arial" w:cs="Arial" w:eastAsia="Arial" w:hAnsi="Arial"/>
          <w:sz w:val="15"/>
          <w:szCs w:val="15"/>
          <w:color w:val="auto"/>
        </w:rPr>
        <w:t>such other documents as may be reasonably requested by Seller to carry out the intent of this Agreement or by the Title Company.</w:t>
      </w:r>
    </w:p>
    <w:p>
      <w:pPr>
        <w:spacing w:after="0" w:line="171" w:lineRule="exact"/>
        <w:rPr>
          <w:sz w:val="20"/>
          <w:szCs w:val="20"/>
          <w:color w:val="auto"/>
        </w:rPr>
      </w:pPr>
    </w:p>
    <w:p>
      <w:pPr>
        <w:ind w:left="-293" w:right="80" w:firstLine="293"/>
        <w:spacing w:after="0" w:line="245" w:lineRule="auto"/>
        <w:tabs>
          <w:tab w:leader="none" w:pos="247"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Risk of Loss</w:t>
      </w:r>
      <w:r>
        <w:rPr>
          <w:rFonts w:ascii="Arial" w:cs="Arial" w:eastAsia="Arial" w:hAnsi="Arial"/>
          <w:sz w:val="15"/>
          <w:szCs w:val="15"/>
          <w:color w:val="auto"/>
        </w:rPr>
        <w:t>. All risk of loss shall be on Seller until possession of the Property shall be delivered to Buyer. Seller agrees to maintain its existing insurance covering the Property while this Agreement remains in effect.</w:t>
      </w:r>
    </w:p>
    <w:p>
      <w:pPr>
        <w:spacing w:after="0" w:line="163" w:lineRule="exact"/>
        <w:rPr>
          <w:rFonts w:ascii="Arial" w:cs="Arial" w:eastAsia="Arial" w:hAnsi="Arial"/>
          <w:sz w:val="15"/>
          <w:szCs w:val="15"/>
          <w:color w:val="auto"/>
        </w:rPr>
      </w:pPr>
    </w:p>
    <w:p>
      <w:pPr>
        <w:ind w:left="-293" w:firstLine="293"/>
        <w:spacing w:after="0" w:line="260" w:lineRule="auto"/>
        <w:tabs>
          <w:tab w:leader="none" w:pos="247"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Casualty.</w:t>
      </w:r>
      <w:r>
        <w:rPr>
          <w:rFonts w:ascii="Arial" w:cs="Arial" w:eastAsia="Arial" w:hAnsi="Arial"/>
          <w:sz w:val="14"/>
          <w:szCs w:val="14"/>
          <w:color w:val="auto"/>
        </w:rPr>
        <w:t xml:space="preserve"> If the Property should be destroyed or damaged by any casualty prior to closing, Seller shall promptly give written notice of the casualty to Buyer. If the cost of the cost of repairing or restoring the Property exceeds $150,000.00, then Buyer shall elect either to (i) accept title to the Property in its destroyed or damaged condition, in which event at the closing Seller shall assign to Buyer all of Seller's right, title and interest in and to the insurance proceeds available for repair or restoration and Buyer shall receive a credit toward the Purchase Price equal to the amount of any deductible under the insurance policy, or (ii) terminate this Agreement by giving written notice to Seller, in which case the Earnest Money shall be promptly returned to Buyer. If Buyer elects to terminate this Agreement, both parties shall be relieved from any further liability hereunder. If the cost of repairing or restoring the Property is less than $150,000.00, then Buyer and Seller shall proceed in accordance with clause (i) above.</w:t>
      </w:r>
    </w:p>
    <w:p>
      <w:pPr>
        <w:spacing w:after="0" w:line="155" w:lineRule="exact"/>
        <w:rPr>
          <w:rFonts w:ascii="Arial" w:cs="Arial" w:eastAsia="Arial" w:hAnsi="Arial"/>
          <w:sz w:val="14"/>
          <w:szCs w:val="14"/>
          <w:color w:val="auto"/>
        </w:rPr>
      </w:pPr>
    </w:p>
    <w:p>
      <w:pPr>
        <w:ind w:left="-293" w:right="140" w:firstLine="293"/>
        <w:spacing w:after="0" w:line="242" w:lineRule="auto"/>
        <w:tabs>
          <w:tab w:leader="none" w:pos="247"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Condemnation.</w:t>
      </w:r>
      <w:r>
        <w:rPr>
          <w:rFonts w:ascii="Arial" w:cs="Arial" w:eastAsia="Arial" w:hAnsi="Arial"/>
          <w:sz w:val="15"/>
          <w:szCs w:val="15"/>
          <w:color w:val="auto"/>
        </w:rPr>
        <w:t xml:space="preserve"> If prior to Settlement any part of the Property is subject to a bona fide threat of condemnation by a body having the power of eminent domain, or is taken by eminent domain or condemnation (or sold in lieu thereof), Seller shall promptly provide written notice thereof to Buyer, and Buyer may, in Buyer's discretion, el ect to terminate this Agreement by</w:t>
      </w:r>
    </w:p>
    <w:p>
      <w:pPr>
        <w:spacing w:after="0" w:line="165"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107"/>
          </w:cols>
          <w:pgMar w:left="533" w:top="485" w:right="259" w:bottom="1440" w:gutter="0" w:footer="0" w:header="0"/>
        </w:sectPr>
      </w:pPr>
    </w:p>
    <w:bookmarkStart w:id="64" w:name="page65"/>
    <w:bookmarkEnd w:id="64"/>
    <w:p>
      <w:pPr>
        <w:ind w:firstLine="294"/>
        <w:spacing w:after="0" w:line="241" w:lineRule="auto"/>
        <w:rPr>
          <w:sz w:val="20"/>
          <w:szCs w:val="20"/>
          <w:color w:val="auto"/>
        </w:rPr>
      </w:pPr>
      <w:r>
        <w:rPr>
          <w:rFonts w:ascii="Arial" w:cs="Arial" w:eastAsia="Arial" w:hAnsi="Arial"/>
          <w:sz w:val="15"/>
          <w:szCs w:val="15"/>
          <w:color w:val="auto"/>
        </w:rPr>
        <w:t>written notice to Seller, in which case the Earnest Money shall be promptly returned to Buyer. If Buyer elects to terminate this Agreement, both parties shall be relieved from any further liability hereunder. If Buyer does not elect to terminate this Agreement, it shall remain in full force and effect, and the full Purchase Price shall be due at closing without adjustment; provided, however, Buyer shall receive notice of and be entitled to control over all negotiations or meetings with condemning authorities, and Seller shall, at closing, assign, transf er, and set over to Buyer, all of Seller's right, title, and interest in and to any awards made in connection with such taking.</w:t>
      </w:r>
    </w:p>
    <w:p>
      <w:pPr>
        <w:spacing w:after="0" w:line="166" w:lineRule="exact"/>
        <w:rPr>
          <w:sz w:val="20"/>
          <w:szCs w:val="20"/>
          <w:color w:val="auto"/>
        </w:rPr>
      </w:pPr>
    </w:p>
    <w:p>
      <w:pPr>
        <w:ind w:left="540" w:hanging="247"/>
        <w:spacing w:after="0"/>
        <w:tabs>
          <w:tab w:leader="none" w:pos="540"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Recording</w:t>
      </w:r>
      <w:r>
        <w:rPr>
          <w:rFonts w:ascii="Arial" w:cs="Arial" w:eastAsia="Arial" w:hAnsi="Arial"/>
          <w:sz w:val="15"/>
          <w:szCs w:val="15"/>
          <w:color w:val="auto"/>
        </w:rPr>
        <w:t>. This Agreement may not be recorded in the Office for Recording of Deeds or in any other office or place of public record without Seller's prior consent.</w:t>
      </w:r>
    </w:p>
    <w:p>
      <w:pPr>
        <w:spacing w:after="0" w:line="161" w:lineRule="exact"/>
        <w:rPr>
          <w:rFonts w:ascii="Arial" w:cs="Arial" w:eastAsia="Arial" w:hAnsi="Arial"/>
          <w:sz w:val="15"/>
          <w:szCs w:val="15"/>
          <w:color w:val="auto"/>
        </w:rPr>
      </w:pPr>
    </w:p>
    <w:p>
      <w:pPr>
        <w:ind w:right="340" w:firstLine="293"/>
        <w:spacing w:after="0" w:line="336" w:lineRule="auto"/>
        <w:tabs>
          <w:tab w:leader="none" w:pos="54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Waiver of Tender</w:t>
      </w:r>
      <w:r>
        <w:rPr>
          <w:rFonts w:ascii="Arial" w:cs="Arial" w:eastAsia="Arial" w:hAnsi="Arial"/>
          <w:sz w:val="13"/>
          <w:szCs w:val="13"/>
          <w:color w:val="auto"/>
        </w:rPr>
        <w:t>. Tender at the time of Settlement of an executed Deed by Seller and the balance of the Purchase Price by Buyer are hereby mutually waived, but nothing herein contained shall be construed as to relieve Seller from the obligation to deliver the Deed or to relieve Buyer from the concurrent obligation to pay the balance of the Purchase Price.</w:t>
      </w:r>
    </w:p>
    <w:p>
      <w:pPr>
        <w:spacing w:after="0" w:line="106" w:lineRule="exact"/>
        <w:rPr>
          <w:rFonts w:ascii="Arial" w:cs="Arial" w:eastAsia="Arial" w:hAnsi="Arial"/>
          <w:sz w:val="13"/>
          <w:szCs w:val="13"/>
          <w:color w:val="auto"/>
        </w:rPr>
      </w:pPr>
    </w:p>
    <w:p>
      <w:pPr>
        <w:ind w:right="640" w:firstLine="293"/>
        <w:spacing w:after="0" w:line="242" w:lineRule="auto"/>
        <w:tabs>
          <w:tab w:leader="none" w:pos="540"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Broker</w:t>
      </w:r>
      <w:r>
        <w:rPr>
          <w:rFonts w:ascii="Arial" w:cs="Arial" w:eastAsia="Arial" w:hAnsi="Arial"/>
          <w:sz w:val="15"/>
          <w:szCs w:val="15"/>
          <w:color w:val="auto"/>
        </w:rPr>
        <w:t>. Seller and Buyer acknowledge that Binswanger Midwest of Illinois, Inc. (“Agent”) is the sole, moving, efficient and procuring cause of this sale and in consideration of its services in making this sale and at the time of Settlement, Seller hereby agrees to pay a commission to Agent, pursuant to the terms of a separate brokerage agreement between Seller and Broker.</w:t>
      </w:r>
    </w:p>
    <w:p>
      <w:pPr>
        <w:spacing w:after="0" w:line="165" w:lineRule="exact"/>
        <w:rPr>
          <w:rFonts w:ascii="Arial" w:cs="Arial" w:eastAsia="Arial" w:hAnsi="Arial"/>
          <w:sz w:val="15"/>
          <w:szCs w:val="15"/>
          <w:color w:val="auto"/>
        </w:rPr>
      </w:pPr>
    </w:p>
    <w:p>
      <w:pPr>
        <w:ind w:left="540" w:hanging="247"/>
        <w:spacing w:after="0"/>
        <w:tabs>
          <w:tab w:leader="none" w:pos="540"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Default; Remedies</w:t>
      </w:r>
      <w:r>
        <w:rPr>
          <w:rFonts w:ascii="Arial" w:cs="Arial" w:eastAsia="Arial" w:hAnsi="Arial"/>
          <w:sz w:val="15"/>
          <w:szCs w:val="15"/>
          <w:color w:val="auto"/>
        </w:rPr>
        <w:t>.</w:t>
      </w:r>
    </w:p>
    <w:p>
      <w:pPr>
        <w:spacing w:after="0" w:line="171" w:lineRule="exact"/>
        <w:rPr>
          <w:sz w:val="20"/>
          <w:szCs w:val="20"/>
          <w:color w:val="auto"/>
        </w:rPr>
      </w:pPr>
    </w:p>
    <w:p>
      <w:pPr>
        <w:ind w:right="340" w:firstLine="293"/>
        <w:spacing w:after="0" w:line="242" w:lineRule="auto"/>
        <w:tabs>
          <w:tab w:leader="none" w:pos="515" w:val="left"/>
        </w:tabs>
        <w:numPr>
          <w:ilvl w:val="0"/>
          <w:numId w:val="70"/>
        </w:numPr>
        <w:rPr>
          <w:rFonts w:ascii="Arial" w:cs="Arial" w:eastAsia="Arial" w:hAnsi="Arial"/>
          <w:sz w:val="15"/>
          <w:szCs w:val="15"/>
          <w:color w:val="auto"/>
        </w:rPr>
      </w:pPr>
      <w:r>
        <w:rPr>
          <w:rFonts w:ascii="Arial" w:cs="Arial" w:eastAsia="Arial" w:hAnsi="Arial"/>
          <w:sz w:val="15"/>
          <w:szCs w:val="15"/>
          <w:color w:val="auto"/>
        </w:rPr>
        <w:t>If Buyer is in default in the observance or performance of its obligations hereunder, after a thirty (30) day written notice with an opportunity to cure, then Seller may exercise such rights and remedies as may be provided for in this Agreement or as may be provided for or allowed by law or equity (including, without limitation, specific performance and the right to be paid the Deposit and all interest earned thereon as liquidated damages for such breach).</w:t>
      </w:r>
    </w:p>
    <w:p>
      <w:pPr>
        <w:spacing w:after="0" w:line="165" w:lineRule="exact"/>
        <w:rPr>
          <w:rFonts w:ascii="Arial" w:cs="Arial" w:eastAsia="Arial" w:hAnsi="Arial"/>
          <w:sz w:val="15"/>
          <w:szCs w:val="15"/>
          <w:color w:val="auto"/>
        </w:rPr>
      </w:pPr>
    </w:p>
    <w:p>
      <w:pPr>
        <w:ind w:right="340" w:firstLine="293"/>
        <w:spacing w:after="0" w:line="242" w:lineRule="auto"/>
        <w:tabs>
          <w:tab w:leader="none" w:pos="515" w:val="left"/>
        </w:tabs>
        <w:numPr>
          <w:ilvl w:val="0"/>
          <w:numId w:val="70"/>
        </w:numPr>
        <w:rPr>
          <w:rFonts w:ascii="Arial" w:cs="Arial" w:eastAsia="Arial" w:hAnsi="Arial"/>
          <w:sz w:val="15"/>
          <w:szCs w:val="15"/>
          <w:color w:val="auto"/>
        </w:rPr>
      </w:pPr>
      <w:r>
        <w:rPr>
          <w:rFonts w:ascii="Arial" w:cs="Arial" w:eastAsia="Arial" w:hAnsi="Arial"/>
          <w:sz w:val="15"/>
          <w:szCs w:val="15"/>
          <w:color w:val="auto"/>
        </w:rPr>
        <w:t>If Seller is in default in the observance or performance of its obligations hereunder, after a thirty (30) day written notice with an opportunity to cure, then Buyer may exercise such rights and remedies as may be provided for in this Agreement or as may be provided for or allowed by law or equity (including, without limitation, specific performance).</w:t>
      </w:r>
    </w:p>
    <w:p>
      <w:pPr>
        <w:spacing w:after="0" w:line="165" w:lineRule="exact"/>
        <w:rPr>
          <w:sz w:val="20"/>
          <w:szCs w:val="20"/>
          <w:color w:val="auto"/>
        </w:rPr>
      </w:pPr>
    </w:p>
    <w:p>
      <w:pPr>
        <w:ind w:right="320" w:firstLine="293"/>
        <w:spacing w:after="0" w:line="245" w:lineRule="auto"/>
        <w:tabs>
          <w:tab w:leader="none" w:pos="540"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to be given hereunder shall be in writing and deemed to have been duly given if said notice is delivered personally, sent by reputable overnight courier, sent by legible facsimile transmission, or sent by registered or certified mail, postage prepaid, and addressed as set forth below:</w:t>
      </w:r>
    </w:p>
    <w:p>
      <w:pPr>
        <w:spacing w:after="0" w:line="162" w:lineRule="exact"/>
        <w:rPr>
          <w:sz w:val="20"/>
          <w:szCs w:val="20"/>
          <w:color w:val="auto"/>
        </w:rPr>
      </w:pPr>
    </w:p>
    <w:p>
      <w:pPr>
        <w:ind w:left="1180"/>
        <w:spacing w:after="0"/>
        <w:tabs>
          <w:tab w:leader="none" w:pos="1900" w:val="left"/>
        </w:tabs>
        <w:rPr>
          <w:sz w:val="20"/>
          <w:szCs w:val="20"/>
          <w:color w:val="auto"/>
        </w:rPr>
      </w:pPr>
      <w:r>
        <w:rPr>
          <w:rFonts w:ascii="Arial" w:cs="Arial" w:eastAsia="Arial" w:hAnsi="Arial"/>
          <w:sz w:val="15"/>
          <w:szCs w:val="15"/>
          <w:color w:val="auto"/>
        </w:rPr>
        <w:t>Seller:</w:t>
      </w:r>
      <w:r>
        <w:rPr>
          <w:sz w:val="20"/>
          <w:szCs w:val="20"/>
          <w:color w:val="auto"/>
        </w:rPr>
        <w:tab/>
      </w:r>
      <w:r>
        <w:rPr>
          <w:rFonts w:ascii="Arial" w:cs="Arial" w:eastAsia="Arial" w:hAnsi="Arial"/>
          <w:sz w:val="15"/>
          <w:szCs w:val="15"/>
          <w:color w:val="auto"/>
        </w:rPr>
        <w:t>WINNEBAGO INDUSTRIES</w:t>
      </w:r>
    </w:p>
    <w:p>
      <w:pPr>
        <w:ind w:left="1180"/>
        <w:spacing w:after="0"/>
        <w:rPr>
          <w:sz w:val="20"/>
          <w:szCs w:val="20"/>
          <w:color w:val="auto"/>
        </w:rPr>
      </w:pPr>
      <w:r>
        <w:rPr>
          <w:rFonts w:ascii="Arial" w:cs="Arial" w:eastAsia="Arial" w:hAnsi="Arial"/>
          <w:sz w:val="15"/>
          <w:szCs w:val="15"/>
          <w:color w:val="auto"/>
        </w:rPr>
        <w:t>605 W. Crystal Lake Road</w:t>
      </w:r>
    </w:p>
    <w:p>
      <w:pPr>
        <w:ind w:left="1180"/>
        <w:spacing w:after="0"/>
        <w:rPr>
          <w:sz w:val="20"/>
          <w:szCs w:val="20"/>
          <w:color w:val="auto"/>
        </w:rPr>
      </w:pPr>
      <w:r>
        <w:rPr>
          <w:rFonts w:ascii="Arial" w:cs="Arial" w:eastAsia="Arial" w:hAnsi="Arial"/>
          <w:sz w:val="15"/>
          <w:szCs w:val="15"/>
          <w:color w:val="auto"/>
        </w:rPr>
        <w:t>P.O. Box 152</w:t>
      </w:r>
    </w:p>
    <w:p>
      <w:pPr>
        <w:ind w:left="1180"/>
        <w:spacing w:after="0"/>
        <w:rPr>
          <w:sz w:val="20"/>
          <w:szCs w:val="20"/>
          <w:color w:val="auto"/>
        </w:rPr>
      </w:pPr>
      <w:r>
        <w:rPr>
          <w:rFonts w:ascii="Arial" w:cs="Arial" w:eastAsia="Arial" w:hAnsi="Arial"/>
          <w:sz w:val="15"/>
          <w:szCs w:val="15"/>
          <w:color w:val="auto"/>
        </w:rPr>
        <w:t>Forest City, IA 50436</w:t>
      </w:r>
    </w:p>
    <w:p>
      <w:pPr>
        <w:ind w:left="1180"/>
        <w:spacing w:after="0"/>
        <w:rPr>
          <w:sz w:val="20"/>
          <w:szCs w:val="20"/>
          <w:color w:val="auto"/>
        </w:rPr>
      </w:pPr>
      <w:r>
        <w:rPr>
          <w:rFonts w:ascii="Arial" w:cs="Arial" w:eastAsia="Arial" w:hAnsi="Arial"/>
          <w:sz w:val="15"/>
          <w:szCs w:val="15"/>
          <w:color w:val="auto"/>
        </w:rPr>
        <w:t>Attn: Ray Beebe</w:t>
      </w:r>
    </w:p>
    <w:p>
      <w:pPr>
        <w:ind w:left="1180"/>
        <w:spacing w:after="0"/>
        <w:rPr>
          <w:sz w:val="20"/>
          <w:szCs w:val="20"/>
          <w:color w:val="auto"/>
        </w:rPr>
      </w:pPr>
      <w:r>
        <w:rPr>
          <w:rFonts w:ascii="Arial" w:cs="Arial" w:eastAsia="Arial" w:hAnsi="Arial"/>
          <w:sz w:val="15"/>
          <w:szCs w:val="15"/>
          <w:color w:val="auto"/>
        </w:rPr>
        <w:t>Fax: (641) 585-6806</w:t>
      </w:r>
    </w:p>
    <w:p>
      <w:pPr>
        <w:ind w:left="1180"/>
        <w:spacing w:after="0"/>
        <w:rPr>
          <w:sz w:val="20"/>
          <w:szCs w:val="20"/>
          <w:color w:val="auto"/>
        </w:rPr>
      </w:pPr>
      <w:r>
        <w:rPr>
          <w:rFonts w:ascii="Arial" w:cs="Arial" w:eastAsia="Arial" w:hAnsi="Arial"/>
          <w:sz w:val="15"/>
          <w:szCs w:val="15"/>
          <w:color w:val="auto"/>
        </w:rPr>
        <w:t>E-mail: rbeebe@winnebagoind.com</w:t>
      </w:r>
    </w:p>
    <w:p>
      <w:pPr>
        <w:spacing w:after="0" w:line="170" w:lineRule="exact"/>
        <w:rPr>
          <w:sz w:val="20"/>
          <w:szCs w:val="20"/>
          <w:color w:val="auto"/>
        </w:rPr>
      </w:pPr>
    </w:p>
    <w:p>
      <w:pPr>
        <w:ind w:left="300"/>
        <w:spacing w:after="0"/>
        <w:tabs>
          <w:tab w:leader="none" w:pos="1400" w:val="left"/>
        </w:tabs>
        <w:rPr>
          <w:sz w:val="20"/>
          <w:szCs w:val="20"/>
          <w:color w:val="auto"/>
        </w:rPr>
      </w:pPr>
      <w:r>
        <w:rPr>
          <w:rFonts w:ascii="Arial" w:cs="Arial" w:eastAsia="Arial" w:hAnsi="Arial"/>
          <w:sz w:val="15"/>
          <w:szCs w:val="15"/>
          <w:color w:val="auto"/>
        </w:rPr>
        <w:t>With a copy to:</w:t>
      </w:r>
      <w:r>
        <w:rPr>
          <w:sz w:val="20"/>
          <w:szCs w:val="20"/>
          <w:color w:val="auto"/>
        </w:rPr>
        <w:tab/>
      </w:r>
      <w:r>
        <w:rPr>
          <w:rFonts w:ascii="Arial" w:cs="Arial" w:eastAsia="Arial" w:hAnsi="Arial"/>
          <w:sz w:val="14"/>
          <w:szCs w:val="14"/>
          <w:color w:val="auto"/>
        </w:rPr>
        <w:t>Davis Brown Law Firm</w:t>
      </w:r>
    </w:p>
    <w:p>
      <w:pPr>
        <w:ind w:left="1180"/>
        <w:spacing w:after="0"/>
        <w:rPr>
          <w:sz w:val="20"/>
          <w:szCs w:val="20"/>
          <w:color w:val="auto"/>
        </w:rPr>
      </w:pPr>
      <w:r>
        <w:rPr>
          <w:rFonts w:ascii="Arial" w:cs="Arial" w:eastAsia="Arial" w:hAnsi="Arial"/>
          <w:sz w:val="15"/>
          <w:szCs w:val="15"/>
          <w:color w:val="auto"/>
        </w:rPr>
        <w:t>215 10th Street, Suite 1300</w:t>
      </w:r>
    </w:p>
    <w:p>
      <w:pPr>
        <w:ind w:left="1180"/>
        <w:spacing w:after="0"/>
        <w:rPr>
          <w:sz w:val="20"/>
          <w:szCs w:val="20"/>
          <w:color w:val="auto"/>
        </w:rPr>
      </w:pPr>
      <w:r>
        <w:rPr>
          <w:rFonts w:ascii="Arial" w:cs="Arial" w:eastAsia="Arial" w:hAnsi="Arial"/>
          <w:sz w:val="15"/>
          <w:szCs w:val="15"/>
          <w:color w:val="auto"/>
        </w:rPr>
        <w:t>Des Moines, IA 50309</w:t>
      </w:r>
    </w:p>
    <w:p>
      <w:pPr>
        <w:ind w:left="1180"/>
        <w:spacing w:after="0"/>
        <w:rPr>
          <w:sz w:val="20"/>
          <w:szCs w:val="20"/>
          <w:color w:val="auto"/>
        </w:rPr>
      </w:pPr>
      <w:r>
        <w:rPr>
          <w:rFonts w:ascii="Arial" w:cs="Arial" w:eastAsia="Arial" w:hAnsi="Arial"/>
          <w:sz w:val="15"/>
          <w:szCs w:val="15"/>
          <w:color w:val="auto"/>
        </w:rPr>
        <w:t>Attn: Gary M. Myers</w:t>
      </w:r>
    </w:p>
    <w:p>
      <w:pPr>
        <w:ind w:left="1180"/>
        <w:spacing w:after="0"/>
        <w:rPr>
          <w:sz w:val="20"/>
          <w:szCs w:val="20"/>
          <w:color w:val="auto"/>
        </w:rPr>
      </w:pPr>
      <w:r>
        <w:rPr>
          <w:rFonts w:ascii="Arial" w:cs="Arial" w:eastAsia="Arial" w:hAnsi="Arial"/>
          <w:sz w:val="15"/>
          <w:szCs w:val="15"/>
          <w:color w:val="auto"/>
        </w:rPr>
        <w:t>Fax: (515) 243-0654</w:t>
      </w:r>
    </w:p>
    <w:p>
      <w:pPr>
        <w:ind w:left="1180"/>
        <w:spacing w:after="0"/>
        <w:rPr>
          <w:sz w:val="20"/>
          <w:szCs w:val="20"/>
          <w:color w:val="auto"/>
        </w:rPr>
      </w:pPr>
      <w:r>
        <w:rPr>
          <w:rFonts w:ascii="Arial" w:cs="Arial" w:eastAsia="Arial" w:hAnsi="Arial"/>
          <w:sz w:val="15"/>
          <w:szCs w:val="15"/>
          <w:color w:val="auto"/>
        </w:rPr>
        <w:t>E-mail: garymyers@davisbrownlaw.com</w:t>
      </w:r>
    </w:p>
    <w:p>
      <w:pPr>
        <w:spacing w:after="0" w:line="170" w:lineRule="exact"/>
        <w:rPr>
          <w:sz w:val="20"/>
          <w:szCs w:val="20"/>
          <w:color w:val="auto"/>
        </w:rPr>
      </w:pPr>
    </w:p>
    <w:p>
      <w:pPr>
        <w:ind w:left="1180"/>
        <w:spacing w:after="0"/>
        <w:tabs>
          <w:tab w:leader="none" w:pos="1900" w:val="left"/>
        </w:tabs>
        <w:rPr>
          <w:sz w:val="20"/>
          <w:szCs w:val="20"/>
          <w:color w:val="auto"/>
        </w:rPr>
      </w:pPr>
      <w:r>
        <w:rPr>
          <w:rFonts w:ascii="Arial" w:cs="Arial" w:eastAsia="Arial" w:hAnsi="Arial"/>
          <w:sz w:val="15"/>
          <w:szCs w:val="15"/>
          <w:color w:val="auto"/>
        </w:rPr>
        <w:t>Buyer:</w:t>
      </w:r>
      <w:r>
        <w:rPr>
          <w:sz w:val="20"/>
          <w:szCs w:val="20"/>
          <w:color w:val="auto"/>
        </w:rPr>
        <w:tab/>
      </w:r>
      <w:r>
        <w:rPr>
          <w:rFonts w:ascii="Arial" w:cs="Arial" w:eastAsia="Arial" w:hAnsi="Arial"/>
          <w:sz w:val="15"/>
          <w:szCs w:val="15"/>
          <w:color w:val="auto"/>
        </w:rPr>
        <w:t>CGS TIRES US, INC.</w:t>
      </w:r>
    </w:p>
    <w:p>
      <w:pPr>
        <w:ind w:left="1180"/>
        <w:spacing w:after="0"/>
        <w:rPr>
          <w:sz w:val="20"/>
          <w:szCs w:val="20"/>
          <w:color w:val="auto"/>
        </w:rPr>
      </w:pPr>
      <w:r>
        <w:rPr>
          <w:rFonts w:ascii="Arial" w:cs="Arial" w:eastAsia="Arial" w:hAnsi="Arial"/>
          <w:sz w:val="15"/>
          <w:szCs w:val="15"/>
          <w:color w:val="auto"/>
        </w:rPr>
        <w:t>7400 Carmel Executive Park, Suite 345</w:t>
      </w:r>
    </w:p>
    <w:p>
      <w:pPr>
        <w:ind w:left="1180"/>
        <w:spacing w:after="0"/>
        <w:rPr>
          <w:sz w:val="20"/>
          <w:szCs w:val="20"/>
          <w:color w:val="auto"/>
        </w:rPr>
      </w:pPr>
      <w:r>
        <w:rPr>
          <w:rFonts w:ascii="Arial" w:cs="Arial" w:eastAsia="Arial" w:hAnsi="Arial"/>
          <w:sz w:val="15"/>
          <w:szCs w:val="15"/>
          <w:color w:val="auto"/>
        </w:rPr>
        <w:t>Charlotte, NC 28226</w:t>
      </w:r>
    </w:p>
    <w:p>
      <w:pPr>
        <w:ind w:left="1180"/>
        <w:spacing w:after="0"/>
        <w:rPr>
          <w:sz w:val="20"/>
          <w:szCs w:val="20"/>
          <w:color w:val="auto"/>
        </w:rPr>
      </w:pPr>
      <w:r>
        <w:rPr>
          <w:rFonts w:ascii="Arial" w:cs="Arial" w:eastAsia="Arial" w:hAnsi="Arial"/>
          <w:sz w:val="15"/>
          <w:szCs w:val="15"/>
          <w:color w:val="auto"/>
        </w:rPr>
        <w:t>Attn: Neil Rayson</w:t>
      </w:r>
    </w:p>
    <w:p>
      <w:pPr>
        <w:ind w:left="1180"/>
        <w:spacing w:after="0"/>
        <w:rPr>
          <w:sz w:val="20"/>
          <w:szCs w:val="20"/>
          <w:color w:val="auto"/>
        </w:rPr>
      </w:pPr>
      <w:r>
        <w:rPr>
          <w:rFonts w:ascii="Arial" w:cs="Arial" w:eastAsia="Arial" w:hAnsi="Arial"/>
          <w:sz w:val="15"/>
          <w:szCs w:val="15"/>
          <w:color w:val="auto"/>
        </w:rPr>
        <w:t>Fax: 704-542-3474</w:t>
      </w:r>
    </w:p>
    <w:p>
      <w:pPr>
        <w:ind w:left="1180"/>
        <w:spacing w:after="0"/>
        <w:rPr>
          <w:sz w:val="20"/>
          <w:szCs w:val="20"/>
          <w:color w:val="auto"/>
        </w:rPr>
      </w:pPr>
      <w:r>
        <w:rPr>
          <w:rFonts w:ascii="Arial" w:cs="Arial" w:eastAsia="Arial" w:hAnsi="Arial"/>
          <w:sz w:val="15"/>
          <w:szCs w:val="15"/>
          <w:color w:val="auto"/>
        </w:rPr>
        <w:t>E-mail: neil.rayson@cgs-tires.com</w:t>
      </w:r>
    </w:p>
    <w:p>
      <w:pPr>
        <w:spacing w:after="0" w:line="170" w:lineRule="exact"/>
        <w:rPr>
          <w:sz w:val="20"/>
          <w:szCs w:val="20"/>
          <w:color w:val="auto"/>
        </w:rPr>
      </w:pPr>
    </w:p>
    <w:p>
      <w:pPr>
        <w:ind w:left="1180"/>
        <w:spacing w:after="0"/>
        <w:tabs>
          <w:tab w:leader="none" w:pos="2340" w:val="left"/>
        </w:tabs>
        <w:rPr>
          <w:sz w:val="20"/>
          <w:szCs w:val="20"/>
          <w:color w:val="auto"/>
        </w:rPr>
      </w:pPr>
      <w:r>
        <w:rPr>
          <w:rFonts w:ascii="Arial" w:cs="Arial" w:eastAsia="Arial" w:hAnsi="Arial"/>
          <w:sz w:val="15"/>
          <w:szCs w:val="15"/>
          <w:color w:val="auto"/>
        </w:rPr>
        <w:t>With a copy to:</w:t>
      </w:r>
      <w:r>
        <w:rPr>
          <w:sz w:val="20"/>
          <w:szCs w:val="20"/>
          <w:color w:val="auto"/>
        </w:rPr>
        <w:tab/>
      </w:r>
      <w:r>
        <w:rPr>
          <w:rFonts w:ascii="Arial" w:cs="Arial" w:eastAsia="Arial" w:hAnsi="Arial"/>
          <w:sz w:val="14"/>
          <w:szCs w:val="14"/>
          <w:color w:val="auto"/>
        </w:rPr>
        <w:t>Nyemaster Goode P.C.</w:t>
      </w:r>
    </w:p>
    <w:p>
      <w:pPr>
        <w:ind w:left="1180"/>
        <w:spacing w:after="0"/>
        <w:rPr>
          <w:sz w:val="20"/>
          <w:szCs w:val="20"/>
          <w:color w:val="auto"/>
        </w:rPr>
      </w:pPr>
      <w:r>
        <w:rPr>
          <w:rFonts w:ascii="Arial" w:cs="Arial" w:eastAsia="Arial" w:hAnsi="Arial"/>
          <w:sz w:val="15"/>
          <w:szCs w:val="15"/>
          <w:color w:val="auto"/>
        </w:rPr>
        <w:t>700 Walnut, Suite 1600</w:t>
      </w:r>
    </w:p>
    <w:p>
      <w:pPr>
        <w:ind w:left="1180"/>
        <w:spacing w:after="0"/>
        <w:rPr>
          <w:sz w:val="20"/>
          <w:szCs w:val="20"/>
          <w:color w:val="auto"/>
        </w:rPr>
      </w:pPr>
      <w:r>
        <w:rPr>
          <w:rFonts w:ascii="Arial" w:cs="Arial" w:eastAsia="Arial" w:hAnsi="Arial"/>
          <w:sz w:val="15"/>
          <w:szCs w:val="15"/>
          <w:color w:val="auto"/>
        </w:rPr>
        <w:t>Des Moines, IA 50309</w:t>
      </w:r>
    </w:p>
    <w:p>
      <w:pPr>
        <w:ind w:left="1180"/>
        <w:spacing w:after="0"/>
        <w:rPr>
          <w:sz w:val="20"/>
          <w:szCs w:val="20"/>
          <w:color w:val="auto"/>
        </w:rPr>
      </w:pPr>
      <w:r>
        <w:rPr>
          <w:rFonts w:ascii="Arial" w:cs="Arial" w:eastAsia="Arial" w:hAnsi="Arial"/>
          <w:sz w:val="15"/>
          <w:szCs w:val="15"/>
          <w:color w:val="auto"/>
        </w:rPr>
        <w:t>Attn: Dwayne VandeKrol</w:t>
      </w:r>
    </w:p>
    <w:p>
      <w:pPr>
        <w:ind w:left="1180"/>
        <w:spacing w:after="0"/>
        <w:rPr>
          <w:sz w:val="20"/>
          <w:szCs w:val="20"/>
          <w:color w:val="auto"/>
        </w:rPr>
      </w:pPr>
      <w:r>
        <w:rPr>
          <w:rFonts w:ascii="Arial" w:cs="Arial" w:eastAsia="Arial" w:hAnsi="Arial"/>
          <w:sz w:val="15"/>
          <w:szCs w:val="15"/>
          <w:color w:val="auto"/>
        </w:rPr>
        <w:t>Fax: (515) 283-3109</w:t>
      </w:r>
    </w:p>
    <w:p>
      <w:pPr>
        <w:ind w:left="1180"/>
        <w:spacing w:after="0"/>
        <w:rPr>
          <w:sz w:val="20"/>
          <w:szCs w:val="20"/>
          <w:color w:val="auto"/>
        </w:rPr>
      </w:pPr>
      <w:r>
        <w:rPr>
          <w:rFonts w:ascii="Arial" w:cs="Arial" w:eastAsia="Arial" w:hAnsi="Arial"/>
          <w:sz w:val="15"/>
          <w:szCs w:val="15"/>
          <w:color w:val="auto"/>
        </w:rPr>
        <w:t>E-mail: dvandekrol@nyemaster.com</w:t>
      </w:r>
    </w:p>
    <w:p>
      <w:pPr>
        <w:spacing w:after="0" w:line="170"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5"/>
          <w:szCs w:val="15"/>
          <w:color w:val="auto"/>
        </w:rPr>
        <w:t>Escrow Agent:</w:t>
      </w:r>
      <w:r>
        <w:rPr>
          <w:sz w:val="20"/>
          <w:szCs w:val="20"/>
          <w:color w:val="auto"/>
        </w:rPr>
        <w:tab/>
      </w:r>
      <w:r>
        <w:rPr>
          <w:rFonts w:ascii="Arial" w:cs="Arial" w:eastAsia="Arial" w:hAnsi="Arial"/>
          <w:sz w:val="14"/>
          <w:szCs w:val="14"/>
          <w:color w:val="auto"/>
        </w:rPr>
        <w:t>First American Title Insurance Company</w:t>
      </w:r>
    </w:p>
    <w:p>
      <w:pPr>
        <w:ind w:left="2360"/>
        <w:spacing w:after="0"/>
        <w:rPr>
          <w:sz w:val="20"/>
          <w:szCs w:val="20"/>
          <w:color w:val="auto"/>
        </w:rPr>
      </w:pPr>
      <w:r>
        <w:rPr>
          <w:rFonts w:ascii="Arial" w:cs="Arial" w:eastAsia="Arial" w:hAnsi="Arial"/>
          <w:sz w:val="15"/>
          <w:szCs w:val="15"/>
          <w:color w:val="auto"/>
        </w:rPr>
        <w:t>13924 Gold Circle</w:t>
      </w:r>
    </w:p>
    <w:p>
      <w:pPr>
        <w:ind w:left="2360"/>
        <w:spacing w:after="0"/>
        <w:rPr>
          <w:sz w:val="20"/>
          <w:szCs w:val="20"/>
          <w:color w:val="auto"/>
        </w:rPr>
      </w:pPr>
      <w:r>
        <w:rPr>
          <w:rFonts w:ascii="Arial" w:cs="Arial" w:eastAsia="Arial" w:hAnsi="Arial"/>
          <w:sz w:val="15"/>
          <w:szCs w:val="15"/>
          <w:color w:val="auto"/>
        </w:rPr>
        <w:t>Omaha, NE 68144</w:t>
      </w:r>
    </w:p>
    <w:p>
      <w:pPr>
        <w:spacing w:after="0" w:line="171"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00"/>
          </w:cols>
          <w:pgMar w:left="240" w:top="485" w:right="259" w:bottom="1440" w:gutter="0" w:footer="0" w:header="0"/>
        </w:sectPr>
      </w:pPr>
    </w:p>
    <w:bookmarkStart w:id="65" w:name="page66"/>
    <w:bookmarkEnd w:id="65"/>
    <w:p>
      <w:pPr>
        <w:ind w:left="2360"/>
        <w:spacing w:after="0"/>
        <w:rPr>
          <w:sz w:val="20"/>
          <w:szCs w:val="20"/>
          <w:color w:val="auto"/>
        </w:rPr>
      </w:pPr>
      <w:r>
        <w:rPr>
          <w:rFonts w:ascii="Arial" w:cs="Arial" w:eastAsia="Arial" w:hAnsi="Arial"/>
          <w:sz w:val="15"/>
          <w:szCs w:val="15"/>
          <w:color w:val="auto"/>
        </w:rPr>
        <w:t>Attn: Debbie Saxton</w:t>
      </w:r>
    </w:p>
    <w:p>
      <w:pPr>
        <w:ind w:left="2360"/>
        <w:spacing w:after="0"/>
        <w:rPr>
          <w:sz w:val="20"/>
          <w:szCs w:val="20"/>
          <w:color w:val="auto"/>
        </w:rPr>
      </w:pPr>
      <w:r>
        <w:rPr>
          <w:rFonts w:ascii="Arial" w:cs="Arial" w:eastAsia="Arial" w:hAnsi="Arial"/>
          <w:sz w:val="15"/>
          <w:szCs w:val="15"/>
          <w:color w:val="auto"/>
        </w:rPr>
        <w:t>Fax: (402) 333-1098</w:t>
      </w:r>
    </w:p>
    <w:p>
      <w:pPr>
        <w:ind w:left="2360"/>
        <w:spacing w:after="0"/>
        <w:rPr>
          <w:sz w:val="20"/>
          <w:szCs w:val="20"/>
          <w:color w:val="auto"/>
        </w:rPr>
      </w:pPr>
      <w:r>
        <w:rPr>
          <w:rFonts w:ascii="Arial" w:cs="Arial" w:eastAsia="Arial" w:hAnsi="Arial"/>
          <w:sz w:val="15"/>
          <w:szCs w:val="15"/>
          <w:color w:val="auto"/>
        </w:rPr>
        <w:t>Email: dsaxton@firstam.com</w:t>
      </w:r>
    </w:p>
    <w:p>
      <w:pPr>
        <w:spacing w:after="0" w:line="171" w:lineRule="exact"/>
        <w:rPr>
          <w:sz w:val="20"/>
          <w:szCs w:val="20"/>
          <w:color w:val="auto"/>
        </w:rPr>
      </w:pPr>
    </w:p>
    <w:p>
      <w:pPr>
        <w:ind w:right="280" w:firstLine="294"/>
        <w:spacing w:after="0"/>
        <w:rPr>
          <w:sz w:val="20"/>
          <w:szCs w:val="20"/>
          <w:color w:val="auto"/>
        </w:rPr>
      </w:pPr>
      <w:r>
        <w:rPr>
          <w:rFonts w:ascii="Arial" w:cs="Arial" w:eastAsia="Arial" w:hAnsi="Arial"/>
          <w:sz w:val="15"/>
          <w:szCs w:val="15"/>
          <w:color w:val="auto"/>
        </w:rPr>
        <w:t>Each such mailed notice or communication shall be deemed to have been given to, or served upon, the party to whom or to which addressed on the date the same is served, sent by overnight courier, or is deposited in the United States certified mail, return receipt requested, postage prepaid, properly addressed in the manner above provided, or, in the case of facsimile transmission, as of the date of the facsimile transmission (or the next business day if transmitted on a day other than a business day or after 5:00 p.m. Central Time on a business day) provided that the transmitting machine generates a satisfactory transmission report. Any party may change the address to which notices are to be addressed by giving the other parties notice in the manner set forth above.</w:t>
      </w:r>
    </w:p>
    <w:p>
      <w:pPr>
        <w:spacing w:after="0" w:line="168" w:lineRule="exact"/>
        <w:rPr>
          <w:sz w:val="20"/>
          <w:szCs w:val="20"/>
          <w:color w:val="auto"/>
        </w:rPr>
      </w:pPr>
    </w:p>
    <w:p>
      <w:pPr>
        <w:ind w:right="60" w:firstLine="293"/>
        <w:spacing w:after="0" w:line="242" w:lineRule="auto"/>
        <w:tabs>
          <w:tab w:leader="none" w:pos="54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sets forth all the agreements, promises, warranties, representations, understandings and promises between the parties hereto, and the parties are not bound by any agreements, undertakings or conditions except as expressly set forth herein. All additions, variations or modifications to this Agreement shall be void and ineffective unless in writing and signed by the parties.</w:t>
      </w:r>
    </w:p>
    <w:p>
      <w:pPr>
        <w:spacing w:after="0" w:line="165" w:lineRule="exact"/>
        <w:rPr>
          <w:rFonts w:ascii="Arial" w:cs="Arial" w:eastAsia="Arial" w:hAnsi="Arial"/>
          <w:sz w:val="15"/>
          <w:szCs w:val="15"/>
          <w:color w:val="auto"/>
        </w:rPr>
      </w:pPr>
    </w:p>
    <w:p>
      <w:pPr>
        <w:ind w:firstLine="293"/>
        <w:spacing w:after="0" w:line="242" w:lineRule="auto"/>
        <w:tabs>
          <w:tab w:leader="none" w:pos="54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Successors and Assigns; Assignment</w:t>
      </w:r>
      <w:r>
        <w:rPr>
          <w:rFonts w:ascii="Arial" w:cs="Arial" w:eastAsia="Arial" w:hAnsi="Arial"/>
          <w:sz w:val="15"/>
          <w:szCs w:val="15"/>
          <w:color w:val="auto"/>
        </w:rPr>
        <w:t>. This Agree ment shall extend to, be binding upon, and inure to the benefit of the heirs, executors, administrators and successors of the parties hereto. Buyer shall have the right to assign this Agreement, or any of its rights, duties or obligations hereunder to a related party, entity or affiliate with three (3) days advance written notice provided to Seller.</w:t>
      </w:r>
    </w:p>
    <w:p>
      <w:pPr>
        <w:spacing w:after="0" w:line="165" w:lineRule="exact"/>
        <w:rPr>
          <w:rFonts w:ascii="Arial" w:cs="Arial" w:eastAsia="Arial" w:hAnsi="Arial"/>
          <w:sz w:val="15"/>
          <w:szCs w:val="15"/>
          <w:color w:val="auto"/>
        </w:rPr>
      </w:pPr>
    </w:p>
    <w:p>
      <w:pPr>
        <w:ind w:left="540" w:hanging="247"/>
        <w:spacing w:after="0"/>
        <w:tabs>
          <w:tab w:leader="none" w:pos="54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construed and interpreted in accordance with the laws of the state of Iowa.</w:t>
      </w:r>
    </w:p>
    <w:p>
      <w:pPr>
        <w:spacing w:after="0" w:line="170" w:lineRule="exact"/>
        <w:rPr>
          <w:rFonts w:ascii="Arial" w:cs="Arial" w:eastAsia="Arial" w:hAnsi="Arial"/>
          <w:sz w:val="15"/>
          <w:szCs w:val="15"/>
          <w:color w:val="auto"/>
        </w:rPr>
      </w:pPr>
    </w:p>
    <w:p>
      <w:pPr>
        <w:ind w:right="40" w:firstLine="293"/>
        <w:spacing w:after="0" w:line="239" w:lineRule="auto"/>
        <w:tabs>
          <w:tab w:leader="none" w:pos="54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Due Diligence</w:t>
      </w:r>
      <w:r>
        <w:rPr>
          <w:rFonts w:ascii="Arial" w:cs="Arial" w:eastAsia="Arial" w:hAnsi="Arial"/>
          <w:sz w:val="15"/>
          <w:szCs w:val="15"/>
          <w:color w:val="auto"/>
        </w:rPr>
        <w:t>. For a period from the Effective Date until October 25, 2010 (the “Due Diligence Period”), Buyer shall with reasonable prior notice to Seller have the right to enter upon, go in, on or over the Property for the purpose of conducting building surveys, inspections, soil tests, core drillings, environmental testing and other examinations thereof as Buyer may desire. Seller has the right, but is not obligated, to be present at the Property at all times during any inspections, examinations and other tests conducted by Buyer pursuant to this Agreement. Seller shall designate a person who shall be notified by phone prior to entry on the Property by Buyer or its agents. Buyer shall repair any and all damage by reason of any such testing and shall indemnify and save Seller harmless from any liability in conj unction therewith. During this Due Diligence Period, Buyer shall obtain (i) approval of all state, county, government or quasi-governmental incentives required, and (ii) an acceptable Phase I Environmental Report. In the event Buyer is not satisfied with the results of its inspection of the Property for any reason whatsoever, or the required incentives are not approved, Buyer in its sole discretion may before the end of this Due Diligence Period terminate this Agreement by giving Seller written notification of such election and the Deposit and all accrued interest shall be returned to the Buyer and this Agreement shall become null and void and of no force and effect and all copies of this Agreement shall be returned to Seller for cancellation. If Buyer does not give Seller such notice within such period, all conditions herein shall be deemed to be, and shall be, waived, the Deposit will become non-refundable and the Seller and Buyer shall proceed to Settlement as set forth in this Agreement.</w:t>
      </w:r>
    </w:p>
    <w:p>
      <w:pPr>
        <w:spacing w:after="0" w:line="171" w:lineRule="exact"/>
        <w:rPr>
          <w:sz w:val="20"/>
          <w:szCs w:val="20"/>
          <w:color w:val="auto"/>
        </w:rPr>
      </w:pPr>
    </w:p>
    <w:p>
      <w:pPr>
        <w:ind w:right="300"/>
        <w:spacing w:after="0" w:line="245" w:lineRule="auto"/>
        <w:rPr>
          <w:sz w:val="20"/>
          <w:szCs w:val="20"/>
          <w:color w:val="auto"/>
        </w:rPr>
      </w:pPr>
      <w:r>
        <w:rPr>
          <w:rFonts w:ascii="Arial" w:cs="Arial" w:eastAsia="Arial" w:hAnsi="Arial"/>
          <w:sz w:val="15"/>
          <w:szCs w:val="15"/>
          <w:color w:val="auto"/>
        </w:rPr>
        <w:t>To the extent any of the following documents or items exist and are in Seller's or Seller's agent's possession or control and have not already been delivered to Buyer, Seller shall deliver original or legible copies of the following documents to Buyer within ten (10) business days following the Effective Date.</w:t>
      </w:r>
    </w:p>
    <w:p>
      <w:pPr>
        <w:spacing w:after="0" w:line="163" w:lineRule="exact"/>
        <w:rPr>
          <w:sz w:val="20"/>
          <w:szCs w:val="20"/>
          <w:color w:val="auto"/>
        </w:rPr>
      </w:pPr>
    </w:p>
    <w:p>
      <w:pPr>
        <w:ind w:left="700" w:hanging="407"/>
        <w:spacing w:after="0"/>
        <w:tabs>
          <w:tab w:leader="none" w:pos="7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Current leases, management, maintenance and service agreements and contracts relating to the Propert y but not related to Seller's retained property.</w:t>
      </w:r>
    </w:p>
    <w:p>
      <w:pPr>
        <w:spacing w:after="0" w:line="170" w:lineRule="exact"/>
        <w:rPr>
          <w:rFonts w:ascii="Arial" w:cs="Arial" w:eastAsia="Arial" w:hAnsi="Arial"/>
          <w:sz w:val="15"/>
          <w:szCs w:val="15"/>
          <w:color w:val="auto"/>
        </w:rPr>
      </w:pPr>
    </w:p>
    <w:p>
      <w:pPr>
        <w:ind w:left="700" w:hanging="407"/>
        <w:spacing w:after="0"/>
        <w:tabs>
          <w:tab w:leader="none" w:pos="7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Copies of real estate tax bills for the current and prior two (2) tax years, including information regarding any proposed reassessments or appeals relating to the</w:t>
      </w:r>
    </w:p>
    <w:p>
      <w:pPr>
        <w:spacing w:after="0"/>
        <w:rPr>
          <w:rFonts w:ascii="Arial" w:cs="Arial" w:eastAsia="Arial" w:hAnsi="Arial"/>
          <w:sz w:val="15"/>
          <w:szCs w:val="15"/>
          <w:color w:val="auto"/>
        </w:rPr>
      </w:pPr>
      <w:r>
        <w:rPr>
          <w:rFonts w:ascii="Arial" w:cs="Arial" w:eastAsia="Arial" w:hAnsi="Arial"/>
          <w:sz w:val="15"/>
          <w:szCs w:val="15"/>
          <w:color w:val="auto"/>
        </w:rPr>
        <w:t>Property.</w:t>
      </w:r>
    </w:p>
    <w:p>
      <w:pPr>
        <w:spacing w:after="0" w:line="170" w:lineRule="exact"/>
        <w:rPr>
          <w:rFonts w:ascii="Arial" w:cs="Arial" w:eastAsia="Arial" w:hAnsi="Arial"/>
          <w:sz w:val="15"/>
          <w:szCs w:val="15"/>
          <w:color w:val="auto"/>
        </w:rPr>
      </w:pPr>
    </w:p>
    <w:p>
      <w:pPr>
        <w:ind w:right="320" w:firstLine="293"/>
        <w:spacing w:after="0" w:line="245" w:lineRule="auto"/>
        <w:tabs>
          <w:tab w:leader="none" w:pos="711" w:val="left"/>
        </w:tabs>
        <w:numPr>
          <w:ilvl w:val="0"/>
          <w:numId w:val="73"/>
        </w:numPr>
        <w:rPr>
          <w:rFonts w:ascii="Arial" w:cs="Arial" w:eastAsia="Arial" w:hAnsi="Arial"/>
          <w:sz w:val="15"/>
          <w:szCs w:val="15"/>
          <w:color w:val="auto"/>
        </w:rPr>
      </w:pPr>
      <w:r>
        <w:rPr>
          <w:rFonts w:ascii="Arial" w:cs="Arial" w:eastAsia="Arial" w:hAnsi="Arial"/>
          <w:sz w:val="15"/>
          <w:szCs w:val="15"/>
          <w:color w:val="auto"/>
        </w:rPr>
        <w:t>A list of any personal property or chattel currently used in the maintenance and operat ion of the Property which shall be included in the sale (including furniture, fixtures and equipment).</w:t>
      </w:r>
    </w:p>
    <w:p>
      <w:pPr>
        <w:spacing w:after="0" w:line="163" w:lineRule="exact"/>
        <w:rPr>
          <w:rFonts w:ascii="Arial" w:cs="Arial" w:eastAsia="Arial" w:hAnsi="Arial"/>
          <w:sz w:val="15"/>
          <w:szCs w:val="15"/>
          <w:color w:val="auto"/>
        </w:rPr>
      </w:pPr>
    </w:p>
    <w:p>
      <w:pPr>
        <w:ind w:left="700" w:hanging="407"/>
        <w:spacing w:after="0"/>
        <w:tabs>
          <w:tab w:leader="none" w:pos="7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Copies of all certificates of insurance evidencing All Risk Property Insurance and General Liability Insurance pertaining to the Property and chattel.</w:t>
      </w:r>
    </w:p>
    <w:p>
      <w:pPr>
        <w:spacing w:after="0" w:line="170" w:lineRule="exact"/>
        <w:rPr>
          <w:rFonts w:ascii="Arial" w:cs="Arial" w:eastAsia="Arial" w:hAnsi="Arial"/>
          <w:sz w:val="15"/>
          <w:szCs w:val="15"/>
          <w:color w:val="auto"/>
        </w:rPr>
      </w:pPr>
    </w:p>
    <w:p>
      <w:pPr>
        <w:ind w:right="380" w:firstLine="293"/>
        <w:spacing w:after="0" w:line="245" w:lineRule="auto"/>
        <w:tabs>
          <w:tab w:leader="none" w:pos="711" w:val="left"/>
        </w:tabs>
        <w:numPr>
          <w:ilvl w:val="0"/>
          <w:numId w:val="73"/>
        </w:numPr>
        <w:rPr>
          <w:rFonts w:ascii="Arial" w:cs="Arial" w:eastAsia="Arial" w:hAnsi="Arial"/>
          <w:sz w:val="15"/>
          <w:szCs w:val="15"/>
          <w:color w:val="auto"/>
        </w:rPr>
      </w:pPr>
      <w:r>
        <w:rPr>
          <w:rFonts w:ascii="Arial" w:cs="Arial" w:eastAsia="Arial" w:hAnsi="Arial"/>
          <w:sz w:val="15"/>
          <w:szCs w:val="15"/>
          <w:color w:val="auto"/>
        </w:rPr>
        <w:t>Documentation concerning any actual, pending or, to the best of Seller's knowledge, threatened litigation against the Property or Seller (relating to the Property and/or its ownership).</w:t>
      </w:r>
    </w:p>
    <w:p>
      <w:pPr>
        <w:spacing w:after="0" w:line="163" w:lineRule="exact"/>
        <w:rPr>
          <w:rFonts w:ascii="Arial" w:cs="Arial" w:eastAsia="Arial" w:hAnsi="Arial"/>
          <w:sz w:val="15"/>
          <w:szCs w:val="15"/>
          <w:color w:val="auto"/>
        </w:rPr>
      </w:pPr>
    </w:p>
    <w:p>
      <w:pPr>
        <w:ind w:right="20" w:firstLine="293"/>
        <w:spacing w:after="0" w:line="245" w:lineRule="auto"/>
        <w:tabs>
          <w:tab w:leader="none" w:pos="711" w:val="left"/>
        </w:tabs>
        <w:numPr>
          <w:ilvl w:val="0"/>
          <w:numId w:val="73"/>
        </w:numPr>
        <w:rPr>
          <w:rFonts w:ascii="Arial" w:cs="Arial" w:eastAsia="Arial" w:hAnsi="Arial"/>
          <w:sz w:val="15"/>
          <w:szCs w:val="15"/>
          <w:color w:val="auto"/>
        </w:rPr>
      </w:pPr>
      <w:r>
        <w:rPr>
          <w:rFonts w:ascii="Arial" w:cs="Arial" w:eastAsia="Arial" w:hAnsi="Arial"/>
          <w:sz w:val="15"/>
          <w:szCs w:val="15"/>
          <w:color w:val="auto"/>
        </w:rPr>
        <w:t>Documentation concerning written violations cited against the Property (whether or not corrected), from the federal, state, county or local regulatory authorities within the last three (3) years.</w:t>
      </w:r>
    </w:p>
    <w:p>
      <w:pPr>
        <w:spacing w:after="0" w:line="153" w:lineRule="exact"/>
        <w:rPr>
          <w:rFonts w:ascii="Arial" w:cs="Arial" w:eastAsia="Arial" w:hAnsi="Arial"/>
          <w:sz w:val="15"/>
          <w:szCs w:val="15"/>
          <w:color w:val="auto"/>
        </w:rPr>
      </w:pPr>
    </w:p>
    <w:p>
      <w:pPr>
        <w:ind w:right="120" w:firstLine="293"/>
        <w:spacing w:after="0" w:line="259" w:lineRule="auto"/>
        <w:tabs>
          <w:tab w:leader="none" w:pos="711"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Copies of all Certificates of Occupancy (or their equivalent) issued for the Property, plus copies of any other permits or certificates that have been issued relative to the operation or use of the Property in Seller's or Seller's agent's possession.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484" w:right="239" w:bottom="1440" w:gutter="0" w:footer="0" w:header="0"/>
        </w:sectPr>
      </w:pPr>
    </w:p>
    <w:bookmarkStart w:id="66" w:name="page67"/>
    <w:bookmarkEnd w:id="66"/>
    <w:p>
      <w:pPr>
        <w:ind w:left="700" w:hanging="407"/>
        <w:spacing w:after="0"/>
        <w:tabs>
          <w:tab w:leader="none" w:pos="7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Copies of any “as built” and “as existing” plans and specificatio ns for the Property.</w:t>
      </w:r>
    </w:p>
    <w:p>
      <w:pPr>
        <w:spacing w:after="0" w:line="343" w:lineRule="exact"/>
        <w:rPr>
          <w:sz w:val="20"/>
          <w:szCs w:val="20"/>
          <w:color w:val="auto"/>
        </w:rPr>
      </w:pPr>
    </w:p>
    <w:p>
      <w:pPr>
        <w:ind w:right="140"/>
        <w:spacing w:after="0" w:line="245" w:lineRule="auto"/>
        <w:rPr>
          <w:sz w:val="20"/>
          <w:szCs w:val="20"/>
          <w:color w:val="auto"/>
        </w:rPr>
      </w:pPr>
      <w:r>
        <w:rPr>
          <w:rFonts w:ascii="Arial" w:cs="Arial" w:eastAsia="Arial" w:hAnsi="Arial"/>
          <w:sz w:val="15"/>
          <w:szCs w:val="15"/>
          <w:color w:val="auto"/>
        </w:rPr>
        <w:t>IN WITNESS WHEREOF, the individual parties hereto have hereunto duly set their hands and seals, and the corporate parties hereto have caused these presents to be duly executed and their corporate seal to be duly attached by their proper officers thereunto duly authorized, the day and year first above written.</w:t>
      </w:r>
    </w:p>
    <w:p>
      <w:pPr>
        <w:spacing w:after="0" w:line="16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SELLER:</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WINNEBAGO INDUSTRIES</w:t>
      </w:r>
    </w:p>
    <w:p>
      <w:pPr>
        <w:sectPr>
          <w:pgSz w:w="11900" w:h="16838" w:orient="portrait"/>
          <w:cols w:equalWidth="0" w:num="1">
            <w:col w:w="11360"/>
          </w:cols>
          <w:pgMar w:left="240" w:top="485" w:right="29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Witness: /s/ Kathy Bonjour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By: /s/ Raymond M. Beebe</w:t>
      </w:r>
    </w:p>
    <w:p>
      <w:pPr>
        <w:spacing w:after="0" w:line="16" w:lineRule="exact"/>
        <w:rPr>
          <w:sz w:val="20"/>
          <w:szCs w:val="20"/>
          <w:color w:val="auto"/>
        </w:rPr>
      </w:pPr>
    </w:p>
    <w:p>
      <w:pPr>
        <w:sectPr>
          <w:pgSz w:w="11900" w:h="16838" w:orient="portrait"/>
          <w:cols w:equalWidth="0" w:num="2">
            <w:col w:w="1720" w:space="160"/>
            <w:col w:w="9480"/>
          </w:cols>
          <w:pgMar w:left="240" w:top="485" w:right="299" w:bottom="1440" w:gutter="0" w:footer="0" w:header="0"/>
          <w:type w:val="continuous"/>
        </w:sectPr>
      </w:pPr>
    </w:p>
    <w:p>
      <w:pPr>
        <w:ind w:left="4120"/>
        <w:spacing w:after="0"/>
        <w:rPr>
          <w:sz w:val="20"/>
          <w:szCs w:val="20"/>
          <w:color w:val="auto"/>
        </w:rPr>
      </w:pPr>
      <w:r>
        <w:rPr>
          <w:rFonts w:ascii="Arial" w:cs="Arial" w:eastAsia="Arial" w:hAnsi="Arial"/>
          <w:sz w:val="14"/>
          <w:szCs w:val="14"/>
          <w:color w:val="auto"/>
        </w:rPr>
        <w:t>Title: Vice President, General Counsel and Secretary</w:t>
      </w:r>
    </w:p>
    <w:p>
      <w:pPr>
        <w:spacing w:after="0" w:line="5"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Date: August 25, 2010</w:t>
      </w:r>
    </w:p>
    <w:p>
      <w:pPr>
        <w:spacing w:after="0" w:line="34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BUYER:</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CGS TIRES US, INC.</w:t>
      </w:r>
    </w:p>
    <w:p>
      <w:pPr>
        <w:sectPr>
          <w:pgSz w:w="11900" w:h="16838" w:orient="portrait"/>
          <w:cols w:equalWidth="0" w:num="1">
            <w:col w:w="11360"/>
          </w:cols>
          <w:pgMar w:left="240" w:top="485" w:right="29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Witness: /s/ Oldrich Slemr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By: /s/ Tomas Nemec</w:t>
      </w:r>
    </w:p>
    <w:p>
      <w:pPr>
        <w:ind w:left="1200"/>
        <w:spacing w:after="0"/>
        <w:rPr>
          <w:sz w:val="20"/>
          <w:szCs w:val="20"/>
          <w:color w:val="auto"/>
        </w:rPr>
      </w:pPr>
      <w:r>
        <w:rPr>
          <w:rFonts w:ascii="Arial" w:cs="Arial" w:eastAsia="Arial" w:hAnsi="Arial"/>
          <w:sz w:val="15"/>
          <w:szCs w:val="15"/>
          <w:color w:val="auto"/>
        </w:rPr>
        <w:t>Title: Vice President</w:t>
      </w:r>
    </w:p>
    <w:p>
      <w:pPr>
        <w:ind w:left="1200"/>
        <w:spacing w:after="0"/>
        <w:rPr>
          <w:sz w:val="20"/>
          <w:szCs w:val="20"/>
          <w:color w:val="auto"/>
        </w:rPr>
      </w:pPr>
      <w:r>
        <w:rPr>
          <w:rFonts w:ascii="Arial" w:cs="Arial" w:eastAsia="Arial" w:hAnsi="Arial"/>
          <w:sz w:val="14"/>
          <w:szCs w:val="14"/>
          <w:color w:val="auto"/>
        </w:rPr>
        <w:t>Date: August 30, 2010</w:t>
      </w:r>
    </w:p>
    <w:p>
      <w:pPr>
        <w:spacing w:after="0" w:line="200" w:lineRule="exact"/>
        <w:rPr>
          <w:sz w:val="20"/>
          <w:szCs w:val="20"/>
          <w:color w:val="auto"/>
        </w:rPr>
      </w:pPr>
    </w:p>
    <w:p>
      <w:pPr>
        <w:sectPr>
          <w:pgSz w:w="11900" w:h="16838" w:orient="portrait"/>
          <w:cols w:equalWidth="0" w:num="2">
            <w:col w:w="1700" w:space="640"/>
            <w:col w:w="9020"/>
          </w:cols>
          <w:pgMar w:left="240" w:top="485" w:right="299" w:bottom="1440" w:gutter="0" w:footer="0" w:header="0"/>
          <w:type w:val="continuous"/>
        </w:sect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EXHIBIT “A-1”</w:t>
      </w:r>
    </w:p>
    <w:p>
      <w:pPr>
        <w:spacing w:after="0" w:line="171" w:lineRule="exact"/>
        <w:rPr>
          <w:sz w:val="20"/>
          <w:szCs w:val="20"/>
          <w:color w:val="auto"/>
        </w:rPr>
      </w:pPr>
    </w:p>
    <w:p>
      <w:pPr>
        <w:ind w:right="340"/>
        <w:spacing w:after="0" w:line="245" w:lineRule="auto"/>
        <w:rPr>
          <w:sz w:val="20"/>
          <w:szCs w:val="20"/>
          <w:color w:val="auto"/>
        </w:rPr>
      </w:pPr>
      <w:r>
        <w:rPr>
          <w:rFonts w:ascii="Arial" w:cs="Arial" w:eastAsia="Arial" w:hAnsi="Arial"/>
          <w:sz w:val="15"/>
          <w:szCs w:val="15"/>
          <w:color w:val="auto"/>
        </w:rPr>
        <w:t>Lot 1, Block 2, except the North 35.00 feet, in Southwest Development Park Second Subdivision to Charles City, Floyd County, Iowa, containing 5.24 acres subject to any easements of record.</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TOGETHER WITH:</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That part of Lot 5 in Southwest Development Park First Subdivision to Charles City, Iowa described as follows: Beginning at the Southeast Corner of said Lot 5; thence S89°43'00”W, 478.66 feet (recorded as West, 478.56 feet) along the Southerly line of said Lot 5 to the Southwest Corner of said Lot 5; thence N00°25'44”W, 340.08 feet (r ecorded as N00°09'06”W) along the Westerly line of said Lot 5; thence N89°51'53”E, 479.54 feet to a point on said Easterly line; thence S00°16'52”E, 338.84 feet (recorded as North) along said Easterly line to the Point of Beginning, containing 3.73 acres subject to any easements of record.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TOGETHER WITH:</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That part of vacated Corporate Drive in Southwest Development Park First Subdivision to Charles City, Iowa described as follows: Beginning at the Southwest Corner of Lot 6 in said Southwest Development Part First Subdivis ion; thence N00°17'00”W, 73.51 feet (recorded as North) along the Westerly line of said Lot 6; thence S89°51'53”W, 66.00 feet to a point on the Easterly line of Lot 5 in said Southwest Development Park First Subdivision, said point being 203.68 feet Northerly, measured along said Easterly line, from the Southeast Corner of said Lot 5; thence S00°17'00”E, 203.68 feet along said Easterly line to said Southeast Corner; thence N89°43'00”E, 66.00 feet along the Easterly extension of the Southerly line of said Lot 5 to a point on the Westerly line of Lot 1, Block 2, in Southwest Development Park Second Subdivision to Charles City, Iowa; thence N00°17'00”W, 130.00 feet (recorded as North) along said Westerly line to the Point of Beginning, containing 0.31 acre subject to any easements of record.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TOGETHER WITH:</w:t>
      </w:r>
    </w:p>
    <w:p>
      <w:pPr>
        <w:spacing w:after="0" w:line="171" w:lineRule="exact"/>
        <w:rPr>
          <w:sz w:val="20"/>
          <w:szCs w:val="20"/>
          <w:color w:val="auto"/>
        </w:rPr>
      </w:pPr>
    </w:p>
    <w:p>
      <w:pPr>
        <w:ind w:right="440"/>
        <w:spacing w:after="0" w:line="245" w:lineRule="auto"/>
        <w:rPr>
          <w:sz w:val="20"/>
          <w:szCs w:val="20"/>
          <w:color w:val="auto"/>
        </w:rPr>
      </w:pPr>
      <w:r>
        <w:rPr>
          <w:rFonts w:ascii="Arial" w:cs="Arial" w:eastAsia="Arial" w:hAnsi="Arial"/>
          <w:sz w:val="15"/>
          <w:szCs w:val="15"/>
          <w:color w:val="auto"/>
        </w:rPr>
        <w:t>All of Lots One (1) and Two (2), and Lot Three (3) except the South Four Hundred Sixty feet (460”) thereof, all in Block One (1); and Lot Two (2), Block Two (2), all in the Southwest Development Park Second Subdivision to Charles City, Floyd County, Iowa.</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TOGETHER WITH:</w:t>
      </w:r>
    </w:p>
    <w:p>
      <w:pPr>
        <w:spacing w:after="0" w:line="171" w:lineRule="exact"/>
        <w:rPr>
          <w:sz w:val="20"/>
          <w:szCs w:val="20"/>
          <w:color w:val="auto"/>
        </w:rPr>
      </w:pPr>
    </w:p>
    <w:p>
      <w:pPr>
        <w:ind w:right="180"/>
        <w:spacing w:after="0" w:line="245" w:lineRule="auto"/>
        <w:rPr>
          <w:sz w:val="20"/>
          <w:szCs w:val="20"/>
          <w:color w:val="auto"/>
        </w:rPr>
      </w:pPr>
      <w:r>
        <w:rPr>
          <w:rFonts w:ascii="Arial" w:cs="Arial" w:eastAsia="Arial" w:hAnsi="Arial"/>
          <w:sz w:val="15"/>
          <w:szCs w:val="15"/>
          <w:color w:val="auto"/>
        </w:rPr>
        <w:t>That part of Corporate Drive adjacent to Lots One (1), Two (2) and Three (3), in Block One (1) and Lots One (1) and Two (2), Block Two (2) of Southwest Development Park Second Subdivision to Charles City, Floyd County, Iowa.</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EXHIBIT “A-2”</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360"/>
          </w:cols>
          <w:pgMar w:left="240" w:top="485" w:right="299" w:bottom="1440" w:gutter="0" w:footer="0" w:header="0"/>
          <w:type w:val="continuous"/>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1124585</wp:posOffset>
            </wp:positionH>
            <wp:positionV relativeFrom="page">
              <wp:posOffset>306705</wp:posOffset>
            </wp:positionV>
            <wp:extent cx="5311775" cy="6885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311775" cy="688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1440" w:right="1440" w:bottom="1440" w:gutter="0" w:footer="0" w:header="0"/>
        </w:sectPr>
      </w:pPr>
    </w:p>
    <w:bookmarkStart w:id="68" w:name="page69"/>
    <w:bookmarkEnd w:id="6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1124585</wp:posOffset>
            </wp:positionH>
            <wp:positionV relativeFrom="page">
              <wp:posOffset>88900</wp:posOffset>
            </wp:positionV>
            <wp:extent cx="5311775" cy="6885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311775" cy="6885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1440" w:right="1440" w:bottom="1440" w:gutter="0" w:footer="0" w:header="0"/>
        </w:sectPr>
      </w:pPr>
    </w:p>
    <w:bookmarkStart w:id="71" w:name="page72"/>
    <w:bookmarkEnd w:id="71"/>
    <w:p>
      <w:pPr>
        <w:jc w:val="center"/>
        <w:ind w:right="-159"/>
        <w:spacing w:after="0"/>
        <w:rPr>
          <w:sz w:val="20"/>
          <w:szCs w:val="20"/>
          <w:color w:val="auto"/>
        </w:rPr>
      </w:pPr>
      <w:r>
        <w:rPr>
          <w:rFonts w:ascii="Arial" w:cs="Arial" w:eastAsia="Arial" w:hAnsi="Arial"/>
          <w:sz w:val="20"/>
          <w:szCs w:val="20"/>
          <w:b w:val="1"/>
          <w:bCs w:val="1"/>
          <w:color w:val="auto"/>
        </w:rPr>
        <w:t>Exhibit 23</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38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consent to the incorporation by reference in Registration Statements on Form S-8 (N os. 333-31595, No. 333-47123, and No. 333-113246) and on Form S-3 (No. 333-165541) of our reports dated October 26, 2010, relating to the financial statements of Winnebago Industries, Inc. (the “Company”) and the effectiveness of the Company’s internal control over financial reporting, appearing in the Annual Report on Form 10-K of Winnebago Industries, Inc. for the year ended August 28, 2010.</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 DELOITTE &amp; TOUCHE LLP</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Minneapolis, Minnesota</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October 26,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260"/>
          </w:cols>
          <w:pgMar w:left="240" w:top="465" w:right="399" w:bottom="1440" w:gutter="0" w:footer="0" w:header="0"/>
        </w:sectPr>
      </w:pPr>
    </w:p>
    <w:bookmarkStart w:id="72" w:name="page73"/>
    <w:bookmarkEnd w:id="72"/>
    <w:p>
      <w:pPr>
        <w:jc w:val="center"/>
        <w:ind w:right="-21"/>
        <w:spacing w:after="0"/>
        <w:rPr>
          <w:sz w:val="20"/>
          <w:szCs w:val="20"/>
          <w:color w:val="auto"/>
        </w:rPr>
      </w:pPr>
      <w:r>
        <w:rPr>
          <w:rFonts w:ascii="Arial" w:cs="Arial" w:eastAsia="Arial" w:hAnsi="Arial"/>
          <w:sz w:val="18"/>
          <w:szCs w:val="18"/>
          <w:b w:val="1"/>
          <w:bCs w:val="1"/>
          <w:color w:val="auto"/>
        </w:rPr>
        <w:t>Exhibit 31.1</w:t>
      </w:r>
    </w:p>
    <w:p>
      <w:pPr>
        <w:spacing w:after="0" w:line="296" w:lineRule="exact"/>
        <w:rPr>
          <w:sz w:val="20"/>
          <w:szCs w:val="20"/>
          <w:color w:val="auto"/>
        </w:rPr>
      </w:pPr>
    </w:p>
    <w:p>
      <w:pPr>
        <w:jc w:val="center"/>
        <w:ind w:right="-61"/>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4" w:lineRule="exact"/>
        <w:rPr>
          <w:sz w:val="20"/>
          <w:szCs w:val="20"/>
          <w:color w:val="auto"/>
        </w:rPr>
      </w:pPr>
    </w:p>
    <w:p>
      <w:pPr>
        <w:jc w:val="center"/>
        <w:ind w:right="-21"/>
        <w:spacing w:after="0"/>
        <w:rPr>
          <w:sz w:val="20"/>
          <w:szCs w:val="20"/>
          <w:color w:val="auto"/>
        </w:rPr>
      </w:pPr>
      <w:r>
        <w:rPr>
          <w:rFonts w:ascii="Arial" w:cs="Arial" w:eastAsia="Arial" w:hAnsi="Arial"/>
          <w:sz w:val="18"/>
          <w:szCs w:val="18"/>
          <w:b w:val="1"/>
          <w:bCs w:val="1"/>
          <w:color w:val="auto"/>
        </w:rPr>
        <w:t>PURSUANT TO 18 U.S.C. SECTION 1350,</w:t>
      </w:r>
    </w:p>
    <w:p>
      <w:pPr>
        <w:spacing w:after="0" w:line="2" w:lineRule="exact"/>
        <w:rPr>
          <w:sz w:val="20"/>
          <w:szCs w:val="20"/>
          <w:color w:val="auto"/>
        </w:rPr>
      </w:pPr>
    </w:p>
    <w:p>
      <w:pPr>
        <w:jc w:val="center"/>
        <w:ind w:right="-21"/>
        <w:spacing w:after="0"/>
        <w:rPr>
          <w:sz w:val="20"/>
          <w:szCs w:val="20"/>
          <w:color w:val="auto"/>
        </w:rPr>
      </w:pPr>
      <w:r>
        <w:rPr>
          <w:rFonts w:ascii="Arial" w:cs="Arial" w:eastAsia="Arial" w:hAnsi="Arial"/>
          <w:sz w:val="18"/>
          <w:szCs w:val="18"/>
          <w:b w:val="1"/>
          <w:bCs w:val="1"/>
          <w:color w:val="auto"/>
        </w:rPr>
        <w:t>AS ADOPTED PURSUANT TO SECTION 302</w:t>
      </w:r>
    </w:p>
    <w:p>
      <w:pPr>
        <w:spacing w:after="0" w:line="2" w:lineRule="exact"/>
        <w:rPr>
          <w:sz w:val="20"/>
          <w:szCs w:val="20"/>
          <w:color w:val="auto"/>
        </w:rPr>
      </w:pPr>
    </w:p>
    <w:p>
      <w:pPr>
        <w:jc w:val="center"/>
        <w:ind w:right="-21"/>
        <w:spacing w:after="0"/>
        <w:rPr>
          <w:sz w:val="20"/>
          <w:szCs w:val="20"/>
          <w:color w:val="auto"/>
        </w:rPr>
      </w:pPr>
      <w:r>
        <w:rPr>
          <w:rFonts w:ascii="Arial" w:cs="Arial" w:eastAsia="Arial" w:hAnsi="Arial"/>
          <w:sz w:val="18"/>
          <w:szCs w:val="18"/>
          <w:b w:val="1"/>
          <w:bCs w:val="1"/>
          <w:color w:val="auto"/>
        </w:rPr>
        <w:t>OF THE SARBANES-OXLEY ACT OF 2002</w:t>
      </w:r>
    </w:p>
    <w:p>
      <w:pPr>
        <w:spacing w:after="0" w:line="298" w:lineRule="exact"/>
        <w:rPr>
          <w:sz w:val="20"/>
          <w:szCs w:val="20"/>
          <w:color w:val="auto"/>
        </w:rPr>
      </w:pPr>
    </w:p>
    <w:p>
      <w:pPr>
        <w:ind w:left="2"/>
        <w:spacing w:after="0"/>
        <w:rPr>
          <w:sz w:val="20"/>
          <w:szCs w:val="20"/>
          <w:color w:val="auto"/>
        </w:rPr>
      </w:pPr>
      <w:r>
        <w:rPr>
          <w:rFonts w:ascii="Arial" w:cs="Arial" w:eastAsia="Arial" w:hAnsi="Arial"/>
          <w:sz w:val="16"/>
          <w:szCs w:val="16"/>
          <w:color w:val="auto"/>
        </w:rPr>
        <w:t>I, Robert J. Olson certify that:</w:t>
      </w:r>
    </w:p>
    <w:p>
      <w:pPr>
        <w:spacing w:after="0" w:line="98" w:lineRule="exact"/>
        <w:rPr>
          <w:sz w:val="20"/>
          <w:szCs w:val="20"/>
          <w:color w:val="auto"/>
        </w:rPr>
      </w:pPr>
    </w:p>
    <w:p>
      <w:pPr>
        <w:ind w:left="322" w:hanging="322"/>
        <w:spacing w:after="0"/>
        <w:tabs>
          <w:tab w:leader="none" w:pos="322"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 istrant");</w:t>
      </w:r>
    </w:p>
    <w:p>
      <w:pPr>
        <w:spacing w:after="0" w:line="294" w:lineRule="exact"/>
        <w:rPr>
          <w:rFonts w:ascii="Arial" w:cs="Arial" w:eastAsia="Arial" w:hAnsi="Arial"/>
          <w:sz w:val="16"/>
          <w:szCs w:val="16"/>
          <w:color w:val="auto"/>
        </w:rPr>
      </w:pPr>
    </w:p>
    <w:p>
      <w:pPr>
        <w:ind w:left="322" w:right="180" w:hanging="322"/>
        <w:spacing w:after="0" w:line="263" w:lineRule="auto"/>
        <w:tabs>
          <w:tab w:leader="none" w:pos="32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5" w:lineRule="exact"/>
        <w:rPr>
          <w:rFonts w:ascii="Arial" w:cs="Arial" w:eastAsia="Arial" w:hAnsi="Arial"/>
          <w:sz w:val="16"/>
          <w:szCs w:val="16"/>
          <w:color w:val="auto"/>
        </w:rPr>
      </w:pPr>
    </w:p>
    <w:p>
      <w:pPr>
        <w:ind w:left="322" w:right="140" w:hanging="322"/>
        <w:spacing w:after="0" w:line="248" w:lineRule="auto"/>
        <w:tabs>
          <w:tab w:leader="none" w:pos="32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ind w:left="382"/>
        <w:spacing w:after="0"/>
        <w:rPr>
          <w:rFonts w:ascii="Arial" w:cs="Arial" w:eastAsia="Arial" w:hAnsi="Arial"/>
          <w:sz w:val="16"/>
          <w:szCs w:val="16"/>
          <w:color w:val="auto"/>
        </w:rPr>
      </w:pPr>
      <w:r>
        <w:rPr>
          <w:rFonts w:ascii="Arial" w:cs="Arial" w:eastAsia="Arial" w:hAnsi="Arial"/>
          <w:sz w:val="16"/>
          <w:szCs w:val="16"/>
          <w:color w:val="auto"/>
        </w:rPr>
        <w:t>;</w:t>
      </w:r>
    </w:p>
    <w:p>
      <w:pPr>
        <w:ind w:left="322" w:right="60" w:hanging="322"/>
        <w:spacing w:after="0" w:line="263" w:lineRule="auto"/>
        <w:tabs>
          <w:tab w:leader="none" w:pos="32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622" w:right="160" w:hanging="327"/>
        <w:spacing w:after="0" w:line="263" w:lineRule="auto"/>
        <w:tabs>
          <w:tab w:leader="none" w:pos="622"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55" w:lineRule="exact"/>
        <w:rPr>
          <w:rFonts w:ascii="Arial" w:cs="Arial" w:eastAsia="Arial" w:hAnsi="Arial"/>
          <w:sz w:val="16"/>
          <w:szCs w:val="16"/>
          <w:color w:val="auto"/>
        </w:rPr>
      </w:pPr>
    </w:p>
    <w:p>
      <w:pPr>
        <w:ind w:left="622" w:hanging="327"/>
        <w:spacing w:after="0" w:line="263" w:lineRule="auto"/>
        <w:tabs>
          <w:tab w:leader="none" w:pos="622"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622" w:right="320" w:hanging="327"/>
        <w:spacing w:after="0" w:line="271" w:lineRule="auto"/>
        <w:tabs>
          <w:tab w:leader="none" w:pos="622"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48" w:lineRule="exact"/>
        <w:rPr>
          <w:rFonts w:ascii="Arial" w:cs="Arial" w:eastAsia="Arial" w:hAnsi="Arial"/>
          <w:sz w:val="16"/>
          <w:szCs w:val="16"/>
          <w:color w:val="auto"/>
        </w:rPr>
      </w:pPr>
    </w:p>
    <w:p>
      <w:pPr>
        <w:jc w:val="both"/>
        <w:ind w:left="622" w:right="440" w:hanging="327"/>
        <w:spacing w:after="0" w:line="263" w:lineRule="auto"/>
        <w:tabs>
          <w:tab w:leader="none" w:pos="622"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55" w:lineRule="exact"/>
        <w:rPr>
          <w:rFonts w:ascii="Arial" w:cs="Arial" w:eastAsia="Arial" w:hAnsi="Arial"/>
          <w:sz w:val="16"/>
          <w:szCs w:val="16"/>
          <w:color w:val="auto"/>
        </w:rPr>
      </w:pPr>
    </w:p>
    <w:p>
      <w:pPr>
        <w:ind w:left="322" w:right="540" w:hanging="322"/>
        <w:spacing w:after="0" w:line="271" w:lineRule="auto"/>
        <w:tabs>
          <w:tab w:leader="none" w:pos="32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8" w:lineRule="exact"/>
        <w:rPr>
          <w:rFonts w:ascii="Arial" w:cs="Arial" w:eastAsia="Arial" w:hAnsi="Arial"/>
          <w:sz w:val="16"/>
          <w:szCs w:val="16"/>
          <w:color w:val="auto"/>
        </w:rPr>
      </w:pPr>
    </w:p>
    <w:p>
      <w:pPr>
        <w:ind w:left="622" w:right="20" w:hanging="327"/>
        <w:spacing w:after="0" w:line="271" w:lineRule="auto"/>
        <w:tabs>
          <w:tab w:leader="none" w:pos="622"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622" w:right="100" w:hanging="327"/>
        <w:spacing w:after="0" w:line="271" w:lineRule="auto"/>
        <w:tabs>
          <w:tab w:leader="none" w:pos="622"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124" w:lineRule="exact"/>
        <w:rPr>
          <w:sz w:val="20"/>
          <w:szCs w:val="20"/>
          <w:color w:val="auto"/>
        </w:rPr>
      </w:pPr>
    </w:p>
    <w:p>
      <w:pPr>
        <w:ind w:left="22"/>
        <w:spacing w:after="0"/>
        <w:tabs>
          <w:tab w:leader="none" w:pos="1401" w:val="left"/>
          <w:tab w:leader="none" w:pos="6421" w:val="left"/>
          <w:tab w:leader="none" w:pos="7301"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26, 2010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4579620</wp:posOffset>
            </wp:positionH>
            <wp:positionV relativeFrom="paragraph">
              <wp:posOffset>24130</wp:posOffset>
            </wp:positionV>
            <wp:extent cx="26790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79065" cy="762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24130</wp:posOffset>
            </wp:positionV>
            <wp:extent cx="14484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8435" cy="7620"/>
                    </a:xfrm>
                    <a:prstGeom prst="rect">
                      <a:avLst/>
                    </a:prstGeom>
                    <a:noFill/>
                  </pic:spPr>
                </pic:pic>
              </a:graphicData>
            </a:graphic>
          </wp:anchor>
        </w:drawing>
      </w:r>
    </w:p>
    <w:p>
      <w:pPr>
        <w:spacing w:after="0" w:line="66" w:lineRule="exact"/>
        <w:rPr>
          <w:sz w:val="20"/>
          <w:szCs w:val="20"/>
          <w:color w:val="auto"/>
        </w:rPr>
      </w:pPr>
    </w:p>
    <w:p>
      <w:pPr>
        <w:ind w:left="7322"/>
        <w:spacing w:after="0"/>
        <w:rPr>
          <w:sz w:val="20"/>
          <w:szCs w:val="20"/>
          <w:color w:val="auto"/>
        </w:rPr>
      </w:pPr>
      <w:r>
        <w:rPr>
          <w:rFonts w:ascii="Arial" w:cs="Arial" w:eastAsia="Arial" w:hAnsi="Arial"/>
          <w:sz w:val="16"/>
          <w:szCs w:val="16"/>
          <w:color w:val="auto"/>
        </w:rPr>
        <w:t>Robert J. Olson</w:t>
      </w:r>
    </w:p>
    <w:p>
      <w:pPr>
        <w:spacing w:after="0" w:line="61" w:lineRule="exact"/>
        <w:rPr>
          <w:sz w:val="20"/>
          <w:szCs w:val="20"/>
          <w:color w:val="auto"/>
        </w:rPr>
      </w:pPr>
    </w:p>
    <w:p>
      <w:pPr>
        <w:ind w:left="7322"/>
        <w:spacing w:after="0"/>
        <w:rPr>
          <w:sz w:val="20"/>
          <w:szCs w:val="20"/>
          <w:color w:val="auto"/>
        </w:rPr>
      </w:pPr>
      <w:r>
        <w:rPr>
          <w:rFonts w:ascii="Arial" w:cs="Arial" w:eastAsia="Arial" w:hAnsi="Arial"/>
          <w:sz w:val="16"/>
          <w:szCs w:val="16"/>
          <w:color w:val="auto"/>
        </w:rPr>
        <w:t>Chairman of the Board,</w:t>
      </w:r>
    </w:p>
    <w:p>
      <w:pPr>
        <w:spacing w:after="0" w:line="61" w:lineRule="exact"/>
        <w:rPr>
          <w:sz w:val="20"/>
          <w:szCs w:val="20"/>
          <w:color w:val="auto"/>
        </w:rPr>
      </w:pPr>
    </w:p>
    <w:p>
      <w:pPr>
        <w:ind w:left="7322"/>
        <w:spacing w:after="0"/>
        <w:rPr>
          <w:sz w:val="20"/>
          <w:szCs w:val="20"/>
          <w:color w:val="auto"/>
        </w:rPr>
      </w:pPr>
      <w:r>
        <w:rPr>
          <w:rFonts w:ascii="Arial" w:cs="Arial" w:eastAsia="Arial" w:hAnsi="Arial"/>
          <w:sz w:val="16"/>
          <w:szCs w:val="16"/>
          <w:color w:val="auto"/>
        </w:rPr>
        <w:t>Chief Executive Officer and President</w:t>
      </w:r>
    </w:p>
    <w:p>
      <w:pPr>
        <w:spacing w:after="0" w:line="199" w:lineRule="exact"/>
        <w:rPr>
          <w:sz w:val="20"/>
          <w:szCs w:val="20"/>
          <w:color w:val="auto"/>
        </w:rPr>
      </w:pPr>
    </w:p>
    <w:p>
      <w:pPr>
        <w:jc w:val="center"/>
        <w:ind w:right="-21"/>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22"/>
          </w:cols>
          <w:pgMar w:left="238" w:top="507" w:right="239" w:bottom="1440" w:gutter="0" w:footer="0" w:header="0"/>
        </w:sectPr>
      </w:pPr>
    </w:p>
    <w:bookmarkStart w:id="73" w:name="page74"/>
    <w:bookmarkEnd w:id="73"/>
    <w:p>
      <w:pPr>
        <w:ind w:left="5162"/>
        <w:spacing w:after="0"/>
        <w:rPr>
          <w:sz w:val="20"/>
          <w:szCs w:val="20"/>
          <w:color w:val="auto"/>
        </w:rPr>
      </w:pPr>
      <w:r>
        <w:rPr>
          <w:rFonts w:ascii="Arial" w:cs="Arial" w:eastAsia="Arial" w:hAnsi="Arial"/>
          <w:sz w:val="20"/>
          <w:szCs w:val="20"/>
          <w:b w:val="1"/>
          <w:bCs w:val="1"/>
          <w:color w:val="auto"/>
        </w:rPr>
        <w:t>Exhibit 31.2</w:t>
      </w:r>
    </w:p>
    <w:p>
      <w:pPr>
        <w:spacing w:after="0" w:line="175" w:lineRule="exact"/>
        <w:rPr>
          <w:sz w:val="20"/>
          <w:szCs w:val="20"/>
          <w:color w:val="auto"/>
        </w:rPr>
      </w:pPr>
    </w:p>
    <w:p>
      <w:pPr>
        <w:ind w:left="3462"/>
        <w:spacing w:after="0"/>
        <w:rPr>
          <w:sz w:val="20"/>
          <w:szCs w:val="20"/>
          <w:color w:val="auto"/>
        </w:rPr>
      </w:pPr>
      <w:r>
        <w:rPr>
          <w:rFonts w:ascii="Arial" w:cs="Arial" w:eastAsia="Arial" w:hAnsi="Arial"/>
          <w:sz w:val="20"/>
          <w:szCs w:val="20"/>
          <w:b w:val="1"/>
          <w:bCs w:val="1"/>
          <w:color w:val="auto"/>
        </w:rPr>
        <w:t>CERTIFICATION BY CHIEF FINANCIAL OFFICER</w:t>
      </w:r>
    </w:p>
    <w:p>
      <w:pPr>
        <w:spacing w:after="0" w:line="27" w:lineRule="exact"/>
        <w:rPr>
          <w:sz w:val="20"/>
          <w:szCs w:val="20"/>
          <w:color w:val="auto"/>
        </w:rPr>
      </w:pPr>
    </w:p>
    <w:p>
      <w:pPr>
        <w:ind w:left="3822"/>
        <w:spacing w:after="0"/>
        <w:rPr>
          <w:sz w:val="20"/>
          <w:szCs w:val="20"/>
          <w:color w:val="auto"/>
        </w:rPr>
      </w:pPr>
      <w:r>
        <w:rPr>
          <w:rFonts w:ascii="Arial" w:cs="Arial" w:eastAsia="Arial" w:hAnsi="Arial"/>
          <w:sz w:val="20"/>
          <w:szCs w:val="20"/>
          <w:b w:val="1"/>
          <w:bCs w:val="1"/>
          <w:color w:val="auto"/>
        </w:rPr>
        <w:t>PURSUANT TO 18 U.S.C. SECTION 1350,</w:t>
      </w:r>
    </w:p>
    <w:p>
      <w:pPr>
        <w:spacing w:after="0" w:line="3" w:lineRule="exact"/>
        <w:rPr>
          <w:sz w:val="20"/>
          <w:szCs w:val="20"/>
          <w:color w:val="auto"/>
        </w:rPr>
      </w:pPr>
    </w:p>
    <w:p>
      <w:pPr>
        <w:ind w:left="3682"/>
        <w:spacing w:after="0"/>
        <w:rPr>
          <w:sz w:val="20"/>
          <w:szCs w:val="20"/>
          <w:color w:val="auto"/>
        </w:rPr>
      </w:pPr>
      <w:r>
        <w:rPr>
          <w:rFonts w:ascii="Arial" w:cs="Arial" w:eastAsia="Arial" w:hAnsi="Arial"/>
          <w:sz w:val="20"/>
          <w:szCs w:val="20"/>
          <w:b w:val="1"/>
          <w:bCs w:val="1"/>
          <w:color w:val="auto"/>
        </w:rPr>
        <w:t>AS ADOPTED PURSUANT TO SECTION 302</w:t>
      </w:r>
    </w:p>
    <w:p>
      <w:pPr>
        <w:spacing w:after="0" w:line="3"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OF THE SARBANES-OXLEY ACT OF 2002</w:t>
      </w:r>
    </w:p>
    <w:p>
      <w:pPr>
        <w:spacing w:after="0" w:line="290" w:lineRule="exact"/>
        <w:rPr>
          <w:sz w:val="20"/>
          <w:szCs w:val="20"/>
          <w:color w:val="auto"/>
        </w:rPr>
      </w:pPr>
    </w:p>
    <w:p>
      <w:pPr>
        <w:ind w:left="2"/>
        <w:spacing w:after="0"/>
        <w:rPr>
          <w:sz w:val="20"/>
          <w:szCs w:val="20"/>
          <w:color w:val="auto"/>
        </w:rPr>
      </w:pPr>
      <w:r>
        <w:rPr>
          <w:rFonts w:ascii="Arial" w:cs="Arial" w:eastAsia="Arial" w:hAnsi="Arial"/>
          <w:sz w:val="16"/>
          <w:szCs w:val="16"/>
          <w:color w:val="auto"/>
        </w:rPr>
        <w:t>I, Sarah N. Nielsen certify that:</w:t>
      </w:r>
    </w:p>
    <w:p>
      <w:pPr>
        <w:spacing w:after="0" w:line="98" w:lineRule="exact"/>
        <w:rPr>
          <w:sz w:val="20"/>
          <w:szCs w:val="20"/>
          <w:color w:val="auto"/>
        </w:rPr>
      </w:pPr>
    </w:p>
    <w:p>
      <w:pPr>
        <w:ind w:left="322" w:hanging="322"/>
        <w:spacing w:after="0"/>
        <w:tabs>
          <w:tab w:leader="none" w:pos="322"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have reviewed this Annual Report o n Form 10-K of Winnebago Industries, Inc. (the "Registrant");</w:t>
      </w:r>
    </w:p>
    <w:p>
      <w:pPr>
        <w:spacing w:after="0" w:line="294" w:lineRule="exact"/>
        <w:rPr>
          <w:rFonts w:ascii="Arial" w:cs="Arial" w:eastAsia="Arial" w:hAnsi="Arial"/>
          <w:sz w:val="16"/>
          <w:szCs w:val="16"/>
          <w:color w:val="auto"/>
        </w:rPr>
      </w:pPr>
    </w:p>
    <w:p>
      <w:pPr>
        <w:jc w:val="both"/>
        <w:ind w:left="322" w:right="180" w:hanging="322"/>
        <w:spacing w:after="0" w:line="263" w:lineRule="auto"/>
        <w:tabs>
          <w:tab w:leader="none" w:pos="322"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 pect to the period covered by this Annual Report;</w:t>
      </w:r>
    </w:p>
    <w:p>
      <w:pPr>
        <w:spacing w:after="0" w:line="155" w:lineRule="exact"/>
        <w:rPr>
          <w:rFonts w:ascii="Arial" w:cs="Arial" w:eastAsia="Arial" w:hAnsi="Arial"/>
          <w:sz w:val="16"/>
          <w:szCs w:val="16"/>
          <w:color w:val="auto"/>
        </w:rPr>
      </w:pPr>
    </w:p>
    <w:p>
      <w:pPr>
        <w:ind w:left="322" w:right="140" w:hanging="322"/>
        <w:spacing w:after="0" w:line="271" w:lineRule="auto"/>
        <w:tabs>
          <w:tab w:leader="none" w:pos="322"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 s Annual Report;</w:t>
      </w:r>
    </w:p>
    <w:p>
      <w:pPr>
        <w:spacing w:after="0" w:line="148" w:lineRule="exact"/>
        <w:rPr>
          <w:rFonts w:ascii="Arial" w:cs="Arial" w:eastAsia="Arial" w:hAnsi="Arial"/>
          <w:sz w:val="16"/>
          <w:szCs w:val="16"/>
          <w:color w:val="auto"/>
        </w:rPr>
      </w:pPr>
    </w:p>
    <w:p>
      <w:pPr>
        <w:jc w:val="both"/>
        <w:ind w:left="322" w:right="60" w:hanging="322"/>
        <w:spacing w:after="0" w:line="263" w:lineRule="auto"/>
        <w:tabs>
          <w:tab w:leader="none" w:pos="32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 nt and have:</w:t>
      </w:r>
    </w:p>
    <w:p>
      <w:pPr>
        <w:spacing w:after="0" w:line="155" w:lineRule="exact"/>
        <w:rPr>
          <w:rFonts w:ascii="Arial" w:cs="Arial" w:eastAsia="Arial" w:hAnsi="Arial"/>
          <w:sz w:val="16"/>
          <w:szCs w:val="16"/>
          <w:color w:val="auto"/>
        </w:rPr>
      </w:pPr>
    </w:p>
    <w:p>
      <w:pPr>
        <w:ind w:left="622" w:right="160" w:hanging="327"/>
        <w:spacing w:after="0" w:line="263" w:lineRule="auto"/>
        <w:tabs>
          <w:tab w:leader="none" w:pos="622"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55" w:lineRule="exact"/>
        <w:rPr>
          <w:rFonts w:ascii="Arial" w:cs="Arial" w:eastAsia="Arial" w:hAnsi="Arial"/>
          <w:sz w:val="16"/>
          <w:szCs w:val="16"/>
          <w:color w:val="auto"/>
        </w:rPr>
      </w:pPr>
    </w:p>
    <w:p>
      <w:pPr>
        <w:ind w:left="622" w:hanging="327"/>
        <w:spacing w:after="0" w:line="263" w:lineRule="auto"/>
        <w:tabs>
          <w:tab w:leader="none" w:pos="622"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 al purposes in accordance with generally accepted accounting principles;</w:t>
      </w:r>
    </w:p>
    <w:p>
      <w:pPr>
        <w:spacing w:after="0" w:line="155" w:lineRule="exact"/>
        <w:rPr>
          <w:rFonts w:ascii="Arial" w:cs="Arial" w:eastAsia="Arial" w:hAnsi="Arial"/>
          <w:sz w:val="16"/>
          <w:szCs w:val="16"/>
          <w:color w:val="auto"/>
        </w:rPr>
      </w:pPr>
    </w:p>
    <w:p>
      <w:pPr>
        <w:ind w:left="622" w:right="320" w:hanging="327"/>
        <w:spacing w:after="0" w:line="271" w:lineRule="auto"/>
        <w:tabs>
          <w:tab w:leader="none" w:pos="622"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 ered by this Annual Report based on such evaluation;</w:t>
      </w:r>
    </w:p>
    <w:p>
      <w:pPr>
        <w:spacing w:after="0" w:line="148" w:lineRule="exact"/>
        <w:rPr>
          <w:rFonts w:ascii="Arial" w:cs="Arial" w:eastAsia="Arial" w:hAnsi="Arial"/>
          <w:sz w:val="16"/>
          <w:szCs w:val="16"/>
          <w:color w:val="auto"/>
        </w:rPr>
      </w:pPr>
    </w:p>
    <w:p>
      <w:pPr>
        <w:jc w:val="both"/>
        <w:ind w:left="622" w:right="440" w:hanging="327"/>
        <w:spacing w:after="0" w:line="263" w:lineRule="auto"/>
        <w:tabs>
          <w:tab w:leader="none" w:pos="622" w:val="left"/>
        </w:tabs>
        <w:numPr>
          <w:ilvl w:val="1"/>
          <w:numId w:val="76"/>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55" w:lineRule="exact"/>
        <w:rPr>
          <w:rFonts w:ascii="Arial" w:cs="Arial" w:eastAsia="Arial" w:hAnsi="Arial"/>
          <w:sz w:val="16"/>
          <w:szCs w:val="16"/>
          <w:color w:val="auto"/>
        </w:rPr>
      </w:pPr>
    </w:p>
    <w:p>
      <w:pPr>
        <w:ind w:left="322" w:right="540" w:hanging="322"/>
        <w:spacing w:after="0" w:line="271" w:lineRule="auto"/>
        <w:tabs>
          <w:tab w:leader="none" w:pos="32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 rd of Directors (or persons performing the equivalent functions):</w:t>
      </w:r>
    </w:p>
    <w:p>
      <w:pPr>
        <w:spacing w:after="0" w:line="148" w:lineRule="exact"/>
        <w:rPr>
          <w:rFonts w:ascii="Arial" w:cs="Arial" w:eastAsia="Arial" w:hAnsi="Arial"/>
          <w:sz w:val="16"/>
          <w:szCs w:val="16"/>
          <w:color w:val="auto"/>
        </w:rPr>
      </w:pPr>
    </w:p>
    <w:p>
      <w:pPr>
        <w:ind w:left="622" w:right="20" w:hanging="327"/>
        <w:spacing w:after="0" w:line="271" w:lineRule="auto"/>
        <w:tabs>
          <w:tab w:leader="none" w:pos="622"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 on; and</w:t>
      </w:r>
    </w:p>
    <w:p>
      <w:pPr>
        <w:spacing w:after="0" w:line="148" w:lineRule="exact"/>
        <w:rPr>
          <w:rFonts w:ascii="Arial" w:cs="Arial" w:eastAsia="Arial" w:hAnsi="Arial"/>
          <w:sz w:val="16"/>
          <w:szCs w:val="16"/>
          <w:color w:val="auto"/>
        </w:rPr>
      </w:pPr>
    </w:p>
    <w:p>
      <w:pPr>
        <w:ind w:left="622" w:right="100" w:hanging="327"/>
        <w:spacing w:after="0" w:line="271" w:lineRule="auto"/>
        <w:tabs>
          <w:tab w:leader="none" w:pos="622"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08" w:lineRule="exact"/>
        <w:rPr>
          <w:sz w:val="20"/>
          <w:szCs w:val="20"/>
          <w:color w:val="auto"/>
        </w:rPr>
      </w:pPr>
    </w:p>
    <w:tbl>
      <w:tblPr>
        <w:tblLayout w:type="fixed"/>
        <w:tblInd w:w="22"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Arial" w:cs="Arial" w:eastAsia="Arial" w:hAnsi="Arial"/>
                <w:sz w:val="16"/>
                <w:szCs w:val="16"/>
                <w:color w:val="auto"/>
              </w:rPr>
              <w:t>Date:</w:t>
            </w:r>
          </w:p>
        </w:tc>
        <w:tc>
          <w:tcPr>
            <w:tcW w:w="2860" w:type="dxa"/>
            <w:vAlign w:val="bottom"/>
            <w:tcBorders>
              <w:bottom w:val="single" w:sz="8" w:color="auto"/>
            </w:tcBorders>
          </w:tcPr>
          <w:p>
            <w:pPr>
              <w:jc w:val="right"/>
              <w:ind w:right="718"/>
              <w:spacing w:after="0"/>
              <w:rPr>
                <w:sz w:val="20"/>
                <w:szCs w:val="20"/>
                <w:color w:val="auto"/>
              </w:rPr>
            </w:pPr>
            <w:r>
              <w:rPr>
                <w:rFonts w:ascii="Arial" w:cs="Arial" w:eastAsia="Arial" w:hAnsi="Arial"/>
                <w:sz w:val="16"/>
                <w:szCs w:val="16"/>
                <w:color w:val="auto"/>
              </w:rPr>
              <w:t>October 26, 2010</w:t>
            </w:r>
          </w:p>
        </w:tc>
        <w:tc>
          <w:tcPr>
            <w:tcW w:w="3660" w:type="dxa"/>
            <w:vAlign w:val="bottom"/>
          </w:tcPr>
          <w:p>
            <w:pPr>
              <w:ind w:left="2880"/>
              <w:spacing w:after="0"/>
              <w:rPr>
                <w:sz w:val="20"/>
                <w:szCs w:val="20"/>
                <w:color w:val="auto"/>
              </w:rPr>
            </w:pPr>
            <w:r>
              <w:rPr>
                <w:rFonts w:ascii="Arial" w:cs="Arial" w:eastAsia="Arial" w:hAnsi="Arial"/>
                <w:sz w:val="16"/>
                <w:szCs w:val="16"/>
                <w:color w:val="auto"/>
              </w:rPr>
              <w:t>By:</w:t>
            </w:r>
          </w:p>
        </w:tc>
        <w:tc>
          <w:tcPr>
            <w:tcW w:w="41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Sarah N. Nielsen</w:t>
            </w:r>
          </w:p>
        </w:tc>
      </w:tr>
      <w:tr>
        <w:trPr>
          <w:trHeight w:val="231"/>
        </w:trPr>
        <w:tc>
          <w:tcPr>
            <w:tcW w:w="780" w:type="dxa"/>
            <w:vAlign w:val="bottom"/>
          </w:tcPr>
          <w:p>
            <w:pPr>
              <w:spacing w:after="0"/>
              <w:rPr>
                <w:sz w:val="20"/>
                <w:szCs w:val="20"/>
                <w:color w:val="auto"/>
              </w:rPr>
            </w:pPr>
          </w:p>
        </w:tc>
        <w:tc>
          <w:tcPr>
            <w:tcW w:w="2860" w:type="dxa"/>
            <w:vAlign w:val="bottom"/>
          </w:tcPr>
          <w:p>
            <w:pPr>
              <w:jc w:val="right"/>
              <w:ind w:right="2618"/>
              <w:spacing w:after="0"/>
              <w:rPr>
                <w:sz w:val="20"/>
                <w:szCs w:val="20"/>
                <w:color w:val="auto"/>
              </w:rPr>
            </w:pPr>
            <w:r>
              <w:rPr>
                <w:rFonts w:ascii="Arial" w:cs="Arial" w:eastAsia="Arial" w:hAnsi="Arial"/>
                <w:sz w:val="16"/>
                <w:szCs w:val="16"/>
                <w:color w:val="auto"/>
              </w:rPr>
              <w:t>;</w:t>
            </w:r>
          </w:p>
        </w:tc>
        <w:tc>
          <w:tcPr>
            <w:tcW w:w="366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6"/>
                <w:szCs w:val="16"/>
                <w:color w:val="auto"/>
              </w:rPr>
              <w:t>Sarah N. Nielsen</w:t>
            </w:r>
          </w:p>
        </w:tc>
      </w:tr>
      <w:tr>
        <w:trPr>
          <w:trHeight w:val="245"/>
        </w:trPr>
        <w:tc>
          <w:tcPr>
            <w:tcW w:w="7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100" w:type="dxa"/>
            <w:vAlign w:val="bottom"/>
          </w:tcPr>
          <w:p>
            <w:pPr>
              <w:ind w:left="120"/>
              <w:spacing w:after="0"/>
              <w:rPr>
                <w:sz w:val="20"/>
                <w:szCs w:val="20"/>
                <w:color w:val="auto"/>
              </w:rPr>
            </w:pPr>
            <w:r>
              <w:rPr>
                <w:rFonts w:ascii="Arial" w:cs="Arial" w:eastAsia="Arial" w:hAnsi="Arial"/>
                <w:sz w:val="16"/>
                <w:szCs w:val="16"/>
                <w:color w:val="auto"/>
              </w:rPr>
              <w:t>Vice President, Chief Financial Officer</w:t>
            </w:r>
          </w:p>
        </w:tc>
      </w:tr>
      <w:tr>
        <w:trPr>
          <w:trHeight w:val="364"/>
        </w:trPr>
        <w:tc>
          <w:tcPr>
            <w:tcW w:w="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60" w:type="dxa"/>
            <w:vAlign w:val="bottom"/>
          </w:tcPr>
          <w:p>
            <w:pPr>
              <w:ind w:left="1760"/>
              <w:spacing w:after="0"/>
              <w:rPr>
                <w:sz w:val="20"/>
                <w:szCs w:val="20"/>
                <w:color w:val="auto"/>
              </w:rPr>
            </w:pPr>
            <w:r>
              <w:rPr>
                <w:rFonts w:ascii="Arial" w:cs="Arial" w:eastAsia="Arial" w:hAnsi="Arial"/>
                <w:sz w:val="15"/>
                <w:szCs w:val="15"/>
                <w:color w:val="auto"/>
              </w:rPr>
              <w:t>55&lt; /div&gt;</w:t>
            </w:r>
          </w:p>
        </w:tc>
        <w:tc>
          <w:tcPr>
            <w:tcW w:w="4100" w:type="dxa"/>
            <w:vAlign w:val="bottom"/>
          </w:tcPr>
          <w:p>
            <w:pPr>
              <w:spacing w:after="0"/>
              <w:rPr>
                <w:sz w:val="24"/>
                <w:szCs w:val="24"/>
                <w:color w:val="auto"/>
              </w:rPr>
            </w:pPr>
          </w:p>
        </w:tc>
      </w:tr>
    </w:tbl>
    <w:p>
      <w:pPr>
        <w:sectPr>
          <w:pgSz w:w="11900" w:h="16838" w:orient="portrait"/>
          <w:cols w:equalWidth="0" w:num="1">
            <w:col w:w="11422"/>
          </w:cols>
          <w:pgMar w:left="238" w:top="46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Exhibit 32.1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spacing w:after="0" w:line="24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28, 2010, I, Robert J. Olson certify that pursuant to 18 U.S.C. §1350 as adopted pursuant to §906 of the Sarbanes-Oxley Act of 2002, that:</w:t>
      </w:r>
    </w:p>
    <w:p>
      <w:pPr>
        <w:spacing w:after="0" w:line="222" w:lineRule="exact"/>
        <w:rPr>
          <w:sz w:val="20"/>
          <w:szCs w:val="20"/>
          <w:color w:val="auto"/>
        </w:rPr>
      </w:pPr>
    </w:p>
    <w:p>
      <w:pPr>
        <w:ind w:left="620" w:right="100" w:hanging="327"/>
        <w:spacing w:after="0" w:line="263" w:lineRule="auto"/>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28, 2010 as filed with the Securities and Exchange Commission on the date of this certificate, which this statement accompanies, fully complies with the requirements of Section 13(a) or 15(d) of the Securities Exchange Act of 1934, and</w:t>
      </w:r>
    </w:p>
    <w:p>
      <w:pPr>
        <w:spacing w:after="0" w:line="155" w:lineRule="exact"/>
        <w:rPr>
          <w:rFonts w:ascii="Arial" w:cs="Arial" w:eastAsia="Arial" w:hAnsi="Arial"/>
          <w:sz w:val="16"/>
          <w:szCs w:val="16"/>
          <w:color w:val="auto"/>
        </w:rPr>
      </w:pPr>
    </w:p>
    <w:p>
      <w:pPr>
        <w:ind w:left="620" w:hanging="327"/>
        <w:spacing w:after="0"/>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5280" w:hanging="128"/>
        <w:spacing w:after="0"/>
        <w:tabs>
          <w:tab w:leader="none" w:pos="5280" w:val="left"/>
        </w:tabs>
        <w:numPr>
          <w:ilvl w:val="1"/>
          <w:numId w:val="77"/>
        </w:numPr>
        <w:rPr>
          <w:rFonts w:ascii="Arial" w:cs="Arial" w:eastAsia="Arial" w:hAnsi="Arial"/>
          <w:sz w:val="15"/>
          <w:szCs w:val="15"/>
          <w:color w:val="auto"/>
        </w:rPr>
      </w:pPr>
      <w:r>
        <w:rPr>
          <w:rFonts w:ascii="Arial" w:cs="Arial" w:eastAsia="Arial" w:hAnsi="Arial"/>
          <w:sz w:val="15"/>
          <w:szCs w:val="15"/>
          <w:color w:val="auto"/>
        </w:rPr>
        <w:t>td width="8%"&gt;</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920" w:type="dxa"/>
            <w:vAlign w:val="bottom"/>
          </w:tcPr>
          <w:p>
            <w:pPr>
              <w:ind w:left="60"/>
              <w:spacing w:after="0"/>
              <w:rPr>
                <w:sz w:val="20"/>
                <w:szCs w:val="20"/>
                <w:color w:val="auto"/>
              </w:rPr>
            </w:pPr>
            <w:r>
              <w:rPr>
                <w:rFonts w:ascii="Arial" w:cs="Arial" w:eastAsia="Arial" w:hAnsi="Arial"/>
                <w:sz w:val="16"/>
                <w:szCs w:val="16"/>
                <w:color w:val="auto"/>
              </w:rPr>
              <w:t>/s/ Robert</w:t>
            </w:r>
          </w:p>
        </w:tc>
      </w:tr>
      <w:tr>
        <w:trPr>
          <w:trHeight w:val="203"/>
        </w:trPr>
        <w:tc>
          <w:tcPr>
            <w:tcW w:w="2260" w:type="dxa"/>
            <w:vAlign w:val="bottom"/>
          </w:tcPr>
          <w:p>
            <w:pPr>
              <w:spacing w:after="0"/>
              <w:rPr>
                <w:sz w:val="20"/>
                <w:szCs w:val="20"/>
                <w:color w:val="auto"/>
              </w:rPr>
            </w:pPr>
            <w:r>
              <w:rPr>
                <w:rFonts w:ascii="Arial" w:cs="Arial" w:eastAsia="Arial" w:hAnsi="Arial"/>
                <w:sz w:val="16"/>
                <w:szCs w:val="16"/>
                <w:color w:val="auto"/>
              </w:rPr>
              <w:t>Date:</w:t>
            </w:r>
          </w:p>
        </w:tc>
        <w:tc>
          <w:tcPr>
            <w:tcW w:w="30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October 26, 2010</w:t>
            </w:r>
          </w:p>
        </w:tc>
        <w:tc>
          <w:tcPr>
            <w:tcW w:w="5140" w:type="dxa"/>
            <w:vAlign w:val="bottom"/>
          </w:tcPr>
          <w:p>
            <w:pPr>
              <w:ind w:left="820"/>
              <w:spacing w:after="0"/>
              <w:rPr>
                <w:sz w:val="20"/>
                <w:szCs w:val="20"/>
                <w:color w:val="auto"/>
              </w:rPr>
            </w:pPr>
            <w:r>
              <w:rPr>
                <w:rFonts w:ascii="Arial" w:cs="Arial" w:eastAsia="Arial" w:hAnsi="Arial"/>
                <w:sz w:val="16"/>
                <w:szCs w:val="16"/>
                <w:color w:val="auto"/>
              </w:rPr>
              <w:t>By:</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 Olson</w:t>
            </w:r>
          </w:p>
        </w:tc>
      </w:tr>
      <w:tr>
        <w:trPr>
          <w:trHeight w:val="207"/>
        </w:trPr>
        <w:tc>
          <w:tcPr>
            <w:tcW w:w="2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20" w:type="dxa"/>
            <w:vAlign w:val="bottom"/>
          </w:tcPr>
          <w:p>
            <w:pPr>
              <w:ind w:left="120"/>
              <w:spacing w:after="0"/>
              <w:rPr>
                <w:sz w:val="20"/>
                <w:szCs w:val="20"/>
                <w:color w:val="auto"/>
              </w:rPr>
            </w:pPr>
            <w:r>
              <w:rPr>
                <w:rFonts w:ascii="Arial" w:cs="Arial" w:eastAsia="Arial" w:hAnsi="Arial"/>
                <w:sz w:val="16"/>
                <w:szCs w:val="16"/>
                <w:color w:val="auto"/>
              </w:rPr>
              <w:t>Robert J.</w:t>
            </w:r>
          </w:p>
        </w:tc>
      </w:tr>
      <w:tr>
        <w:trPr>
          <w:trHeight w:val="196"/>
        </w:trPr>
        <w:tc>
          <w:tcPr>
            <w:tcW w:w="2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Olson</w:t>
            </w:r>
          </w:p>
        </w:tc>
      </w:tr>
      <w:tr>
        <w:trPr>
          <w:trHeight w:val="221"/>
        </w:trPr>
        <w:tc>
          <w:tcPr>
            <w:tcW w:w="2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Arial" w:cs="Arial" w:eastAsia="Arial" w:hAnsi="Arial"/>
                <w:sz w:val="16"/>
                <w:szCs w:val="16"/>
                <w:color w:val="auto"/>
              </w:rPr>
              <w:t>Chairman</w:t>
            </w:r>
          </w:p>
        </w:tc>
      </w:tr>
      <w:tr>
        <w:trPr>
          <w:trHeight w:val="184"/>
        </w:trPr>
        <w:tc>
          <w:tcPr>
            <w:tcW w:w="22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of the</w:t>
            </w:r>
          </w:p>
        </w:tc>
      </w:tr>
      <w:tr>
        <w:trPr>
          <w:trHeight w:val="196"/>
        </w:trPr>
        <w:tc>
          <w:tcPr>
            <w:tcW w:w="2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Board,</w:t>
            </w:r>
          </w:p>
        </w:tc>
      </w:tr>
      <w:tr>
        <w:trPr>
          <w:trHeight w:val="221"/>
        </w:trPr>
        <w:tc>
          <w:tcPr>
            <w:tcW w:w="2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Arial" w:cs="Arial" w:eastAsia="Arial" w:hAnsi="Arial"/>
                <w:sz w:val="16"/>
                <w:szCs w:val="16"/>
                <w:color w:val="auto"/>
              </w:rPr>
              <w:t>Chief</w:t>
            </w:r>
          </w:p>
        </w:tc>
      </w:tr>
      <w:tr>
        <w:trPr>
          <w:trHeight w:val="184"/>
        </w:trPr>
        <w:tc>
          <w:tcPr>
            <w:tcW w:w="22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Executive</w:t>
            </w:r>
          </w:p>
        </w:tc>
      </w:tr>
      <w:tr>
        <w:trPr>
          <w:trHeight w:val="184"/>
        </w:trPr>
        <w:tc>
          <w:tcPr>
            <w:tcW w:w="22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Officer and</w:t>
            </w:r>
          </w:p>
        </w:tc>
      </w:tr>
      <w:tr>
        <w:trPr>
          <w:trHeight w:val="196"/>
        </w:trPr>
        <w:tc>
          <w:tcPr>
            <w:tcW w:w="2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President</w:t>
            </w: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20"/>
          </w:cols>
          <w:pgMar w:left="240" w:top="514"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0"/>
          <w:szCs w:val="20"/>
          <w:b w:val="1"/>
          <w:bCs w:val="1"/>
          <w:color w:val="auto"/>
        </w:rPr>
        <w:t>Exhibit 32.2</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(18 U.S.C. SECTION 1350)</w:t>
      </w:r>
    </w:p>
    <w:p>
      <w:pPr>
        <w:spacing w:after="0" w:line="241" w:lineRule="exact"/>
        <w:rPr>
          <w:sz w:val="20"/>
          <w:szCs w:val="20"/>
          <w:color w:val="auto"/>
        </w:rPr>
      </w:pPr>
    </w:p>
    <w:p>
      <w:pPr>
        <w:ind w:right="620"/>
        <w:spacing w:after="0" w:line="271"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28, 2010, I, Sarah N. Nielsen certify that pursuant to 18 U.S.C. §1350 as adopted pursuant to §906 of the Sarbanes-Oxley Act of 2002, that:</w:t>
      </w:r>
    </w:p>
    <w:p>
      <w:pPr>
        <w:spacing w:after="0" w:line="149" w:lineRule="exact"/>
        <w:rPr>
          <w:sz w:val="20"/>
          <w:szCs w:val="20"/>
          <w:color w:val="auto"/>
        </w:rPr>
      </w:pPr>
    </w:p>
    <w:p>
      <w:pPr>
        <w:ind w:left="620" w:right="80" w:hanging="327"/>
        <w:spacing w:after="0" w:line="263" w:lineRule="auto"/>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28, 2010 as filed with the Securities and Exchange Commission on the date of this certificate, which this statement accompanies, fully complies with the requirements of Section 13(a) or 15(d) of the Securities Exchange Act of 1934, and</w:t>
      </w:r>
    </w:p>
    <w:p>
      <w:pPr>
        <w:spacing w:after="0" w:line="155" w:lineRule="exact"/>
        <w:rPr>
          <w:rFonts w:ascii="Arial" w:cs="Arial" w:eastAsia="Arial" w:hAnsi="Arial"/>
          <w:sz w:val="16"/>
          <w:szCs w:val="16"/>
          <w:color w:val="auto"/>
        </w:rPr>
      </w:pPr>
    </w:p>
    <w:p>
      <w:pPr>
        <w:ind w:left="620" w:hanging="327"/>
        <w:spacing w:after="0"/>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420" w:val="left"/>
          <w:tab w:leader="none" w:pos="6420" w:val="left"/>
          <w:tab w:leader="none" w:pos="73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26, 2010</w:t>
      </w:r>
      <w:r>
        <w:rPr>
          <w:sz w:val="20"/>
          <w:szCs w:val="20"/>
          <w:color w:val="auto"/>
        </w:rPr>
        <w:tab/>
      </w:r>
      <w:r>
        <w:rPr>
          <w:rFonts w:ascii="Arial" w:cs="Arial" w:eastAsia="Arial" w:hAnsi="Arial"/>
          <w:sz w:val="16"/>
          <w:szCs w:val="16"/>
          <w:color w:val="auto"/>
        </w:rPr>
        <w:t>B 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15875</wp:posOffset>
            </wp:positionV>
            <wp:extent cx="267906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79065" cy="76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15875</wp:posOffset>
            </wp:positionV>
            <wp:extent cx="14566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6690" cy="7620"/>
                    </a:xfrm>
                    <a:prstGeom prst="rect">
                      <a:avLst/>
                    </a:prstGeom>
                    <a:noFill/>
                  </pic:spPr>
                </pic:pic>
              </a:graphicData>
            </a:graphic>
          </wp:anchor>
        </w:drawing>
      </w:r>
    </w:p>
    <w:p>
      <w:pPr>
        <w:spacing w:after="0" w:line="54"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Sarah N. Nielsen</w:t>
      </w:r>
    </w:p>
    <w:p>
      <w:pPr>
        <w:spacing w:after="0" w:line="61"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Vice President, Chief Financial Officer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00"/>
          </w:cols>
          <w:pgMar w:left="240" w:top="514" w:right="25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lt;"/>
      <w:numFmt w:val="bullet"/>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lt;"/>
      <w:numFmt w:val="bullet"/>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lt;"/>
      <w:numFmt w:val="bullet"/>
      <w:start w:val="1"/>
    </w:lvl>
  </w:abstractNum>
  <w:abstractNum w:abstractNumId="23">
    <w:nsid w:val="1BA026FA"/>
    <w:multiLevelType w:val="hybridMultilevel"/>
    <w:lvl w:ilvl="0">
      <w:lvlJc w:val="left"/>
      <w:lvlText w:val="&lt;"/>
      <w:numFmt w:val="bullet"/>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5"/>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lvl w:ilvl="1">
      <w:lvlJc w:val="left"/>
      <w:lvlText w:val="(%2)"/>
      <w:numFmt w:val="lowerLetter"/>
      <w:start w:val="1"/>
    </w:lvl>
  </w:abstractNum>
  <w:abstractNum w:abstractNumId="49">
    <w:nsid w:val="310C50B3"/>
    <w:multiLevelType w:val="hybridMultilevel"/>
    <w:lvl w:ilvl="0">
      <w:lvlJc w:val="left"/>
      <w:lvlText w:val="%1."/>
      <w:numFmt w:val="decimal"/>
      <w:start w:val="3"/>
    </w:lvl>
    <w:lvl w:ilvl="1">
      <w:lvlJc w:val="left"/>
      <w:lvlText w:val="(%2)"/>
      <w:numFmt w:val="lowerLetter"/>
      <w:start w:val="1"/>
    </w:lvl>
  </w:abstractNum>
  <w:abstractNum w:abstractNumId="50">
    <w:nsid w:val="5FF87E05"/>
    <w:multiLevelType w:val="hybridMultilevel"/>
    <w:lvl w:ilvl="0">
      <w:lvlJc w:val="left"/>
      <w:lvlText w:val="(%1)"/>
      <w:numFmt w:val="lowerLetter"/>
      <w:start w:val="2"/>
    </w:lvl>
  </w:abstractNum>
  <w:abstractNum w:abstractNumId="51">
    <w:nsid w:val="2F305DEF"/>
    <w:multiLevelType w:val="hybridMultilevel"/>
    <w:lvl w:ilvl="0">
      <w:lvlJc w:val="left"/>
      <w:lvlText w:val="%1."/>
      <w:numFmt w:val="decimal"/>
      <w:start w:val="4"/>
    </w:lvl>
  </w:abstractNum>
  <w:abstractNum w:abstractNumId="52">
    <w:nsid w:val="25A70BF7"/>
    <w:multiLevelType w:val="hybridMultilevel"/>
    <w:lvl w:ilvl="0">
      <w:lvlJc w:val="left"/>
      <w:lvlText w:val="%1."/>
      <w:numFmt w:val="decimal"/>
      <w:start w:val="6"/>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lowerLetter"/>
      <w:start w:val="13"/>
    </w:lvl>
  </w:abstractNum>
  <w:abstractNum w:abstractNumId="55">
    <w:nsid w:val="1F48EAA1"/>
    <w:multiLevelType w:val="hybridMultilevel"/>
    <w:lvl w:ilvl="0">
      <w:lvlJc w:val="left"/>
      <w:lvlText w:val="(%1)"/>
      <w:numFmt w:val="lowerLetter"/>
      <w:start w:val="15"/>
    </w:lvl>
  </w:abstractNum>
  <w:abstractNum w:abstractNumId="56">
    <w:nsid w:val="1381823A"/>
    <w:multiLevelType w:val="hybridMultilevel"/>
    <w:lvl w:ilvl="0">
      <w:lvlJc w:val="left"/>
      <w:lvlText w:val="%1."/>
      <w:numFmt w:val="decimal"/>
      <w:start w:val="7"/>
    </w:lvl>
  </w:abstractNum>
  <w:abstractNum w:abstractNumId="57">
    <w:nsid w:val="5DB70AE5"/>
    <w:multiLevelType w:val="hybridMultilevel"/>
    <w:lvl w:ilvl="0">
      <w:lvlJc w:val="left"/>
      <w:lvlText w:val="%1."/>
      <w:numFmt w:val="decimal"/>
      <w:start w:val="8"/>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decimal"/>
      <w:start w:val="9"/>
    </w:lvl>
  </w:abstractNum>
  <w:abstractNum w:abstractNumId="60">
    <w:nsid w:val="15014ACB"/>
    <w:multiLevelType w:val="hybridMultilevel"/>
    <w:lvl w:ilvl="0">
      <w:lvlJc w:val="left"/>
      <w:lvlText w:val="%1."/>
      <w:numFmt w:val="decimal"/>
      <w:start w:val="10"/>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3"/>
    </w:lvl>
  </w:abstractNum>
  <w:abstractNum w:abstractNumId="63">
    <w:nsid w:val="799D0247"/>
    <w:multiLevelType w:val="hybridMultilevel"/>
    <w:lvl w:ilvl="0">
      <w:lvlJc w:val="left"/>
      <w:lvlText w:val="(%1)"/>
      <w:numFmt w:val="lowerRoman"/>
      <w:start w:val="2"/>
    </w:lvl>
  </w:abstractNum>
  <w:abstractNum w:abstractNumId="64">
    <w:nsid w:val="6B94764"/>
    <w:multiLevelType w:val="hybridMultilevel"/>
    <w:lvl w:ilvl="0">
      <w:lvlJc w:val="left"/>
      <w:lvlText w:val="(%1)"/>
      <w:numFmt w:val="lowerLetter"/>
      <w:start w:val="6"/>
    </w:lvl>
    <w:lvl w:ilvl="1">
      <w:lvlJc w:val="left"/>
      <w:lvlText w:val="(%2)"/>
      <w:numFmt w:val="lowerRoman"/>
      <w:start w:val="1"/>
    </w:lvl>
  </w:abstractNum>
  <w:abstractNum w:abstractNumId="65">
    <w:nsid w:val="42C296BD"/>
    <w:multiLevelType w:val="hybridMultilevel"/>
    <w:lvl w:ilvl="0">
      <w:lvlJc w:val="left"/>
      <w:lvlText w:val="%1."/>
      <w:numFmt w:val="decimal"/>
      <w:start w:val="11"/>
    </w:lvl>
  </w:abstractNum>
  <w:abstractNum w:abstractNumId="66">
    <w:nsid w:val="168E121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7">
    <w:nsid w:val="1EBA5D23"/>
    <w:multiLevelType w:val="hybridMultilevel"/>
    <w:lvl w:ilvl="0">
      <w:lvlJc w:val="left"/>
      <w:lvlText w:val="%1."/>
      <w:numFmt w:val="decimal"/>
      <w:start w:val="12"/>
    </w:lvl>
  </w:abstractNum>
  <w:abstractNum w:abstractNumId="68">
    <w:nsid w:val="661E3F1E"/>
    <w:multiLevelType w:val="hybridMultilevel"/>
    <w:lvl w:ilvl="0">
      <w:lvlJc w:val="left"/>
      <w:lvlText w:val="%1."/>
      <w:numFmt w:val="decimal"/>
      <w:start w:val="15"/>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19"/>
    </w:lvl>
  </w:abstractNum>
  <w:abstractNum w:abstractNumId="71">
    <w:nsid w:val="7BD3EE7B"/>
    <w:multiLevelType w:val="hybridMultilevel"/>
    <w:lvl w:ilvl="0">
      <w:lvlJc w:val="left"/>
      <w:lvlText w:val="%1."/>
      <w:numFmt w:val="decimal"/>
      <w:start w:val="20"/>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decimal"/>
      <w:start w:val="8"/>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lowerLetter"/>
      <w:start w:val="1"/>
    </w:lvl>
    <w:lvl w:ilvl="1">
      <w:lvlJc w:val="left"/>
      <w:lvlText w:val="&lt;"/>
      <w:numFmt w:val="bullet"/>
      <w:start w:val="1"/>
    </w:lvl>
  </w:abstractNum>
  <w:abstractNum w:abstractNumId="77">
    <w:nsid w:val="A0382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2019-12-10T03:40:33Z</dcterms:created>
  <dcterms:modified xsi:type="dcterms:W3CDTF">2019-12-10T03:40:33Z</dcterms:modified>
</cp:coreProperties>
</file>