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121920</wp:posOffset>
            </wp:positionV>
            <wp:extent cx="292417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31" w:lineRule="exact"/>
        <w:rPr>
          <w:sz w:val="24"/>
          <w:szCs w:val="24"/>
          <w:color w:val="auto"/>
        </w:rPr>
      </w:pPr>
    </w:p>
    <w:tbl>
      <w:tblPr>
        <w:tblLayout w:type="fixed"/>
        <w:tblInd w:w="1120" w:type="dxa"/>
        <w:tblCellMar>
          <w:top w:w="0" w:type="dxa"/>
          <w:left w:w="0" w:type="dxa"/>
          <w:bottom w:w="0" w:type="dxa"/>
          <w:right w:w="0" w:type="dxa"/>
        </w:tblCellMar>
      </w:tblPr>
      <w:tr>
        <w:trPr>
          <w:trHeight w:val="228"/>
        </w:trPr>
        <w:tc>
          <w:tcPr>
            <w:tcW w:w="1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1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40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color w:val="auto"/>
              </w:rPr>
              <w:t>(Commission File</w:t>
            </w:r>
          </w:p>
        </w:tc>
        <w:tc>
          <w:tcPr>
            <w:tcW w:w="3260" w:type="dxa"/>
            <w:vAlign w:val="bottom"/>
          </w:tcPr>
          <w:p>
            <w:pPr>
              <w:jc w:val="center"/>
              <w:ind w:right="179"/>
              <w:spacing w:after="0"/>
              <w:rPr>
                <w:sz w:val="20"/>
                <w:szCs w:val="20"/>
                <w:color w:val="auto"/>
              </w:rPr>
            </w:pPr>
            <w:r>
              <w:rPr>
                <w:rFonts w:ascii="Arial" w:cs="Arial" w:eastAsia="Arial" w:hAnsi="Arial"/>
                <w:sz w:val="16"/>
                <w:szCs w:val="16"/>
                <w:color w:val="auto"/>
              </w:rPr>
              <w:t>(IRS Employer Identification No.)</w:t>
            </w:r>
          </w:p>
        </w:tc>
      </w:tr>
      <w:tr>
        <w:trPr>
          <w:trHeight w:val="195"/>
        </w:trPr>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color w:val="auto"/>
              </w:rPr>
              <w:t>Number)</w:t>
            </w:r>
          </w:p>
        </w:tc>
        <w:tc>
          <w:tcPr>
            <w:tcW w:w="3260" w:type="dxa"/>
            <w:vAlign w:val="bottom"/>
          </w:tcPr>
          <w:p>
            <w:pPr>
              <w:spacing w:after="0"/>
              <w:rPr>
                <w:sz w:val="16"/>
                <w:szCs w:val="16"/>
                <w:color w:val="auto"/>
              </w:rPr>
            </w:pPr>
          </w:p>
        </w:tc>
      </w:tr>
      <w:tr>
        <w:trPr>
          <w:trHeight w:val="526"/>
        </w:trPr>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P.O. Box 152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Forest City</w:t>
            </w: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Iowa</w:t>
            </w: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b w:val="1"/>
                <w:bCs w:val="1"/>
                <w:color w:val="auto"/>
              </w:rPr>
              <w:t>50436</w:t>
            </w:r>
          </w:p>
        </w:tc>
      </w:tr>
      <w:tr>
        <w:trPr>
          <w:trHeight w:val="224"/>
        </w:trPr>
        <w:tc>
          <w:tcPr>
            <w:tcW w:w="40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tcPr>
          <w:p>
            <w:pPr>
              <w:jc w:val="center"/>
              <w:ind w:right="179"/>
              <w:spacing w:after="0"/>
              <w:rPr>
                <w:sz w:val="20"/>
                <w:szCs w:val="20"/>
                <w:color w:val="auto"/>
              </w:rPr>
            </w:pPr>
            <w:r>
              <w:rPr>
                <w:rFonts w:ascii="Arial" w:cs="Arial" w:eastAsia="Arial" w:hAnsi="Arial"/>
                <w:sz w:val="16"/>
                <w:szCs w:val="16"/>
                <w:color w:val="auto"/>
              </w:rPr>
              <w:t>(Zip Code)</w:t>
            </w:r>
          </w:p>
        </w:tc>
      </w:tr>
      <w:tr>
        <w:trPr>
          <w:trHeight w:val="467"/>
        </w:trPr>
        <w:tc>
          <w:tcPr>
            <w:tcW w:w="1300" w:type="dxa"/>
            <w:vAlign w:val="bottom"/>
          </w:tcPr>
          <w:p>
            <w:pPr>
              <w:spacing w:after="0"/>
              <w:rPr>
                <w:sz w:val="24"/>
                <w:szCs w:val="24"/>
                <w:color w:val="auto"/>
              </w:rPr>
            </w:pPr>
          </w:p>
        </w:tc>
        <w:tc>
          <w:tcPr>
            <w:tcW w:w="4640" w:type="dxa"/>
            <w:vAlign w:val="bottom"/>
            <w:gridSpan w:val="4"/>
          </w:tcPr>
          <w:p>
            <w:pPr>
              <w:ind w:left="8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300" w:type="dxa"/>
            <w:vAlign w:val="bottom"/>
          </w:tcPr>
          <w:p>
            <w:pPr>
              <w:spacing w:after="0"/>
              <w:rPr>
                <w:sz w:val="16"/>
                <w:szCs w:val="16"/>
                <w:color w:val="auto"/>
              </w:rPr>
            </w:pPr>
          </w:p>
        </w:tc>
        <w:tc>
          <w:tcPr>
            <w:tcW w:w="7900" w:type="dxa"/>
            <w:vAlign w:val="bottom"/>
            <w:gridSpan w:val="5"/>
          </w:tcPr>
          <w:p>
            <w:pPr>
              <w:jc w:val="right"/>
              <w:ind w:right="1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300" w:type="dxa"/>
            <w:vAlign w:val="bottom"/>
          </w:tcPr>
          <w:p>
            <w:pPr>
              <w:spacing w:after="0"/>
              <w:rPr>
                <w:sz w:val="16"/>
                <w:szCs w:val="16"/>
                <w:color w:val="auto"/>
              </w:rPr>
            </w:pPr>
          </w:p>
        </w:tc>
        <w:tc>
          <w:tcPr>
            <w:tcW w:w="7900" w:type="dxa"/>
            <w:vAlign w:val="bottom"/>
            <w:gridSpan w:val="5"/>
          </w:tcPr>
          <w:p>
            <w:pPr>
              <w:ind w:left="90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183"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3060" w:firstLine="8"/>
        <w:spacing w:after="0" w:line="456"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1" w:lineRule="exact"/>
        <w:rPr>
          <w:sz w:val="24"/>
          <w:szCs w:val="24"/>
          <w:color w:val="auto"/>
        </w:rPr>
      </w:pPr>
    </w:p>
    <w:p>
      <w:pPr>
        <w:ind w:right="20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1"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634"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Winnebago Industries, Inc. ("the Company") held its annual meeting of shareholders (the “Annual Meeting”) on December 17, 2019. At the Annual Meeting, the Company's shareholders were asked to vote on the following proposals: (1) the election of three Class II directors, (2) the advisory approval of executive compensation, and (3) the ratification of the appointment of Deloitte &amp; Touche LLP as the Company's independent registered public accountant for the fiscal year ending August 29, 2020. The results of the shareholder vote are set forth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Company shareholders elected the following nominees: Robert M. Chiusano, Richard (Rick) D. Moss, and John M. Murabito as Class II directors to hold office until the annual meeting of shareholders to be held following the Company's Fiscal 2022 or until their respective successors are duly elected and qualified. Information as to the vote on each director standing for election is provided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12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Votes Withheld</w:t>
            </w:r>
          </w:p>
        </w:tc>
        <w:tc>
          <w:tcPr>
            <w:tcW w:w="12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Robert M. Chiusano</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21,100,754</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428,413</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5,351,325</w:t>
            </w:r>
          </w:p>
        </w:tc>
      </w:tr>
      <w:tr>
        <w:trPr>
          <w:trHeight w:val="26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Richard (Rick) D. Moss</w:t>
            </w:r>
          </w:p>
        </w:tc>
        <w:tc>
          <w:tcPr>
            <w:tcW w:w="2740" w:type="dxa"/>
            <w:vAlign w:val="bottom"/>
          </w:tcPr>
          <w:p>
            <w:pPr>
              <w:jc w:val="center"/>
              <w:spacing w:after="0"/>
              <w:rPr>
                <w:sz w:val="20"/>
                <w:szCs w:val="20"/>
                <w:color w:val="auto"/>
              </w:rPr>
            </w:pPr>
            <w:r>
              <w:rPr>
                <w:rFonts w:ascii="Arial" w:cs="Arial" w:eastAsia="Arial" w:hAnsi="Arial"/>
                <w:sz w:val="16"/>
                <w:szCs w:val="16"/>
                <w:color w:val="auto"/>
                <w:w w:val="99"/>
              </w:rPr>
              <w:t>21,451,050</w:t>
            </w:r>
          </w:p>
        </w:tc>
        <w:tc>
          <w:tcPr>
            <w:tcW w:w="12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w w:val="98"/>
              </w:rPr>
              <w:t>78,117</w:t>
            </w:r>
          </w:p>
        </w:tc>
        <w:tc>
          <w:tcPr>
            <w:tcW w:w="12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5,351,325</w:t>
            </w:r>
          </w:p>
        </w:tc>
      </w:tr>
      <w:tr>
        <w:trPr>
          <w:trHeight w:val="28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John M. Murabito</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21,249,239</w:t>
            </w:r>
          </w:p>
        </w:tc>
        <w:tc>
          <w:tcPr>
            <w:tcW w:w="120" w:type="dxa"/>
            <w:vAlign w:val="bottom"/>
            <w:shd w:val="clear" w:color="auto" w:fill="CCEEFF"/>
          </w:tcPr>
          <w:p>
            <w:pPr>
              <w:spacing w:after="0"/>
              <w:rPr>
                <w:sz w:val="24"/>
                <w:szCs w:val="24"/>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279,928</w:t>
            </w:r>
          </w:p>
        </w:tc>
        <w:tc>
          <w:tcPr>
            <w:tcW w:w="120" w:type="dxa"/>
            <w:vAlign w:val="bottom"/>
            <w:shd w:val="clear" w:color="auto" w:fill="CCEEFF"/>
          </w:tcPr>
          <w:p>
            <w:pPr>
              <w:spacing w:after="0"/>
              <w:rPr>
                <w:sz w:val="24"/>
                <w:szCs w:val="24"/>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5,351,325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Vote on Executive Compensation (the “Say on Pay” Vote).</w:t>
      </w:r>
    </w:p>
    <w:p>
      <w:pPr>
        <w:spacing w:after="0" w:line="21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Abstentions</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57"/>
        </w:trPr>
        <w:tc>
          <w:tcPr>
            <w:tcW w:w="288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21,203,549</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298,822</w:t>
            </w:r>
          </w:p>
        </w:tc>
        <w:tc>
          <w:tcPr>
            <w:tcW w:w="12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26,696</w:t>
            </w:r>
          </w:p>
        </w:tc>
        <w:tc>
          <w:tcPr>
            <w:tcW w:w="12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5,351,325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Ratification of the Appointment of Independent Registered Public Accountants for the Fiscal Year Ending August 29, 2020.</w:t>
      </w:r>
    </w:p>
    <w:p>
      <w:pPr>
        <w:spacing w:after="0" w:line="21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29, 2020, as set forth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Votes For</w:t>
            </w:r>
          </w:p>
        </w:tc>
        <w:tc>
          <w:tcPr>
            <w:tcW w:w="3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57"/>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26,494,649</w:t>
            </w:r>
          </w:p>
        </w:tc>
        <w:tc>
          <w:tcPr>
            <w:tcW w:w="120" w:type="dxa"/>
            <w:vAlign w:val="bottom"/>
            <w:tcBorders>
              <w:top w:val="single" w:sz="8" w:color="CCEEFF"/>
            </w:tcBorders>
            <w:shd w:val="clear" w:color="auto" w:fill="CCEEFF"/>
          </w:tcPr>
          <w:p>
            <w:pPr>
              <w:spacing w:after="0"/>
              <w:rPr>
                <w:sz w:val="22"/>
                <w:szCs w:val="22"/>
                <w:color w:val="auto"/>
              </w:rPr>
            </w:pPr>
          </w:p>
        </w:tc>
        <w:tc>
          <w:tcPr>
            <w:tcW w:w="3780" w:type="dxa"/>
            <w:vAlign w:val="bottom"/>
            <w:tcBorders>
              <w:top w:val="single" w:sz="8" w:color="auto"/>
            </w:tcBorders>
            <w:shd w:val="clear" w:color="auto" w:fill="CCEEFF"/>
          </w:tcPr>
          <w:p>
            <w:pPr>
              <w:jc w:val="right"/>
              <w:ind w:right="1519"/>
              <w:spacing w:after="0"/>
              <w:rPr>
                <w:sz w:val="20"/>
                <w:szCs w:val="20"/>
                <w:color w:val="auto"/>
              </w:rPr>
            </w:pPr>
            <w:r>
              <w:rPr>
                <w:rFonts w:ascii="Arial" w:cs="Arial" w:eastAsia="Arial" w:hAnsi="Arial"/>
                <w:sz w:val="16"/>
                <w:szCs w:val="16"/>
                <w:color w:val="auto"/>
              </w:rPr>
              <w:t>369,336</w:t>
            </w:r>
          </w:p>
        </w:tc>
        <w:tc>
          <w:tcPr>
            <w:tcW w:w="100" w:type="dxa"/>
            <w:vAlign w:val="bottom"/>
            <w:tcBorders>
              <w:top w:val="single" w:sz="8" w:color="CCEEFF"/>
            </w:tcBorders>
            <w:shd w:val="clear" w:color="auto" w:fill="CCEEFF"/>
          </w:tcPr>
          <w:p>
            <w:pPr>
              <w:spacing w:after="0"/>
              <w:rPr>
                <w:sz w:val="22"/>
                <w:szCs w:val="22"/>
                <w:color w:val="auto"/>
              </w:rPr>
            </w:pPr>
          </w:p>
        </w:tc>
        <w:tc>
          <w:tcPr>
            <w:tcW w:w="3760" w:type="dxa"/>
            <w:vAlign w:val="bottom"/>
            <w:tcBorders>
              <w:top w:val="single" w:sz="8" w:color="auto"/>
            </w:tcBorders>
            <w:shd w:val="clear" w:color="auto" w:fill="CCEEFF"/>
          </w:tcPr>
          <w:p>
            <w:pPr>
              <w:jc w:val="right"/>
              <w:ind w:right="1539"/>
              <w:spacing w:after="0"/>
              <w:rPr>
                <w:sz w:val="20"/>
                <w:szCs w:val="20"/>
                <w:color w:val="auto"/>
              </w:rPr>
            </w:pPr>
            <w:r>
              <w:rPr>
                <w:rFonts w:ascii="Arial" w:cs="Arial" w:eastAsia="Arial" w:hAnsi="Arial"/>
                <w:sz w:val="16"/>
                <w:szCs w:val="16"/>
                <w:color w:val="auto"/>
              </w:rPr>
              <w:t>16,507</w:t>
            </w:r>
          </w:p>
        </w:tc>
      </w:tr>
    </w:tbl>
    <w:p>
      <w:pPr>
        <w:sectPr>
          <w:pgSz w:w="11900" w:h="16838" w:orient="portrait"/>
          <w:cols w:equalWidth="0" w:num="1">
            <w:col w:w="11420"/>
          </w:cols>
          <w:pgMar w:left="240" w:top="527"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360" w:type="dxa"/>
            <w:vAlign w:val="bottom"/>
            <w:gridSpan w:val="2"/>
          </w:tcPr>
          <w:p>
            <w:pPr>
              <w:ind w:left="7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00" w:type="dxa"/>
            <w:vAlign w:val="bottom"/>
          </w:tcPr>
          <w:p>
            <w:pPr>
              <w:ind w:left="200"/>
              <w:spacing w:after="0"/>
              <w:rPr>
                <w:sz w:val="20"/>
                <w:szCs w:val="20"/>
                <w:color w:val="auto"/>
              </w:rPr>
            </w:pPr>
            <w:r>
              <w:rPr>
                <w:rFonts w:ascii="Arial" w:cs="Arial" w:eastAsia="Arial" w:hAnsi="Arial"/>
                <w:sz w:val="16"/>
                <w:szCs w:val="16"/>
                <w:color w:val="auto"/>
              </w:rPr>
              <w:t>December 19, 2019</w:t>
            </w:r>
          </w:p>
        </w:tc>
        <w:tc>
          <w:tcPr>
            <w:tcW w:w="1540" w:type="dxa"/>
            <w:vAlign w:val="bottom"/>
          </w:tcPr>
          <w:p>
            <w:pPr>
              <w:ind w:left="780"/>
              <w:spacing w:after="0"/>
              <w:rPr>
                <w:sz w:val="20"/>
                <w:szCs w:val="20"/>
                <w:color w:val="auto"/>
              </w:rPr>
            </w:pPr>
            <w:r>
              <w:rPr>
                <w:rFonts w:ascii="Arial" w:cs="Arial" w:eastAsia="Arial" w:hAnsi="Arial"/>
                <w:sz w:val="16"/>
                <w:szCs w:val="16"/>
                <w:color w:val="auto"/>
              </w:rPr>
              <w:t>By:</w:t>
            </w:r>
          </w:p>
        </w:tc>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Stacy L. Bogart</w:t>
            </w:r>
          </w:p>
        </w:tc>
      </w:tr>
      <w:tr>
        <w:trPr>
          <w:trHeight w:val="237"/>
        </w:trPr>
        <w:tc>
          <w:tcPr>
            <w:tcW w:w="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40" w:type="dxa"/>
            <w:vAlign w:val="bottom"/>
          </w:tcPr>
          <w:p>
            <w:pPr>
              <w:ind w:left="780"/>
              <w:spacing w:after="0"/>
              <w:rPr>
                <w:sz w:val="20"/>
                <w:szCs w:val="20"/>
                <w:color w:val="auto"/>
              </w:rPr>
            </w:pPr>
            <w:r>
              <w:rPr>
                <w:rFonts w:ascii="Arial" w:cs="Arial" w:eastAsia="Arial" w:hAnsi="Arial"/>
                <w:sz w:val="16"/>
                <w:szCs w:val="16"/>
                <w:color w:val="auto"/>
              </w:rPr>
              <w:t>Name:</w:t>
            </w:r>
          </w:p>
        </w:tc>
        <w:tc>
          <w:tcPr>
            <w:tcW w:w="5820" w:type="dxa"/>
            <w:vAlign w:val="bottom"/>
          </w:tcPr>
          <w:p>
            <w:pPr>
              <w:ind w:left="40"/>
              <w:spacing w:after="0"/>
              <w:rPr>
                <w:sz w:val="20"/>
                <w:szCs w:val="20"/>
                <w:color w:val="auto"/>
              </w:rPr>
            </w:pPr>
            <w:r>
              <w:rPr>
                <w:rFonts w:ascii="Arial" w:cs="Arial" w:eastAsia="Arial" w:hAnsi="Arial"/>
                <w:sz w:val="16"/>
                <w:szCs w:val="16"/>
                <w:color w:val="auto"/>
              </w:rPr>
              <w:t>Stacy L. Bogart</w:t>
            </w:r>
          </w:p>
        </w:tc>
      </w:tr>
      <w:tr>
        <w:trPr>
          <w:trHeight w:val="270"/>
        </w:trPr>
        <w:tc>
          <w:tcPr>
            <w:tcW w:w="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540" w:type="dxa"/>
            <w:vAlign w:val="bottom"/>
          </w:tcPr>
          <w:p>
            <w:pPr>
              <w:ind w:left="780"/>
              <w:spacing w:after="0"/>
              <w:rPr>
                <w:sz w:val="20"/>
                <w:szCs w:val="20"/>
                <w:color w:val="auto"/>
              </w:rPr>
            </w:pPr>
            <w:r>
              <w:rPr>
                <w:rFonts w:ascii="Arial" w:cs="Arial" w:eastAsia="Arial" w:hAnsi="Arial"/>
                <w:sz w:val="16"/>
                <w:szCs w:val="16"/>
                <w:color w:val="auto"/>
              </w:rPr>
              <w:t>Title:</w:t>
            </w:r>
          </w:p>
        </w:tc>
        <w:tc>
          <w:tcPr>
            <w:tcW w:w="5820" w:type="dxa"/>
            <w:vAlign w:val="bottom"/>
          </w:tcPr>
          <w:p>
            <w:pPr>
              <w:ind w:left="40"/>
              <w:spacing w:after="0"/>
              <w:rPr>
                <w:sz w:val="20"/>
                <w:szCs w:val="20"/>
                <w:color w:val="auto"/>
              </w:rPr>
            </w:pPr>
            <w:r>
              <w:rPr>
                <w:rFonts w:ascii="Arial" w:cs="Arial" w:eastAsia="Arial" w:hAnsi="Arial"/>
                <w:sz w:val="16"/>
                <w:szCs w:val="16"/>
                <w:color w:val="auto"/>
              </w:rPr>
              <w:t>Vice President, General Counsel and Corporate Secretary</w:t>
            </w:r>
          </w:p>
        </w:tc>
      </w:tr>
    </w:tbl>
    <w:p>
      <w:pPr>
        <w:spacing w:after="0" w:line="1" w:lineRule="exact"/>
        <w:rPr>
          <w:sz w:val="20"/>
          <w:szCs w:val="20"/>
          <w:color w:val="auto"/>
        </w:rPr>
      </w:pPr>
    </w:p>
    <w:sectPr>
      <w:pgSz w:w="11900" w:h="16838" w:orient="portrait"/>
      <w:cols w:equalWidth="0" w:num="1">
        <w:col w:w="11220"/>
      </w:cols>
      <w:pgMar w:left="240" w:top="5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2019-12-19T15:56:44Z</dcterms:created>
  <dcterms:modified xsi:type="dcterms:W3CDTF">2019-12-19T15:56:44Z</dcterms:modified>
</cp:coreProperties>
</file>