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UNITED STATES 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13D</w:t>
      </w:r>
    </w:p>
    <w:p>
      <w:pPr>
        <w:jc w:val="center"/>
        <w:ind w:right="167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jc w:val="center"/>
        <w:ind w:right="1679"/>
        <w:spacing w:after="0"/>
        <w:rPr>
          <w:sz w:val="20"/>
          <w:szCs w:val="20"/>
          <w:color w:val="auto"/>
        </w:rPr>
      </w:pPr>
      <w:r>
        <w:rPr>
          <w:rFonts w:ascii="Courier New" w:cs="Courier New" w:eastAsia="Courier New" w:hAnsi="Courier New"/>
          <w:sz w:val="18"/>
          <w:szCs w:val="18"/>
          <w:color w:val="auto"/>
        </w:rPr>
        <w:t>(Amendment No. 46)*</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WINNEBAGO INDUSTRIES,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 $.50 PAR VALUE</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974637100</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WILLIAM M. LIBIT, ESQ.</w:t>
      </w:r>
    </w:p>
    <w:p>
      <w:pPr>
        <w:ind w:left="3060"/>
        <w:spacing w:after="0" w:line="238" w:lineRule="auto"/>
        <w:rPr>
          <w:sz w:val="20"/>
          <w:szCs w:val="20"/>
          <w:color w:val="auto"/>
        </w:rPr>
      </w:pPr>
      <w:r>
        <w:rPr>
          <w:rFonts w:ascii="Courier New" w:cs="Courier New" w:eastAsia="Courier New" w:hAnsi="Courier New"/>
          <w:sz w:val="18"/>
          <w:szCs w:val="18"/>
          <w:color w:val="auto"/>
        </w:rPr>
        <w:t>CHAPMAN AND CUTLER LLP</w:t>
      </w:r>
    </w:p>
    <w:p>
      <w:pPr>
        <w:ind w:left="3060"/>
        <w:spacing w:after="0"/>
        <w:rPr>
          <w:sz w:val="20"/>
          <w:szCs w:val="20"/>
          <w:color w:val="auto"/>
        </w:rPr>
      </w:pPr>
      <w:r>
        <w:rPr>
          <w:rFonts w:ascii="Courier New" w:cs="Courier New" w:eastAsia="Courier New" w:hAnsi="Courier New"/>
          <w:sz w:val="18"/>
          <w:szCs w:val="18"/>
          <w:color w:val="auto"/>
        </w:rPr>
        <w:t>111 WEST MONROE STREET</w:t>
      </w:r>
    </w:p>
    <w:p>
      <w:pPr>
        <w:ind w:left="3060"/>
        <w:spacing w:after="0" w:line="237" w:lineRule="auto"/>
        <w:rPr>
          <w:sz w:val="20"/>
          <w:szCs w:val="20"/>
          <w:color w:val="auto"/>
        </w:rPr>
      </w:pPr>
      <w:r>
        <w:rPr>
          <w:rFonts w:ascii="Courier New" w:cs="Courier New" w:eastAsia="Courier New" w:hAnsi="Courier New"/>
          <w:sz w:val="18"/>
          <w:szCs w:val="18"/>
          <w:color w:val="auto"/>
        </w:rPr>
        <w:t>CHICAGO, ILLINOIS 60603</w:t>
      </w:r>
    </w:p>
    <w:p>
      <w:pPr>
        <w:ind w:left="3480"/>
        <w:spacing w:after="0" w:line="238" w:lineRule="auto"/>
        <w:rPr>
          <w:sz w:val="20"/>
          <w:szCs w:val="20"/>
          <w:color w:val="auto"/>
        </w:rPr>
      </w:pPr>
      <w:r>
        <w:rPr>
          <w:rFonts w:ascii="Courier New" w:cs="Courier New" w:eastAsia="Courier New" w:hAnsi="Courier New"/>
          <w:sz w:val="18"/>
          <w:szCs w:val="18"/>
          <w:color w:val="auto"/>
        </w:rPr>
        <w:t>(312) 845-2981</w:t>
      </w:r>
    </w:p>
    <w:p>
      <w:pPr>
        <w:jc w:val="center"/>
        <w:ind w:right="1679"/>
        <w:spacing w:after="0"/>
        <w:rPr>
          <w:sz w:val="20"/>
          <w:szCs w:val="20"/>
          <w:color w:val="auto"/>
        </w:rPr>
      </w:pPr>
      <w:r>
        <w:rPr>
          <w:rFonts w:ascii="Courier New" w:cs="Courier New" w:eastAsia="Courier New" w:hAnsi="Courier New"/>
          <w:sz w:val="18"/>
          <w:szCs w:val="18"/>
          <w:color w:val="auto"/>
        </w:rPr>
        <w:t>(Name, Address and Telephone Number of Person</w:t>
      </w:r>
    </w:p>
    <w:p>
      <w:pPr>
        <w:jc w:val="center"/>
        <w:ind w:right="1679"/>
        <w:spacing w:after="0" w:line="237" w:lineRule="auto"/>
        <w:rPr>
          <w:sz w:val="20"/>
          <w:szCs w:val="20"/>
          <w:color w:val="auto"/>
        </w:rPr>
      </w:pPr>
      <w:r>
        <w:rPr>
          <w:rFonts w:ascii="Courier New" w:cs="Courier New" w:eastAsia="Courier New" w:hAnsi="Courier New"/>
          <w:sz w:val="18"/>
          <w:szCs w:val="18"/>
          <w:color w:val="auto"/>
        </w:rPr>
        <w:t>Authorized to Receive Notices and Communications)</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SEPTEMBER 10, 2004</w:t>
      </w:r>
    </w:p>
    <w:p>
      <w:pPr>
        <w:ind w:left="2740"/>
        <w:spacing w:after="0" w:line="238" w:lineRule="auto"/>
        <w:rPr>
          <w:sz w:val="20"/>
          <w:szCs w:val="20"/>
          <w:color w:val="auto"/>
        </w:rPr>
      </w:pPr>
      <w:r>
        <w:rPr>
          <w:rFonts w:ascii="Courier New" w:cs="Courier New" w:eastAsia="Courier New" w:hAnsi="Courier New"/>
          <w:sz w:val="18"/>
          <w:szCs w:val="18"/>
          <w:color w:val="auto"/>
        </w:rPr>
        <w:t>(Date of Event which Requires</w:t>
      </w:r>
    </w:p>
    <w:p>
      <w:pPr>
        <w:ind w:left="2960"/>
        <w:spacing w:after="0"/>
        <w:rPr>
          <w:sz w:val="20"/>
          <w:szCs w:val="20"/>
          <w:color w:val="auto"/>
        </w:rPr>
      </w:pPr>
      <w:r>
        <w:rPr>
          <w:rFonts w:ascii="Courier New" w:cs="Courier New" w:eastAsia="Courier New" w:hAnsi="Courier New"/>
          <w:sz w:val="18"/>
          <w:szCs w:val="18"/>
          <w:color w:val="auto"/>
        </w:rPr>
        <w:t>Filing of This Statement)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the subject of this Schedule 13D, and is filing this schedule because of ss.240.13d-1(e), 240.13d-1(f) or 240.13d-1(g), check the following box [ ].</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974637100</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3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960" w:hanging="952"/>
        <w:spacing w:after="0"/>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Nos. of Above Person</w:t>
      </w:r>
    </w:p>
    <w:p>
      <w:pPr>
        <w:spacing w:after="0" w:line="202" w:lineRule="exact"/>
        <w:rPr>
          <w:sz w:val="24"/>
          <w:szCs w:val="24"/>
          <w:color w:val="auto"/>
        </w:rPr>
      </w:pPr>
    </w:p>
    <w:tbl>
      <w:tblPr>
        <w:tblLayout w:type="fixed"/>
        <w:tblInd w:w="960" w:type="dxa"/>
        <w:tblCellMar>
          <w:top w:w="0" w:type="dxa"/>
          <w:left w:w="0" w:type="dxa"/>
          <w:bottom w:w="0" w:type="dxa"/>
          <w:right w:w="0" w:type="dxa"/>
        </w:tblCellMar>
      </w:tblPr>
      <w:tr>
        <w:trPr>
          <w:trHeight w:val="204"/>
        </w:trPr>
        <w:tc>
          <w:tcPr>
            <w:tcW w:w="7260" w:type="dxa"/>
            <w:vAlign w:val="bottom"/>
            <w:gridSpan w:val="3"/>
          </w:tcPr>
          <w:p>
            <w:pPr>
              <w:spacing w:after="0"/>
              <w:rPr>
                <w:sz w:val="20"/>
                <w:szCs w:val="20"/>
                <w:color w:val="auto"/>
              </w:rPr>
            </w:pPr>
            <w:r>
              <w:rPr>
                <w:rFonts w:ascii="Courier New" w:cs="Courier New" w:eastAsia="Courier New" w:hAnsi="Courier New"/>
                <w:sz w:val="18"/>
                <w:szCs w:val="18"/>
                <w:color w:val="auto"/>
                <w:w w:val="97"/>
              </w:rPr>
              <w:t>Hanson Capital Partners, L.L.C.  I.R.S. Identification No. 52-2286575</w:t>
            </w:r>
          </w:p>
        </w:tc>
      </w:tr>
      <w:tr>
        <w:trPr>
          <w:trHeight w:val="203"/>
        </w:trPr>
        <w:tc>
          <w:tcPr>
            <w:tcW w:w="2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John V. Hanson</w:t>
            </w:r>
          </w:p>
        </w:tc>
        <w:tc>
          <w:tcPr>
            <w:tcW w:w="52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SS# ###-##-####</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Mary</w:t>
            </w:r>
          </w:p>
        </w:tc>
        <w:tc>
          <w:tcPr>
            <w:tcW w:w="1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Joan Boman</w:t>
            </w:r>
          </w:p>
        </w:tc>
        <w:tc>
          <w:tcPr>
            <w:tcW w:w="52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SS# ###-##-####</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Paul</w:t>
            </w:r>
          </w:p>
        </w:tc>
        <w:tc>
          <w:tcPr>
            <w:tcW w:w="1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 Hanson</w:t>
            </w:r>
          </w:p>
        </w:tc>
        <w:tc>
          <w:tcPr>
            <w:tcW w:w="52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SS# ###-##-####</w:t>
            </w:r>
          </w:p>
        </w:tc>
      </w:tr>
    </w:tbl>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940" w:val="left"/>
          <w:tab w:leader="none" w:pos="7260" w:val="left"/>
          <w:tab w:leader="none" w:pos="810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r>
        <w:rPr>
          <w:sz w:val="20"/>
          <w:szCs w:val="20"/>
          <w:color w:val="auto"/>
        </w:rPr>
        <w:tab/>
      </w: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[X]</w:t>
      </w:r>
    </w:p>
    <w:p>
      <w:pPr>
        <w:ind w:left="960"/>
        <w:spacing w:after="0"/>
        <w:tabs>
          <w:tab w:leader="none" w:pos="7260" w:val="left"/>
          <w:tab w:leader="none" w:pos="8100" w:val="left"/>
        </w:tabs>
        <w:rPr>
          <w:sz w:val="20"/>
          <w:szCs w:val="20"/>
          <w:color w:val="auto"/>
        </w:rPr>
      </w:pPr>
      <w:r>
        <w:rPr>
          <w:rFonts w:ascii="Courier New" w:cs="Courier New" w:eastAsia="Courier New" w:hAnsi="Courier New"/>
          <w:sz w:val="18"/>
          <w:szCs w:val="18"/>
          <w:color w:val="auto"/>
        </w:rPr>
        <w:t>(See Instructions)</w:t>
      </w:r>
      <w:r>
        <w:rPr>
          <w:sz w:val="20"/>
          <w:szCs w:val="20"/>
          <w:color w:val="auto"/>
        </w:rPr>
        <w:tab/>
      </w: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 ]</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right="1579"/>
        <w:spacing w:after="0" w:line="235" w:lineRule="auto"/>
        <w:rPr>
          <w:sz w:val="20"/>
          <w:szCs w:val="20"/>
          <w:color w:val="auto"/>
        </w:rPr>
      </w:pPr>
      <w:r>
        <w:rPr>
          <w:rFonts w:ascii="Courier New" w:cs="Courier New" w:eastAsia="Courier New" w:hAnsi="Courier New"/>
          <w:sz w:val="18"/>
          <w:szCs w:val="18"/>
          <w:color w:val="auto"/>
        </w:rPr>
        <w:t>- -------------------------------------------------------------------------------- (3) SEC Use Only</w:t>
      </w:r>
    </w:p>
    <w:p>
      <w:pPr>
        <w:sectPr>
          <w:pgSz w:w="11900" w:h="16838" w:orient="portrait"/>
          <w:cols w:equalWidth="0" w:num="1">
            <w:col w:w="10219"/>
          </w:cols>
          <w:pgMar w:left="240" w:top="244" w:right="1440" w:bottom="458"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jc w:val="both"/>
        <w:spacing w:after="0"/>
        <w:tabs>
          <w:tab w:leader="none" w:pos="94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Source of Funds</w:t>
      </w:r>
    </w:p>
    <w:p>
      <w:pPr>
        <w:spacing w:after="0" w:line="201" w:lineRule="exact"/>
        <w:rPr>
          <w:sz w:val="20"/>
          <w:szCs w:val="20"/>
          <w:color w:val="auto"/>
        </w:rPr>
      </w:pPr>
    </w:p>
    <w:p>
      <w:pPr>
        <w:jc w:val="right"/>
        <w:ind w:right="7679"/>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2"/>
              </w:rPr>
              <w:t>(5)</w:t>
            </w:r>
          </w:p>
        </w:tc>
        <w:tc>
          <w:tcPr>
            <w:tcW w:w="1220" w:type="dxa"/>
            <w:vAlign w:val="bottom"/>
          </w:tcPr>
          <w:p>
            <w:pPr>
              <w:ind w:left="320"/>
              <w:spacing w:after="0"/>
              <w:rPr>
                <w:sz w:val="20"/>
                <w:szCs w:val="20"/>
                <w:color w:val="auto"/>
              </w:rPr>
            </w:pPr>
            <w:r>
              <w:rPr>
                <w:rFonts w:ascii="Courier New" w:cs="Courier New" w:eastAsia="Courier New" w:hAnsi="Courier New"/>
                <w:sz w:val="18"/>
                <w:szCs w:val="18"/>
                <w:color w:val="auto"/>
              </w:rPr>
              <w:t>Check if</w:t>
            </w:r>
          </w:p>
        </w:tc>
        <w:tc>
          <w:tcPr>
            <w:tcW w:w="1460" w:type="dxa"/>
            <w:vAlign w:val="bottom"/>
          </w:tcPr>
          <w:p>
            <w:pPr>
              <w:ind w:left="40"/>
              <w:spacing w:after="0"/>
              <w:rPr>
                <w:sz w:val="20"/>
                <w:szCs w:val="20"/>
                <w:color w:val="auto"/>
              </w:rPr>
            </w:pPr>
            <w:r>
              <w:rPr>
                <w:rFonts w:ascii="Courier New" w:cs="Courier New" w:eastAsia="Courier New" w:hAnsi="Courier New"/>
                <w:sz w:val="18"/>
                <w:szCs w:val="18"/>
                <w:color w:val="auto"/>
                <w:w w:val="99"/>
              </w:rPr>
              <w:t>Disclosure of</w:t>
            </w:r>
          </w:p>
        </w:tc>
        <w:tc>
          <w:tcPr>
            <w:tcW w:w="3960" w:type="dxa"/>
            <w:vAlign w:val="bottom"/>
          </w:tcPr>
          <w:p>
            <w:pPr>
              <w:ind w:left="60"/>
              <w:spacing w:after="0"/>
              <w:rPr>
                <w:sz w:val="20"/>
                <w:szCs w:val="20"/>
                <w:color w:val="auto"/>
              </w:rPr>
            </w:pPr>
            <w:r>
              <w:rPr>
                <w:rFonts w:ascii="Courier New" w:cs="Courier New" w:eastAsia="Courier New" w:hAnsi="Courier New"/>
                <w:sz w:val="18"/>
                <w:szCs w:val="18"/>
                <w:color w:val="auto"/>
              </w:rPr>
              <w:t>Legal Proceedings is Required</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 ]</w:t>
            </w:r>
          </w:p>
        </w:tc>
      </w:tr>
      <w:tr>
        <w:trPr>
          <w:trHeight w:val="203"/>
        </w:trPr>
        <w:tc>
          <w:tcPr>
            <w:tcW w:w="640" w:type="dxa"/>
            <w:vAlign w:val="bottom"/>
          </w:tcPr>
          <w:p>
            <w:pPr>
              <w:spacing w:after="0"/>
              <w:rPr>
                <w:sz w:val="17"/>
                <w:szCs w:val="17"/>
                <w:color w:val="auto"/>
              </w:rPr>
            </w:pPr>
          </w:p>
        </w:tc>
        <w:tc>
          <w:tcPr>
            <w:tcW w:w="1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Pursuant</w:t>
            </w:r>
          </w:p>
        </w:tc>
        <w:tc>
          <w:tcPr>
            <w:tcW w:w="1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to Items 2(d)</w:t>
            </w:r>
          </w:p>
        </w:tc>
        <w:tc>
          <w:tcPr>
            <w:tcW w:w="3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or 2(e)</w:t>
            </w:r>
          </w:p>
        </w:tc>
        <w:tc>
          <w:tcPr>
            <w:tcW w:w="116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6" w:lineRule="exact"/>
        <w:rPr>
          <w:rFonts w:ascii="Courier New" w:cs="Courier New" w:eastAsia="Courier New" w:hAnsi="Courier New"/>
          <w:sz w:val="18"/>
          <w:szCs w:val="18"/>
          <w:color w:val="auto"/>
        </w:rPr>
      </w:pPr>
    </w:p>
    <w:p>
      <w:pPr>
        <w:ind w:left="960" w:right="26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Hanson Capital Partners, L.L.C. is a Delaware limited liability company.</w:t>
      </w:r>
    </w:p>
    <w:p>
      <w:pPr>
        <w:spacing w:after="0" w:line="208" w:lineRule="exact"/>
        <w:rPr>
          <w:rFonts w:ascii="Courier New" w:cs="Courier New" w:eastAsia="Courier New" w:hAnsi="Courier New"/>
          <w:sz w:val="18"/>
          <w:szCs w:val="18"/>
          <w:color w:val="auto"/>
        </w:rPr>
      </w:pPr>
    </w:p>
    <w:p>
      <w:pPr>
        <w:ind w:left="960" w:right="20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John V. Hanson, Mary Joan Boman and Paul D. Hanson are United States citizens.</w:t>
      </w:r>
    </w:p>
    <w:p>
      <w:pPr>
        <w:sectPr>
          <w:pgSz w:w="11900" w:h="16838" w:orient="portrait"/>
          <w:cols w:equalWidth="0" w:num="1">
            <w:col w:w="10219"/>
          </w:cols>
          <w:pgMar w:left="240" w:top="142" w:right="1440" w:bottom="1440" w:gutter="0" w:footer="0" w:header="0"/>
        </w:sectPr>
      </w:pPr>
    </w:p>
    <w:bookmarkStart w:id="2" w:name="page3"/>
    <w:bookmarkEnd w:id="2"/>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17"/>
                <w:szCs w:val="17"/>
                <w:color w:val="auto"/>
              </w:rPr>
            </w:pPr>
          </w:p>
        </w:tc>
        <w:tc>
          <w:tcPr>
            <w:tcW w:w="7000" w:type="dxa"/>
            <w:vAlign w:val="bottom"/>
            <w:gridSpan w:val="3"/>
          </w:tcPr>
          <w:p>
            <w:pPr>
              <w:ind w:left="140"/>
              <w:spacing w:after="0"/>
              <w:rPr>
                <w:sz w:val="20"/>
                <w:szCs w:val="20"/>
                <w:color w:val="auto"/>
              </w:rPr>
            </w:pPr>
            <w:r>
              <w:rPr>
                <w:rFonts w:ascii="Courier New" w:cs="Courier New" w:eastAsia="Courier New" w:hAnsi="Courier New"/>
                <w:sz w:val="18"/>
                <w:szCs w:val="18"/>
                <w:color w:val="auto"/>
                <w:w w:val="97"/>
              </w:rPr>
              <w:t>-----------------------------------------------------------------</w:t>
            </w:r>
          </w:p>
        </w:tc>
      </w:tr>
      <w:tr>
        <w:trPr>
          <w:trHeight w:val="203"/>
        </w:trPr>
        <w:tc>
          <w:tcPr>
            <w:tcW w:w="1440" w:type="dxa"/>
            <w:vAlign w:val="bottom"/>
          </w:tcPr>
          <w:p>
            <w:pPr>
              <w:spacing w:after="0"/>
              <w:rPr>
                <w:sz w:val="17"/>
                <w:szCs w:val="17"/>
                <w:color w:val="auto"/>
              </w:rPr>
            </w:pPr>
          </w:p>
        </w:tc>
        <w:tc>
          <w:tcPr>
            <w:tcW w:w="110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(7)</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Voting Power</w:t>
            </w:r>
          </w:p>
        </w:tc>
        <w:tc>
          <w:tcPr>
            <w:tcW w:w="3380" w:type="dxa"/>
            <w:vAlign w:val="bottom"/>
          </w:tcPr>
          <w:p>
            <w:pPr>
              <w:spacing w:after="0"/>
              <w:rPr>
                <w:sz w:val="17"/>
                <w:szCs w:val="17"/>
                <w:color w:val="auto"/>
              </w:rPr>
            </w:pP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Hanson Capital</w:t>
            </w:r>
          </w:p>
        </w:tc>
        <w:tc>
          <w:tcPr>
            <w:tcW w:w="3380" w:type="dxa"/>
            <w:vAlign w:val="bottom"/>
          </w:tcPr>
          <w:p>
            <w:pPr>
              <w:spacing w:after="0"/>
              <w:rPr>
                <w:sz w:val="17"/>
                <w:szCs w:val="17"/>
                <w:color w:val="auto"/>
              </w:rPr>
            </w:pP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Partners, L.L.C.</w:t>
            </w: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2,226,212 shares (6.6%)</w:t>
            </w: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John V. Hanson</w:t>
            </w: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40,260 (includes 200 shares</w:t>
            </w: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wife and 44,000 shares</w:t>
            </w: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which John V. Hanson has a right</w:t>
            </w: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to acquire)*</w:t>
            </w: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Mary Joan Boman</w:t>
            </w: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145,496 (includes 53,070 shares</w:t>
            </w: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husband, Gerald E.</w:t>
            </w: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Boman, and 44,000 shares which</w:t>
            </w: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Gerald E. Boman has the right to</w:t>
            </w: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acquire)*</w:t>
            </w: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Paul D. Hanson</w:t>
            </w: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320 shares*</w:t>
            </w: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than 1.0 percent.</w:t>
            </w:r>
          </w:p>
        </w:tc>
        <w:tc>
          <w:tcPr>
            <w:tcW w:w="3380" w:type="dxa"/>
            <w:vAlign w:val="bottom"/>
          </w:tcPr>
          <w:p>
            <w:pPr>
              <w:spacing w:after="0"/>
              <w:rPr>
                <w:sz w:val="17"/>
                <w:szCs w:val="17"/>
                <w:color w:val="auto"/>
              </w:rPr>
            </w:pPr>
          </w:p>
        </w:tc>
      </w:tr>
      <w:tr>
        <w:trPr>
          <w:trHeight w:val="405"/>
        </w:trPr>
        <w:tc>
          <w:tcPr>
            <w:tcW w:w="1440" w:type="dxa"/>
            <w:vAlign w:val="bottom"/>
          </w:tcPr>
          <w:p>
            <w:pPr>
              <w:ind w:left="220"/>
              <w:spacing w:after="0"/>
              <w:rPr>
                <w:sz w:val="20"/>
                <w:szCs w:val="20"/>
                <w:color w:val="auto"/>
              </w:rPr>
            </w:pPr>
            <w:r>
              <w:rPr>
                <w:rFonts w:ascii="Courier New" w:cs="Courier New" w:eastAsia="Courier New" w:hAnsi="Courier New"/>
                <w:sz w:val="18"/>
                <w:szCs w:val="18"/>
                <w:color w:val="auto"/>
              </w:rPr>
              <w:t>NUMBER OF</w:t>
            </w:r>
          </w:p>
        </w:tc>
        <w:tc>
          <w:tcPr>
            <w:tcW w:w="11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SHARES</w:t>
            </w:r>
          </w:p>
        </w:tc>
        <w:tc>
          <w:tcPr>
            <w:tcW w:w="3620" w:type="dxa"/>
            <w:vAlign w:val="bottom"/>
            <w:gridSpan w:val="2"/>
          </w:tcPr>
          <w:p>
            <w:pPr>
              <w:ind w:left="140"/>
              <w:spacing w:after="0"/>
              <w:rPr>
                <w:sz w:val="20"/>
                <w:szCs w:val="20"/>
                <w:color w:val="auto"/>
              </w:rPr>
            </w:pPr>
            <w:r>
              <w:rPr>
                <w:rFonts w:ascii="Courier New" w:cs="Courier New" w:eastAsia="Courier New" w:hAnsi="Courier New"/>
                <w:sz w:val="12"/>
                <w:szCs w:val="12"/>
                <w:color w:val="auto"/>
                <w:w w:val="73"/>
              </w:rPr>
              <w:t>-----------------------------------------------------------------</w:t>
            </w:r>
          </w:p>
        </w:tc>
        <w:tc>
          <w:tcPr>
            <w:tcW w:w="3380" w:type="dxa"/>
            <w:vAlign w:val="bottom"/>
          </w:tcPr>
          <w:p>
            <w:pPr>
              <w:spacing w:after="0"/>
              <w:rPr>
                <w:sz w:val="17"/>
                <w:szCs w:val="17"/>
                <w:color w:val="auto"/>
              </w:rPr>
            </w:pP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110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(8)</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3380" w:type="dxa"/>
            <w:vAlign w:val="bottom"/>
          </w:tcPr>
          <w:p>
            <w:pPr>
              <w:spacing w:after="0"/>
              <w:rPr>
                <w:sz w:val="17"/>
                <w:szCs w:val="17"/>
                <w:color w:val="auto"/>
              </w:rPr>
            </w:pP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11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380" w:type="dxa"/>
            <w:vAlign w:val="bottom"/>
          </w:tcPr>
          <w:p>
            <w:pPr>
              <w:spacing w:after="0"/>
              <w:rPr>
                <w:sz w:val="17"/>
                <w:szCs w:val="17"/>
                <w:color w:val="auto"/>
              </w:rPr>
            </w:pP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Not Applicable.</w:t>
            </w:r>
          </w:p>
        </w:tc>
        <w:tc>
          <w:tcPr>
            <w:tcW w:w="3380" w:type="dxa"/>
            <w:vAlign w:val="bottom"/>
          </w:tcPr>
          <w:p>
            <w:pPr>
              <w:spacing w:after="0"/>
              <w:rPr>
                <w:sz w:val="17"/>
                <w:szCs w:val="17"/>
                <w:color w:val="auto"/>
              </w:rPr>
            </w:pPr>
          </w:p>
        </w:tc>
      </w:tr>
      <w:tr>
        <w:trPr>
          <w:trHeight w:val="405"/>
        </w:trPr>
        <w:tc>
          <w:tcPr>
            <w:tcW w:w="1440" w:type="dxa"/>
            <w:vAlign w:val="bottom"/>
          </w:tcPr>
          <w:p>
            <w:pPr>
              <w:jc w:val="center"/>
              <w:ind w:right="72"/>
              <w:spacing w:after="0"/>
              <w:rPr>
                <w:sz w:val="20"/>
                <w:szCs w:val="20"/>
                <w:color w:val="auto"/>
              </w:rPr>
            </w:pPr>
            <w:r>
              <w:rPr>
                <w:rFonts w:ascii="Courier New" w:cs="Courier New" w:eastAsia="Courier New" w:hAnsi="Courier New"/>
                <w:sz w:val="18"/>
                <w:szCs w:val="18"/>
                <w:color w:val="auto"/>
              </w:rPr>
              <w:t>EACH</w:t>
            </w:r>
          </w:p>
        </w:tc>
        <w:tc>
          <w:tcPr>
            <w:tcW w:w="3620" w:type="dxa"/>
            <w:vAlign w:val="bottom"/>
            <w:gridSpan w:val="2"/>
          </w:tcPr>
          <w:p>
            <w:pPr>
              <w:ind w:left="140"/>
              <w:spacing w:after="0"/>
              <w:rPr>
                <w:sz w:val="20"/>
                <w:szCs w:val="20"/>
                <w:color w:val="auto"/>
              </w:rPr>
            </w:pPr>
            <w:r>
              <w:rPr>
                <w:rFonts w:ascii="Courier New" w:cs="Courier New" w:eastAsia="Courier New" w:hAnsi="Courier New"/>
                <w:sz w:val="12"/>
                <w:szCs w:val="12"/>
                <w:color w:val="auto"/>
                <w:w w:val="73"/>
              </w:rPr>
              <w:t>-----------------------------------------------------------------</w:t>
            </w:r>
          </w:p>
        </w:tc>
        <w:tc>
          <w:tcPr>
            <w:tcW w:w="3380" w:type="dxa"/>
            <w:vAlign w:val="bottom"/>
          </w:tcPr>
          <w:p>
            <w:pPr>
              <w:spacing w:after="0"/>
              <w:rPr>
                <w:sz w:val="24"/>
                <w:szCs w:val="24"/>
                <w:color w:val="auto"/>
              </w:rPr>
            </w:pPr>
          </w:p>
        </w:tc>
      </w:tr>
      <w:tr>
        <w:trPr>
          <w:trHeight w:val="203"/>
        </w:trPr>
        <w:tc>
          <w:tcPr>
            <w:tcW w:w="1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REPORTING</w:t>
            </w:r>
          </w:p>
        </w:tc>
        <w:tc>
          <w:tcPr>
            <w:tcW w:w="110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(9)</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3380" w:type="dxa"/>
            <w:vAlign w:val="bottom"/>
          </w:tcPr>
          <w:p>
            <w:pPr>
              <w:spacing w:after="0"/>
              <w:rPr>
                <w:sz w:val="17"/>
                <w:szCs w:val="17"/>
                <w:color w:val="auto"/>
              </w:rPr>
            </w:pP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PERSON</w:t>
            </w:r>
          </w:p>
        </w:tc>
        <w:tc>
          <w:tcPr>
            <w:tcW w:w="1100" w:type="dxa"/>
            <w:vAlign w:val="bottom"/>
          </w:tcPr>
          <w:p>
            <w:pPr>
              <w:spacing w:after="0"/>
              <w:rPr>
                <w:sz w:val="17"/>
                <w:szCs w:val="17"/>
                <w:color w:val="auto"/>
              </w:rPr>
            </w:pP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Hanson Capital</w:t>
            </w:r>
          </w:p>
        </w:tc>
        <w:tc>
          <w:tcPr>
            <w:tcW w:w="3380" w:type="dxa"/>
            <w:vAlign w:val="bottom"/>
          </w:tcPr>
          <w:p>
            <w:pPr>
              <w:spacing w:after="0"/>
              <w:rPr>
                <w:sz w:val="17"/>
                <w:szCs w:val="17"/>
                <w:color w:val="auto"/>
              </w:rPr>
            </w:pP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Partners, L.L.C.</w:t>
            </w: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2,226,212 shares (6.6%)</w:t>
            </w: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John V. Hanson</w:t>
            </w: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40,260 (includes 200 shares</w:t>
            </w: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wife and 44,000 shares</w:t>
            </w: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which John V. Hanson has a right</w:t>
            </w: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to acquire)*</w:t>
            </w: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Mary Joan Boman</w:t>
            </w: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145,496 (includes 53,070 shares</w:t>
            </w: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husband, Gerald E.</w:t>
            </w: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Boman, and 44,000 shares which</w:t>
            </w: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Gerald E. Boman has the right to</w:t>
            </w: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acquire)*</w:t>
            </w: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Paul D. Hanson</w:t>
            </w: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320 shares*</w:t>
            </w: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than 1.0 percent.</w:t>
            </w:r>
          </w:p>
        </w:tc>
        <w:tc>
          <w:tcPr>
            <w:tcW w:w="3380" w:type="dxa"/>
            <w:vAlign w:val="bottom"/>
          </w:tcPr>
          <w:p>
            <w:pPr>
              <w:spacing w:after="0"/>
              <w:rPr>
                <w:sz w:val="17"/>
                <w:szCs w:val="17"/>
                <w:color w:val="auto"/>
              </w:rPr>
            </w:pPr>
          </w:p>
        </w:tc>
      </w:tr>
      <w:tr>
        <w:trPr>
          <w:trHeight w:val="405"/>
        </w:trPr>
        <w:tc>
          <w:tcPr>
            <w:tcW w:w="1440" w:type="dxa"/>
            <w:vAlign w:val="bottom"/>
          </w:tcPr>
          <w:p>
            <w:pPr>
              <w:spacing w:after="0"/>
              <w:rPr>
                <w:sz w:val="24"/>
                <w:szCs w:val="24"/>
                <w:color w:val="auto"/>
              </w:rPr>
            </w:pPr>
          </w:p>
        </w:tc>
        <w:tc>
          <w:tcPr>
            <w:tcW w:w="7000" w:type="dxa"/>
            <w:vAlign w:val="bottom"/>
            <w:gridSpan w:val="3"/>
          </w:tcPr>
          <w:p>
            <w:pPr>
              <w:ind w:left="140"/>
              <w:spacing w:after="0"/>
              <w:rPr>
                <w:sz w:val="20"/>
                <w:szCs w:val="20"/>
                <w:color w:val="auto"/>
              </w:rPr>
            </w:pPr>
            <w:r>
              <w:rPr>
                <w:rFonts w:ascii="Courier New" w:cs="Courier New" w:eastAsia="Courier New" w:hAnsi="Courier New"/>
                <w:sz w:val="18"/>
                <w:szCs w:val="18"/>
                <w:color w:val="auto"/>
                <w:w w:val="97"/>
              </w:rPr>
              <w:t>-----------------------------------------------------------------</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rPr>
              <w:t>WITH</w:t>
            </w:r>
          </w:p>
        </w:tc>
        <w:tc>
          <w:tcPr>
            <w:tcW w:w="110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(10)</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c>
          <w:tcPr>
            <w:tcW w:w="3380" w:type="dxa"/>
            <w:vAlign w:val="bottom"/>
          </w:tcPr>
          <w:p>
            <w:pPr>
              <w:spacing w:after="0"/>
              <w:rPr>
                <w:sz w:val="17"/>
                <w:szCs w:val="17"/>
                <w:color w:val="auto"/>
              </w:rPr>
            </w:pPr>
          </w:p>
        </w:tc>
      </w:tr>
    </w:tbl>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(9) above.</w:t>
      </w:r>
    </w:p>
    <w:p>
      <w:pPr>
        <w:sectPr>
          <w:pgSz w:w="11900" w:h="16838" w:orient="portrait"/>
          <w:cols w:equalWidth="0" w:num="1">
            <w:col w:w="10219"/>
          </w:cols>
          <w:pgMar w:left="240" w:top="717" w:right="1440" w:bottom="1440" w:gutter="0" w:footer="0" w:header="0"/>
        </w:sectPr>
      </w:pPr>
    </w:p>
    <w:bookmarkStart w:id="3" w:name="page4"/>
    <w:bookmarkEnd w:id="3"/>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3</w:t>
      </w:r>
    </w:p>
    <w:p>
      <w:pPr>
        <w:spacing w:after="0" w:line="4" w:lineRule="exact"/>
        <w:rPr>
          <w:sz w:val="20"/>
          <w:szCs w:val="20"/>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3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960" w:right="2939" w:hanging="952"/>
        <w:spacing w:after="0" w:line="470" w:lineRule="auto"/>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See (7) and (9) above.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jc w:val="right"/>
              <w:ind w:right="192"/>
              <w:spacing w:after="0"/>
              <w:rPr>
                <w:sz w:val="20"/>
                <w:szCs w:val="20"/>
                <w:color w:val="auto"/>
              </w:rPr>
            </w:pPr>
            <w:r>
              <w:rPr>
                <w:rFonts w:ascii="Courier New" w:cs="Courier New" w:eastAsia="Courier New" w:hAnsi="Courier New"/>
                <w:sz w:val="18"/>
                <w:szCs w:val="18"/>
                <w:color w:val="auto"/>
                <w:w w:val="92"/>
              </w:rPr>
              <w:t>(12)</w:t>
            </w:r>
          </w:p>
        </w:tc>
        <w:tc>
          <w:tcPr>
            <w:tcW w:w="7740" w:type="dxa"/>
            <w:vAlign w:val="bottom"/>
          </w:tcPr>
          <w:p>
            <w:pPr>
              <w:ind w:left="260"/>
              <w:spacing w:after="0"/>
              <w:rPr>
                <w:sz w:val="20"/>
                <w:szCs w:val="20"/>
                <w:color w:val="auto"/>
              </w:rPr>
            </w:pPr>
            <w:r>
              <w:rPr>
                <w:rFonts w:ascii="Courier New" w:cs="Courier New" w:eastAsia="Courier New" w:hAnsi="Courier New"/>
                <w:sz w:val="18"/>
                <w:szCs w:val="18"/>
                <w:color w:val="auto"/>
                <w:w w:val="97"/>
              </w:rPr>
              <w:t>Check if the Aggregate Amount in Row (11) Excludes Certain Shares   [ ]</w:t>
            </w:r>
          </w:p>
        </w:tc>
      </w:tr>
      <w:tr>
        <w:trPr>
          <w:trHeight w:val="203"/>
        </w:trPr>
        <w:tc>
          <w:tcPr>
            <w:tcW w:w="700" w:type="dxa"/>
            <w:vAlign w:val="bottom"/>
          </w:tcPr>
          <w:p>
            <w:pPr>
              <w:spacing w:after="0"/>
              <w:rPr>
                <w:sz w:val="17"/>
                <w:szCs w:val="17"/>
                <w:color w:val="auto"/>
              </w:rPr>
            </w:pPr>
          </w:p>
        </w:tc>
        <w:tc>
          <w:tcPr>
            <w:tcW w:w="7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(See Instructions)</w:t>
            </w:r>
          </w:p>
        </w:tc>
      </w:tr>
    </w:tbl>
    <w:p>
      <w:pPr>
        <w:spacing w:after="0" w:line="200" w:lineRule="exact"/>
        <w:rPr>
          <w:sz w:val="20"/>
          <w:szCs w:val="20"/>
          <w:color w:val="auto"/>
        </w:rPr>
      </w:pPr>
    </w:p>
    <w:p>
      <w:pPr>
        <w:spacing w:after="0" w:line="209" w:lineRule="exact"/>
        <w:rPr>
          <w:sz w:val="20"/>
          <w:szCs w:val="20"/>
          <w:color w:val="auto"/>
        </w:rPr>
      </w:pPr>
    </w:p>
    <w:p>
      <w:pPr>
        <w:ind w:left="960" w:right="3999" w:hanging="952"/>
        <w:spacing w:after="0" w:line="470" w:lineRule="auto"/>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See (7) and (9) above.</w:t>
      </w:r>
    </w:p>
    <w:p>
      <w:pPr>
        <w:spacing w:after="0" w:line="214"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(14) Type of Reporting Person (See Instructions)</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Hanson Capital Partners, L.L.C., CO.</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John V. Hanson, IN; Mary Joan Boman, IN; Paul D. Hanson, IN</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SECURITY AND ISSUER</w:t>
      </w:r>
    </w:p>
    <w:p>
      <w:pPr>
        <w:spacing w:after="0" w:line="207" w:lineRule="exact"/>
        <w:rPr>
          <w:sz w:val="20"/>
          <w:szCs w:val="20"/>
          <w:color w:val="auto"/>
        </w:rPr>
      </w:pPr>
    </w:p>
    <w:p>
      <w:pPr>
        <w:ind w:right="2419" w:firstLine="948"/>
        <w:spacing w:after="0" w:line="275" w:lineRule="auto"/>
        <w:rPr>
          <w:sz w:val="20"/>
          <w:szCs w:val="20"/>
          <w:color w:val="auto"/>
        </w:rPr>
      </w:pPr>
      <w:r>
        <w:rPr>
          <w:rFonts w:ascii="Courier New" w:cs="Courier New" w:eastAsia="Courier New" w:hAnsi="Courier New"/>
          <w:sz w:val="16"/>
          <w:szCs w:val="16"/>
          <w:color w:val="auto"/>
        </w:rPr>
        <w:t>The class of securities to which this statement relates is Common Stock, $.50 par value (the "COMMON STOCK"), of Winnebago Industries, Inc. ("WINNEBAGO"), an Iowa corporation. The address of Winnebago's principal executive offices is P.O. Box 152, Forest City, Iowa 50436.</w:t>
      </w:r>
    </w:p>
    <w:p>
      <w:pPr>
        <w:spacing w:after="0" w:line="37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AND BACKGROUND</w:t>
      </w:r>
    </w:p>
    <w:p>
      <w:pPr>
        <w:spacing w:after="0" w:line="207" w:lineRule="exact"/>
        <w:rPr>
          <w:sz w:val="20"/>
          <w:szCs w:val="20"/>
          <w:color w:val="auto"/>
        </w:rPr>
      </w:pPr>
    </w:p>
    <w:p>
      <w:pPr>
        <w:ind w:right="1779" w:firstLine="948"/>
        <w:spacing w:after="0" w:line="268" w:lineRule="auto"/>
        <w:rPr>
          <w:sz w:val="20"/>
          <w:szCs w:val="20"/>
          <w:color w:val="auto"/>
        </w:rPr>
      </w:pPr>
      <w:r>
        <w:rPr>
          <w:rFonts w:ascii="Courier New" w:cs="Courier New" w:eastAsia="Courier New" w:hAnsi="Courier New"/>
          <w:sz w:val="16"/>
          <w:szCs w:val="16"/>
          <w:color w:val="auto"/>
        </w:rPr>
        <w:t>This statement is being filed by Hanson Capital Partners, L.L.C., John V. Hanson, Mary Joan Boman and Paul D. Hanson. Hanson Capital Partners, L.L.C. ("HCP") is a Delaware limited liability company which is currently comprised of the Luise V. Hanson Qualified Terminable Interest Property Marital Deduction Trust (the "QTIP TRUST"), the Luise V. Hanson Revocable Trust dated September 22, 1984 (the "REVOCABLE TRUST") and John V. Hanson, Mary Joan Boman and Paul D. Hanson, each in their individual capacity. John V. Hanson, Mary Joan Boman and Paul D. Hanson are the Managing Members of HCP. The business address for HCP is c/o Mr. John V. Hanson, 7019 SE Harbor Circle, Stuart, Florida 34996. The business address for the QTIP Trust is c/o Ms. Linda K. Johnson, Manufacturers Bank and Trust Company, 245 East J Street, P.O. Box 450, Forest City, Iowa</w:t>
      </w:r>
    </w:p>
    <w:p>
      <w:pPr>
        <w:spacing w:after="0" w:line="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50436. The business address for the Revocable Trust is c/o Mr. John V. Hanson, 7019 SE Harbor Circle, Stuart, Florida 34996. The general purpose of HCP is to provide a business structure for the members of the family of Luise V. Hanson and trusts to enable them to pool and invest assets under consolidated ownership and management. Mr. John V. Hanson is retired and his residence address is 7019 SE Harbor Circle, Stuart, Florida 34996. Mrs. Mary Joan Boman is retired and her residence address is 743 S.W. Thornhill Lane, Palm City, Florida 34990. Mr. Paul D. Hanson is retired and his residence address is 60 W. Pelican Street, #106, Naples, Florida 34113.</w:t>
      </w:r>
    </w:p>
    <w:p>
      <w:pPr>
        <w:sectPr>
          <w:pgSz w:w="11900" w:h="16838" w:orient="portrait"/>
          <w:cols w:equalWidth="0" w:num="1">
            <w:col w:w="10219"/>
          </w:cols>
          <w:pgMar w:left="240" w:top="717" w:right="1440" w:bottom="1440" w:gutter="0" w:footer="0" w:header="0"/>
        </w:sectPr>
      </w:pPr>
    </w:p>
    <w:bookmarkStart w:id="4" w:name="page5"/>
    <w:bookmarkEnd w:id="4"/>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John V. Hanson, Mary Joan Boman, Paul D. Hanson and Bessemer Trust Company, N.A. are co-trustees under the Revocable Trust which has a 64.6% membership interest in HCP. John V. Hanson, Mary Joan Boman, Paul D. Hanson and Bessemer Trust Company, N.A. are co-trustees under the QTIP Trust which has a 34.8% membership interest in HCP. John V. Hanson, Mary Joan Boman and Paul D. Hanson each have, in their individual capacity, a .2% membership interest in HCP.</w:t>
      </w:r>
    </w:p>
    <w:p>
      <w:pPr>
        <w:spacing w:after="0" w:line="211"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None of HCP, John V. Hanson, Mary Joan Boman and Paul D. Hanson has, during the last five years, been convicted in a criminal proceeding (excluding traffic violations or similar misdemeanors). Further, none of HCP, John V. Hanson, Mary Joan Boman and Paul D. Hanson has, during the last five years, been a party to a civil proceeding of a judicial or administrative body of competent jurisdiction which resulted in any of the foregoing being subject to a judgment, decree or final order enjoining future violations of, or prohibiting or mandating activities subject to, federal or state securities law or finding any violation with respect to such laws.</w:t>
      </w:r>
    </w:p>
    <w:p>
      <w:pPr>
        <w:spacing w:after="0" w:line="208"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John V. Hanson, Mary Joan Boman and Paul D. Hanson are United States</w:t>
      </w:r>
    </w:p>
    <w:p>
      <w:pPr>
        <w:spacing w:after="0" w:line="238" w:lineRule="auto"/>
        <w:rPr>
          <w:sz w:val="20"/>
          <w:szCs w:val="20"/>
          <w:color w:val="auto"/>
        </w:rPr>
      </w:pPr>
      <w:r>
        <w:rPr>
          <w:rFonts w:ascii="Courier New" w:cs="Courier New" w:eastAsia="Courier New" w:hAnsi="Courier New"/>
          <w:sz w:val="18"/>
          <w:szCs w:val="18"/>
          <w:color w:val="auto"/>
        </w:rPr>
        <w:t>citizens.</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SOURCE AND AMOUNT OF FUNDS OR OTHER CONSIDERATION</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NOT APPLICABLE. This amendment is being filed to report a change in the direct and indirect beneficial ownership by HCP of an aggregate of 70,000 shares of Common Stock as a result of the sale by HCP on September 9, 2004 of 20,000 shares of Common Stock through a broker pursuant to the Rule 10b5-1 Trading Plan (the "TRADING PLAN") with Bessemer Trust Company of Florida; the sale by HCP on September 10, 2004 of 30,000 shares of Common Stock through a broker pursuant to the Trading Plan; and the sale by HCP on September 13, 2004 of 20,000 shares of Common Stock through a broker pursuant to the Trading Plan. Reference is made to Item 4 for a description of the transactions.</w:t>
      </w:r>
    </w:p>
    <w:p>
      <w:pPr>
        <w:spacing w:after="0" w:line="200" w:lineRule="exact"/>
        <w:rPr>
          <w:sz w:val="20"/>
          <w:szCs w:val="20"/>
          <w:color w:val="auto"/>
        </w:rPr>
      </w:pPr>
    </w:p>
    <w:p>
      <w:pPr>
        <w:spacing w:after="0" w:line="21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PURPOSE OF TRANSACTION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On September 9, 2004, HCP sold 20,000 shares of Common Stock through a</w:t>
      </w:r>
    </w:p>
    <w:p>
      <w:pPr>
        <w:spacing w:after="0" w:line="238" w:lineRule="auto"/>
        <w:rPr>
          <w:sz w:val="20"/>
          <w:szCs w:val="20"/>
          <w:color w:val="auto"/>
        </w:rPr>
      </w:pPr>
      <w:r>
        <w:rPr>
          <w:rFonts w:ascii="Courier New" w:cs="Courier New" w:eastAsia="Courier New" w:hAnsi="Courier New"/>
          <w:sz w:val="18"/>
          <w:szCs w:val="18"/>
          <w:color w:val="auto"/>
        </w:rPr>
        <w:t>broker pursuant to the Trading Plan for an approximate purchase price of</w:t>
      </w:r>
    </w:p>
    <w:p>
      <w:pPr>
        <w:spacing w:after="0"/>
        <w:rPr>
          <w:sz w:val="20"/>
          <w:szCs w:val="20"/>
          <w:color w:val="auto"/>
        </w:rPr>
      </w:pPr>
      <w:r>
        <w:rPr>
          <w:rFonts w:ascii="Courier New" w:cs="Courier New" w:eastAsia="Courier New" w:hAnsi="Courier New"/>
          <w:sz w:val="18"/>
          <w:szCs w:val="18"/>
          <w:color w:val="auto"/>
        </w:rPr>
        <w:t>$680,273 or an average price per share of $34.0136; on September 10, 2004, HCP</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sold 30,000 shares of Common Stock through a broker pursuant to the Trading Plan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an approximate purchase price of $1,030,208 or an average price per share of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$34.3403; and on September 13, 2004, HCP sold 20,000 shares of Common Stock</w:t>
      </w:r>
    </w:p>
    <w:p>
      <w:pPr>
        <w:spacing w:after="0" w:line="238" w:lineRule="auto"/>
        <w:rPr>
          <w:sz w:val="20"/>
          <w:szCs w:val="20"/>
          <w:color w:val="auto"/>
        </w:rPr>
      </w:pPr>
      <w:r>
        <w:rPr>
          <w:rFonts w:ascii="Courier New" w:cs="Courier New" w:eastAsia="Courier New" w:hAnsi="Courier New"/>
          <w:sz w:val="18"/>
          <w:szCs w:val="18"/>
          <w:color w:val="auto"/>
        </w:rPr>
        <w:t>through a broker pursuant to the Trading Plan for an approximate purchase price</w:t>
      </w:r>
    </w:p>
    <w:p>
      <w:pPr>
        <w:spacing w:after="0"/>
        <w:rPr>
          <w:sz w:val="20"/>
          <w:szCs w:val="20"/>
          <w:color w:val="auto"/>
        </w:rPr>
      </w:pPr>
      <w:r>
        <w:rPr>
          <w:rFonts w:ascii="Courier New" w:cs="Courier New" w:eastAsia="Courier New" w:hAnsi="Courier New"/>
          <w:sz w:val="18"/>
          <w:szCs w:val="18"/>
          <w:color w:val="auto"/>
        </w:rPr>
        <w:t>of $696,319 or an average price per share of $34.8160.</w:t>
      </w:r>
    </w:p>
    <w:p>
      <w:pPr>
        <w:spacing w:after="0" w:line="206"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The QTIP Trust, the Revocable Trust and John V. Hanson, Mary Joan Boman and Paul D. Hanson, each in their individual capacity, are the only members of HCP.</w:t>
      </w:r>
    </w:p>
    <w:p>
      <w:pPr>
        <w:sectPr>
          <w:pgSz w:w="11900" w:h="16838" w:orient="portrait"/>
          <w:cols w:equalWidth="0" w:num="1">
            <w:col w:w="10219"/>
          </w:cols>
          <w:pgMar w:left="240" w:top="717" w:right="1440" w:bottom="1440" w:gutter="0" w:footer="0" w:header="0"/>
        </w:sectPr>
      </w:pPr>
    </w:p>
    <w:bookmarkStart w:id="5" w:name="page6"/>
    <w:bookmarkEnd w:id="5"/>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2319" w:firstLine="948"/>
        <w:spacing w:after="0" w:line="235" w:lineRule="auto"/>
        <w:rPr>
          <w:sz w:val="20"/>
          <w:szCs w:val="20"/>
          <w:color w:val="auto"/>
        </w:rPr>
      </w:pPr>
      <w:r>
        <w:rPr>
          <w:rFonts w:ascii="Courier New" w:cs="Courier New" w:eastAsia="Courier New" w:hAnsi="Courier New"/>
          <w:sz w:val="18"/>
          <w:szCs w:val="18"/>
          <w:color w:val="auto"/>
        </w:rPr>
        <w:t>The undersigned do not presently have any plans or proposals which relate to or would result in:</w:t>
      </w:r>
    </w:p>
    <w:p>
      <w:pPr>
        <w:spacing w:after="0" w:line="208" w:lineRule="exact"/>
        <w:rPr>
          <w:sz w:val="20"/>
          <w:szCs w:val="20"/>
          <w:color w:val="auto"/>
        </w:rPr>
      </w:pPr>
    </w:p>
    <w:p>
      <w:pPr>
        <w:ind w:left="960" w:right="1779" w:hanging="952"/>
        <w:spacing w:after="0" w:line="272" w:lineRule="auto"/>
        <w:tabs>
          <w:tab w:leader="none" w:pos="9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acquisition by any person of additional securities of Winnebago, or the disposition of securities of Winnebago, other than the acquisition or disposition of membership or economic interests in HCP or the disposition by HCP of Winnebago Common Stock in accordance with the Rule 10b5-1 Trading Plan and after termination of such Plan from time to time when believed to be in the best interests of HCP's members;</w:t>
      </w:r>
    </w:p>
    <w:p>
      <w:pPr>
        <w:spacing w:after="0" w:line="185" w:lineRule="exact"/>
        <w:rPr>
          <w:rFonts w:ascii="Courier New" w:cs="Courier New" w:eastAsia="Courier New" w:hAnsi="Courier New"/>
          <w:sz w:val="16"/>
          <w:szCs w:val="16"/>
          <w:color w:val="auto"/>
        </w:rPr>
      </w:pPr>
    </w:p>
    <w:p>
      <w:pPr>
        <w:ind w:left="960" w:right="2519" w:hanging="952"/>
        <w:spacing w:after="0" w:line="236"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extraordinary corporate transaction, such as a merger, reorganization or liquidation, involving Winnebago or any of its subsidiaries;</w:t>
      </w:r>
    </w:p>
    <w:p>
      <w:pPr>
        <w:spacing w:after="0" w:line="208" w:lineRule="exact"/>
        <w:rPr>
          <w:rFonts w:ascii="Courier New" w:cs="Courier New" w:eastAsia="Courier New" w:hAnsi="Courier New"/>
          <w:sz w:val="18"/>
          <w:szCs w:val="18"/>
          <w:color w:val="auto"/>
        </w:rPr>
      </w:pPr>
    </w:p>
    <w:p>
      <w:pPr>
        <w:ind w:left="960" w:right="1999" w:hanging="952"/>
        <w:spacing w:after="0" w:line="235"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sale or transfer of a material amount of assets of Winnebago or any of its subsidiaries;</w:t>
      </w:r>
    </w:p>
    <w:p>
      <w:pPr>
        <w:spacing w:after="0" w:line="208" w:lineRule="exact"/>
        <w:rPr>
          <w:rFonts w:ascii="Courier New" w:cs="Courier New" w:eastAsia="Courier New" w:hAnsi="Courier New"/>
          <w:sz w:val="18"/>
          <w:szCs w:val="18"/>
          <w:color w:val="auto"/>
        </w:rPr>
      </w:pPr>
    </w:p>
    <w:p>
      <w:pPr>
        <w:ind w:left="960" w:right="2199" w:hanging="952"/>
        <w:spacing w:after="0" w:line="279" w:lineRule="auto"/>
        <w:tabs>
          <w:tab w:leader="none" w:pos="9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change in the present board of directors or management of Winnebago, including any plans or proposals to change the number or term of directors or to fill any existing vacancies on the board;</w:t>
      </w:r>
    </w:p>
    <w:p>
      <w:pPr>
        <w:spacing w:after="0" w:line="178" w:lineRule="exact"/>
        <w:rPr>
          <w:rFonts w:ascii="Courier New" w:cs="Courier New" w:eastAsia="Courier New" w:hAnsi="Courier New"/>
          <w:sz w:val="16"/>
          <w:szCs w:val="16"/>
          <w:color w:val="auto"/>
        </w:rPr>
      </w:pPr>
    </w:p>
    <w:p>
      <w:pPr>
        <w:ind w:left="960" w:right="1779" w:hanging="952"/>
        <w:spacing w:after="0" w:line="235"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material change in the present capitalization or dividend policy of Winnebago;</w:t>
      </w:r>
    </w:p>
    <w:p>
      <w:pPr>
        <w:spacing w:after="0" w:line="208" w:lineRule="exact"/>
        <w:rPr>
          <w:rFonts w:ascii="Courier New" w:cs="Courier New" w:eastAsia="Courier New" w:hAnsi="Courier New"/>
          <w:sz w:val="18"/>
          <w:szCs w:val="18"/>
          <w:color w:val="auto"/>
        </w:rPr>
      </w:pPr>
    </w:p>
    <w:p>
      <w:pPr>
        <w:ind w:left="960" w:right="2739" w:hanging="952"/>
        <w:spacing w:after="0" w:line="235"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material change in Winnebago's business or corporate structure;</w:t>
      </w:r>
    </w:p>
    <w:p>
      <w:pPr>
        <w:spacing w:after="0" w:line="208" w:lineRule="exact"/>
        <w:rPr>
          <w:rFonts w:ascii="Courier New" w:cs="Courier New" w:eastAsia="Courier New" w:hAnsi="Courier New"/>
          <w:sz w:val="18"/>
          <w:szCs w:val="18"/>
          <w:color w:val="auto"/>
        </w:rPr>
      </w:pPr>
    </w:p>
    <w:p>
      <w:pPr>
        <w:ind w:left="960" w:right="1779" w:hanging="952"/>
        <w:spacing w:after="0" w:line="236"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Winnebago's charter, bylaws or instruments corresponding thereto or other actions which may impede the acquisition of control of Winnebago by any person;</w:t>
      </w:r>
    </w:p>
    <w:p>
      <w:pPr>
        <w:spacing w:after="0" w:line="208" w:lineRule="exact"/>
        <w:rPr>
          <w:rFonts w:ascii="Courier New" w:cs="Courier New" w:eastAsia="Courier New" w:hAnsi="Courier New"/>
          <w:sz w:val="18"/>
          <w:szCs w:val="18"/>
          <w:color w:val="auto"/>
        </w:rPr>
      </w:pPr>
    </w:p>
    <w:p>
      <w:pPr>
        <w:ind w:left="960" w:right="1779" w:hanging="952"/>
        <w:spacing w:after="0" w:line="237"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Causing a class of securities of Winnebago to be delisted from a national securities exchange or to cease to be authorized to be quoted in an inter-dealer quotation system of a registered national securities association;</w:t>
      </w:r>
    </w:p>
    <w:p>
      <w:pPr>
        <w:spacing w:after="0" w:line="207" w:lineRule="exact"/>
        <w:rPr>
          <w:rFonts w:ascii="Courier New" w:cs="Courier New" w:eastAsia="Courier New" w:hAnsi="Courier New"/>
          <w:sz w:val="18"/>
          <w:szCs w:val="18"/>
          <w:color w:val="auto"/>
        </w:rPr>
      </w:pPr>
    </w:p>
    <w:p>
      <w:pPr>
        <w:ind w:left="960" w:right="1779" w:hanging="952"/>
        <w:spacing w:after="0" w:line="290" w:lineRule="auto"/>
        <w:tabs>
          <w:tab w:leader="none" w:pos="9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class of equity securities of Winnebago becoming eligible for termination of registration pursuant to Section 12(g)(4) of the Act; or</w:t>
      </w:r>
    </w:p>
    <w:p>
      <w:pPr>
        <w:spacing w:after="0" w:line="164" w:lineRule="exact"/>
        <w:rPr>
          <w:rFonts w:ascii="Courier New" w:cs="Courier New" w:eastAsia="Courier New" w:hAnsi="Courier New"/>
          <w:sz w:val="16"/>
          <w:szCs w:val="16"/>
          <w:color w:val="auto"/>
        </w:rPr>
      </w:pPr>
    </w:p>
    <w:p>
      <w:pPr>
        <w:ind w:left="960" w:hanging="952"/>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action similar to any of those enumerated above.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spacing w:after="0" w:line="207" w:lineRule="exact"/>
        <w:rPr>
          <w:sz w:val="20"/>
          <w:szCs w:val="20"/>
          <w:color w:val="auto"/>
        </w:rPr>
      </w:pPr>
    </w:p>
    <w:p>
      <w:pPr>
        <w:ind w:left="960" w:right="1779" w:hanging="952"/>
        <w:spacing w:after="0" w:line="237"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HCP is the beneficial owner of 2,226,212 shares of Common Stock, which represent approximately 6.6% of Winnebago's issued and outstanding Common Stock. The Revocable Trust, of which John V. Hanson, Mary Joan Boman and Paul D. Hanson (each an "INDIVIDUAL TRUSTEE" and collectively, the "INDIVIDUAL TRUSTEES") and Bessemer Trust Company (the "CORPORATE TRUSTEE") are co-trustees, is a member of HCP and has a 64.6% membership interest in HCP.</w:t>
      </w:r>
    </w:p>
    <w:p>
      <w:pPr>
        <w:spacing w:after="0" w:line="211" w:lineRule="exact"/>
        <w:rPr>
          <w:rFonts w:ascii="Courier New" w:cs="Courier New" w:eastAsia="Courier New" w:hAnsi="Courier New"/>
          <w:sz w:val="18"/>
          <w:szCs w:val="18"/>
          <w:color w:val="auto"/>
        </w:rPr>
      </w:pPr>
    </w:p>
    <w:p>
      <w:pPr>
        <w:ind w:left="960" w:right="1779" w:hanging="952"/>
        <w:spacing w:after="0" w:line="236"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virtue of the Revocable Trust's 64.6% membership interest in HCP, a majority of the Individual Trustees together with the Corporate Trustee have sole voting power with</w:t>
      </w:r>
    </w:p>
    <w:p>
      <w:pPr>
        <w:sectPr>
          <w:pgSz w:w="11900" w:h="16838" w:orient="portrait"/>
          <w:cols w:equalWidth="0" w:num="1">
            <w:col w:w="10219"/>
          </w:cols>
          <w:pgMar w:left="240" w:top="717" w:right="1440" w:bottom="1440" w:gutter="0" w:footer="0" w:header="0"/>
        </w:sectPr>
      </w:pPr>
    </w:p>
    <w:bookmarkStart w:id="6" w:name="page7"/>
    <w:bookmarkEnd w:id="6"/>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960" w:right="1879"/>
        <w:spacing w:after="0" w:line="272" w:lineRule="auto"/>
        <w:rPr>
          <w:sz w:val="20"/>
          <w:szCs w:val="20"/>
          <w:color w:val="auto"/>
        </w:rPr>
      </w:pPr>
      <w:r>
        <w:rPr>
          <w:rFonts w:ascii="Courier New" w:cs="Courier New" w:eastAsia="Courier New" w:hAnsi="Courier New"/>
          <w:sz w:val="16"/>
          <w:szCs w:val="16"/>
          <w:color w:val="auto"/>
        </w:rPr>
        <w:t>respect to 2,226,212 shares of Common Stock of which HCP is the beneficial owner. A majority of the Individual Trustees together with the Corporate Trustee have sole dispositive power with respect to the 2,226,212 shares of Common Stock of which HCP is the beneficial owner, except that disposition of all or substantially all of those shares requires the unanimous approval of all members of HCP.</w:t>
      </w:r>
    </w:p>
    <w:p>
      <w:pPr>
        <w:spacing w:after="0" w:line="186" w:lineRule="exact"/>
        <w:rPr>
          <w:sz w:val="20"/>
          <w:szCs w:val="20"/>
          <w:color w:val="auto"/>
        </w:rPr>
      </w:pPr>
    </w:p>
    <w:p>
      <w:pPr>
        <w:ind w:left="960" w:right="1879" w:hanging="952"/>
        <w:spacing w:after="0" w:line="238"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for (i) the transactions described in Item 4, (ii) the sale of 61,800 shares of Common Stock by HCP on September 7, 2004, as reported on Schedule 13D (Amendment No. 45), (iii) the sale of 30,000 shares of Common Stock by HCP on August 20, 2004, as reported on Schedule 13D (Amendment No. 44), (iv) the sale of an aggregate of 65,000 shares of Common Stock by HCP on August 17, 2004 and August 18, 2004, as reported on Schedule 13D (Amendment No. 43), (v) the sale of an aggregate of 43,200 shares of Common Stock by HCP on July 29, 2004 and July 30, 2004, as reported on Schedule 13D (Amendment No. 41), (vi) the sale of an aggregate of 79,900 shares of Common Stock by HCP on July 27, 2004 and July 28, 2004, as reported on Schedule 13D (Amendment No. 40), and (vii) the sale of an aggregate of 37,200 shares of Common Stock by HCP on June 29, 2004 and July 23, 2004, as reported on Schedule 13D (Amendment No. 39); none of HCP, John V. Hanson, Mary Joan Boman or Paul D. Hanson has had any transactions in Common Stock during the past 60 days.</w:t>
      </w:r>
    </w:p>
    <w:p>
      <w:pPr>
        <w:spacing w:after="0" w:line="202"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9" w:lineRule="exact"/>
        <w:rPr>
          <w:sz w:val="20"/>
          <w:szCs w:val="20"/>
          <w:color w:val="auto"/>
        </w:rPr>
      </w:pPr>
    </w:p>
    <w:p>
      <w:pPr>
        <w:ind w:left="960" w:right="3579" w:hanging="947"/>
        <w:spacing w:after="0" w:line="290" w:lineRule="auto"/>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CONTRACTS, ARRANGEMENTS, UNDERSTANDINGS OR RELATIONSHIPS WITH RESPECT TO SECURITIES OF THE ISSUER</w:t>
      </w:r>
    </w:p>
    <w:p>
      <w:pPr>
        <w:spacing w:after="0" w:line="170"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Hanson Capital Partners L.L.C. Limited Liability Company Agreement provides that members of HCP shall manage HCP and any action taken by the members under such Agreement requires the consent of members representing a majority of the member percentage interests, except that certain actions, such as the disposition of all or substantially all of HCP's assets, requires the unanimous approval of all members of HCP.</w:t>
      </w:r>
    </w:p>
    <w:p>
      <w:pPr>
        <w:spacing w:after="0" w:line="210"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On August 12, 2004, HCP entered into the Trading Plan with Bessemer Trust Company. HCP intends to sell up to 450,000 shares of Common Stock at a minimum price of $30.00 per share pursuant to the Trading Plan. The Trading Plan terminates on July 31, 2005, unless terminated earlier in accordance with its terms. HCP entered into the Trading Plan as a continuing part of its investment portfolio diversification plan.</w:t>
      </w:r>
    </w:p>
    <w:p>
      <w:pPr>
        <w:spacing w:after="0" w:line="200" w:lineRule="exact"/>
        <w:rPr>
          <w:sz w:val="20"/>
          <w:szCs w:val="20"/>
          <w:color w:val="auto"/>
        </w:rPr>
      </w:pPr>
    </w:p>
    <w:p>
      <w:pPr>
        <w:spacing w:after="0" w:line="20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MATERIAL TO BE FILED AS EXHIBITS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None.</w:t>
      </w:r>
    </w:p>
    <w:p>
      <w:pPr>
        <w:sectPr>
          <w:pgSz w:w="11900" w:h="16838" w:orient="portrait"/>
          <w:cols w:equalWidth="0" w:num="1">
            <w:col w:w="10219"/>
          </w:cols>
          <w:pgMar w:left="240" w:top="717" w:right="1440" w:bottom="1440" w:gutter="0" w:footer="0" w:header="0"/>
        </w:sectPr>
      </w:pPr>
    </w:p>
    <w:bookmarkStart w:id="7" w:name="page8"/>
    <w:bookmarkEnd w:id="7"/>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60" w:type="dxa"/>
            <w:vAlign w:val="bottom"/>
          </w:tcPr>
          <w:p>
            <w:pPr>
              <w:spacing w:after="0"/>
              <w:rPr>
                <w:sz w:val="17"/>
                <w:szCs w:val="17"/>
                <w:color w:val="auto"/>
              </w:rPr>
            </w:pPr>
          </w:p>
        </w:tc>
        <w:tc>
          <w:tcPr>
            <w:tcW w:w="4480" w:type="dxa"/>
            <w:vAlign w:val="bottom"/>
          </w:tcPr>
          <w:p>
            <w:pPr>
              <w:ind w:left="160"/>
              <w:spacing w:after="0"/>
              <w:rPr>
                <w:sz w:val="20"/>
                <w:szCs w:val="20"/>
                <w:color w:val="auto"/>
              </w:rPr>
            </w:pPr>
            <w:r>
              <w:rPr>
                <w:rFonts w:ascii="Courier New" w:cs="Courier New" w:eastAsia="Courier New" w:hAnsi="Courier New"/>
                <w:sz w:val="18"/>
                <w:szCs w:val="18"/>
                <w:color w:val="auto"/>
              </w:rPr>
              <w:t>HANSON CAPITAL PARTNERS, L.L.C.</w:t>
            </w:r>
          </w:p>
        </w:tc>
      </w:tr>
      <w:tr>
        <w:trPr>
          <w:trHeight w:val="608"/>
        </w:trPr>
        <w:tc>
          <w:tcPr>
            <w:tcW w:w="4160" w:type="dxa"/>
            <w:vAlign w:val="bottom"/>
          </w:tcPr>
          <w:p>
            <w:pPr>
              <w:ind w:left="960"/>
              <w:spacing w:after="0"/>
              <w:rPr>
                <w:sz w:val="20"/>
                <w:szCs w:val="20"/>
                <w:color w:val="auto"/>
              </w:rPr>
            </w:pPr>
            <w:r>
              <w:rPr>
                <w:rFonts w:ascii="Courier New" w:cs="Courier New" w:eastAsia="Courier New" w:hAnsi="Courier New"/>
                <w:sz w:val="18"/>
                <w:szCs w:val="18"/>
                <w:color w:val="auto"/>
              </w:rPr>
              <w:t>September 14, 2004</w:t>
            </w:r>
          </w:p>
        </w:tc>
        <w:tc>
          <w:tcPr>
            <w:tcW w:w="4480" w:type="dxa"/>
            <w:vAlign w:val="bottom"/>
          </w:tcPr>
          <w:p>
            <w:pPr>
              <w:ind w:left="160"/>
              <w:spacing w:after="0"/>
              <w:rPr>
                <w:sz w:val="20"/>
                <w:szCs w:val="20"/>
                <w:color w:val="auto"/>
              </w:rPr>
            </w:pPr>
            <w:r>
              <w:rPr>
                <w:rFonts w:ascii="Courier New" w:cs="Courier New" w:eastAsia="Courier New" w:hAnsi="Courier New"/>
                <w:sz w:val="18"/>
                <w:szCs w:val="18"/>
                <w:color w:val="auto"/>
              </w:rPr>
              <w:t>/s/ John V. Hanson</w:t>
            </w:r>
          </w:p>
        </w:tc>
      </w:tr>
      <w:tr>
        <w:trPr>
          <w:trHeight w:val="203"/>
        </w:trPr>
        <w:tc>
          <w:tcPr>
            <w:tcW w:w="4160" w:type="dxa"/>
            <w:vAlign w:val="bottom"/>
          </w:tcPr>
          <w:p>
            <w:pPr>
              <w:jc w:val="center"/>
              <w:ind w:right="52"/>
              <w:spacing w:after="0" w:line="203" w:lineRule="exact"/>
              <w:rPr>
                <w:sz w:val="20"/>
                <w:szCs w:val="20"/>
                <w:color w:val="auto"/>
              </w:rPr>
            </w:pPr>
            <w:r>
              <w:rPr>
                <w:rFonts w:ascii="Courier New" w:cs="Courier New" w:eastAsia="Courier New" w:hAnsi="Courier New"/>
                <w:sz w:val="18"/>
                <w:szCs w:val="18"/>
                <w:color w:val="auto"/>
                <w:w w:val="97"/>
              </w:rPr>
              <w:t>- ------------------------------------</w:t>
            </w:r>
          </w:p>
        </w:tc>
        <w:tc>
          <w:tcPr>
            <w:tcW w:w="44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4160" w:type="dxa"/>
            <w:vAlign w:val="bottom"/>
          </w:tcPr>
          <w:p>
            <w:pPr>
              <w:jc w:val="center"/>
              <w:ind w:right="52"/>
              <w:spacing w:after="0" w:line="203" w:lineRule="exact"/>
              <w:rPr>
                <w:sz w:val="20"/>
                <w:szCs w:val="20"/>
                <w:color w:val="auto"/>
              </w:rPr>
            </w:pPr>
            <w:r>
              <w:rPr>
                <w:rFonts w:ascii="Courier New" w:cs="Courier New" w:eastAsia="Courier New" w:hAnsi="Courier New"/>
                <w:sz w:val="18"/>
                <w:szCs w:val="18"/>
                <w:color w:val="auto"/>
                <w:w w:val="95"/>
              </w:rPr>
              <w:t>(Date)</w:t>
            </w:r>
          </w:p>
        </w:tc>
        <w:tc>
          <w:tcPr>
            <w:tcW w:w="4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John V. Hanson, as Managing Director</w:t>
            </w:r>
          </w:p>
        </w:tc>
      </w:tr>
      <w:tr>
        <w:trPr>
          <w:trHeight w:val="810"/>
        </w:trPr>
        <w:tc>
          <w:tcPr>
            <w:tcW w:w="4160" w:type="dxa"/>
            <w:vAlign w:val="bottom"/>
          </w:tcPr>
          <w:p>
            <w:pPr>
              <w:ind w:left="960"/>
              <w:spacing w:after="0"/>
              <w:rPr>
                <w:sz w:val="20"/>
                <w:szCs w:val="20"/>
                <w:color w:val="auto"/>
              </w:rPr>
            </w:pPr>
            <w:r>
              <w:rPr>
                <w:rFonts w:ascii="Courier New" w:cs="Courier New" w:eastAsia="Courier New" w:hAnsi="Courier New"/>
                <w:sz w:val="18"/>
                <w:szCs w:val="18"/>
                <w:color w:val="auto"/>
              </w:rPr>
              <w:t>September 14, 2004</w:t>
            </w:r>
          </w:p>
        </w:tc>
        <w:tc>
          <w:tcPr>
            <w:tcW w:w="4480" w:type="dxa"/>
            <w:vAlign w:val="bottom"/>
          </w:tcPr>
          <w:p>
            <w:pPr>
              <w:ind w:left="160"/>
              <w:spacing w:after="0"/>
              <w:rPr>
                <w:sz w:val="20"/>
                <w:szCs w:val="20"/>
                <w:color w:val="auto"/>
              </w:rPr>
            </w:pPr>
            <w:r>
              <w:rPr>
                <w:rFonts w:ascii="Courier New" w:cs="Courier New" w:eastAsia="Courier New" w:hAnsi="Courier New"/>
                <w:sz w:val="18"/>
                <w:szCs w:val="18"/>
                <w:color w:val="auto"/>
              </w:rPr>
              <w:t>/s/ Mary Joan Boman</w:t>
            </w:r>
          </w:p>
        </w:tc>
      </w:tr>
      <w:tr>
        <w:trPr>
          <w:trHeight w:val="203"/>
        </w:trPr>
        <w:tc>
          <w:tcPr>
            <w:tcW w:w="4160" w:type="dxa"/>
            <w:vAlign w:val="bottom"/>
          </w:tcPr>
          <w:p>
            <w:pPr>
              <w:jc w:val="center"/>
              <w:ind w:right="52"/>
              <w:spacing w:after="0" w:line="203" w:lineRule="exact"/>
              <w:rPr>
                <w:sz w:val="20"/>
                <w:szCs w:val="20"/>
                <w:color w:val="auto"/>
              </w:rPr>
            </w:pPr>
            <w:r>
              <w:rPr>
                <w:rFonts w:ascii="Courier New" w:cs="Courier New" w:eastAsia="Courier New" w:hAnsi="Courier New"/>
                <w:sz w:val="18"/>
                <w:szCs w:val="18"/>
                <w:color w:val="auto"/>
                <w:w w:val="97"/>
              </w:rPr>
              <w:t>- ------------------------------------</w:t>
            </w:r>
          </w:p>
        </w:tc>
        <w:tc>
          <w:tcPr>
            <w:tcW w:w="44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4160" w:type="dxa"/>
            <w:vAlign w:val="bottom"/>
          </w:tcPr>
          <w:p>
            <w:pPr>
              <w:jc w:val="center"/>
              <w:ind w:right="52"/>
              <w:spacing w:after="0" w:line="203" w:lineRule="exact"/>
              <w:rPr>
                <w:sz w:val="20"/>
                <w:szCs w:val="20"/>
                <w:color w:val="auto"/>
              </w:rPr>
            </w:pPr>
            <w:r>
              <w:rPr>
                <w:rFonts w:ascii="Courier New" w:cs="Courier New" w:eastAsia="Courier New" w:hAnsi="Courier New"/>
                <w:sz w:val="18"/>
                <w:szCs w:val="18"/>
                <w:color w:val="auto"/>
                <w:w w:val="95"/>
              </w:rPr>
              <w:t>(Date)</w:t>
            </w:r>
          </w:p>
        </w:tc>
        <w:tc>
          <w:tcPr>
            <w:tcW w:w="4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Mary Joan Boman, as Managing Director</w:t>
            </w:r>
          </w:p>
        </w:tc>
      </w:tr>
      <w:tr>
        <w:trPr>
          <w:trHeight w:val="608"/>
        </w:trPr>
        <w:tc>
          <w:tcPr>
            <w:tcW w:w="4160" w:type="dxa"/>
            <w:vAlign w:val="bottom"/>
          </w:tcPr>
          <w:p>
            <w:pPr>
              <w:ind w:left="960"/>
              <w:spacing w:after="0"/>
              <w:rPr>
                <w:sz w:val="20"/>
                <w:szCs w:val="20"/>
                <w:color w:val="auto"/>
              </w:rPr>
            </w:pPr>
            <w:r>
              <w:rPr>
                <w:rFonts w:ascii="Courier New" w:cs="Courier New" w:eastAsia="Courier New" w:hAnsi="Courier New"/>
                <w:sz w:val="18"/>
                <w:szCs w:val="18"/>
                <w:color w:val="auto"/>
              </w:rPr>
              <w:t>September 14, 2004</w:t>
            </w:r>
          </w:p>
        </w:tc>
        <w:tc>
          <w:tcPr>
            <w:tcW w:w="4480" w:type="dxa"/>
            <w:vAlign w:val="bottom"/>
          </w:tcPr>
          <w:p>
            <w:pPr>
              <w:ind w:left="160"/>
              <w:spacing w:after="0"/>
              <w:rPr>
                <w:sz w:val="20"/>
                <w:szCs w:val="20"/>
                <w:color w:val="auto"/>
              </w:rPr>
            </w:pPr>
            <w:r>
              <w:rPr>
                <w:rFonts w:ascii="Courier New" w:cs="Courier New" w:eastAsia="Courier New" w:hAnsi="Courier New"/>
                <w:sz w:val="18"/>
                <w:szCs w:val="18"/>
                <w:color w:val="auto"/>
              </w:rPr>
              <w:t>/s/ Paul D. Hanson</w:t>
            </w:r>
          </w:p>
        </w:tc>
      </w:tr>
      <w:tr>
        <w:trPr>
          <w:trHeight w:val="203"/>
        </w:trPr>
        <w:tc>
          <w:tcPr>
            <w:tcW w:w="4160" w:type="dxa"/>
            <w:vAlign w:val="bottom"/>
          </w:tcPr>
          <w:p>
            <w:pPr>
              <w:jc w:val="center"/>
              <w:ind w:right="52"/>
              <w:spacing w:after="0" w:line="203" w:lineRule="exact"/>
              <w:rPr>
                <w:sz w:val="20"/>
                <w:szCs w:val="20"/>
                <w:color w:val="auto"/>
              </w:rPr>
            </w:pPr>
            <w:r>
              <w:rPr>
                <w:rFonts w:ascii="Courier New" w:cs="Courier New" w:eastAsia="Courier New" w:hAnsi="Courier New"/>
                <w:sz w:val="18"/>
                <w:szCs w:val="18"/>
                <w:color w:val="auto"/>
                <w:w w:val="97"/>
              </w:rPr>
              <w:t>- ------------------------------------</w:t>
            </w:r>
          </w:p>
        </w:tc>
        <w:tc>
          <w:tcPr>
            <w:tcW w:w="44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4160" w:type="dxa"/>
            <w:vAlign w:val="bottom"/>
          </w:tcPr>
          <w:p>
            <w:pPr>
              <w:jc w:val="center"/>
              <w:ind w:right="52"/>
              <w:spacing w:after="0" w:line="203" w:lineRule="exact"/>
              <w:rPr>
                <w:sz w:val="20"/>
                <w:szCs w:val="20"/>
                <w:color w:val="auto"/>
              </w:rPr>
            </w:pPr>
            <w:r>
              <w:rPr>
                <w:rFonts w:ascii="Courier New" w:cs="Courier New" w:eastAsia="Courier New" w:hAnsi="Courier New"/>
                <w:sz w:val="18"/>
                <w:szCs w:val="18"/>
                <w:color w:val="auto"/>
                <w:w w:val="95"/>
              </w:rPr>
              <w:t>(Date)</w:t>
            </w:r>
          </w:p>
        </w:tc>
        <w:tc>
          <w:tcPr>
            <w:tcW w:w="4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Paul D. Hanson, as Managing Director</w:t>
            </w:r>
          </w:p>
        </w:tc>
      </w:tr>
    </w:tbl>
    <w:p>
      <w:pPr>
        <w:sectPr>
          <w:pgSz w:w="11900" w:h="16838" w:orient="portrait"/>
          <w:cols w:equalWidth="0" w:num="1">
            <w:col w:w="10219"/>
          </w:cols>
          <w:pgMar w:left="240" w:top="717" w:right="1440" w:bottom="1440" w:gutter="0" w:footer="0" w:header="0"/>
        </w:sectPr>
      </w:pPr>
    </w:p>
    <w:bookmarkStart w:id="8" w:name="page9"/>
    <w:bookmarkEnd w:id="8"/>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September 14, 2004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Mary Joan Boman</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840"/>
        <w:spacing w:after="0"/>
        <w:rPr>
          <w:sz w:val="20"/>
          <w:szCs w:val="20"/>
          <w:color w:val="auto"/>
        </w:rPr>
      </w:pPr>
      <w:r>
        <w:rPr>
          <w:rFonts w:ascii="Courier New" w:cs="Courier New" w:eastAsia="Courier New" w:hAnsi="Courier New"/>
          <w:sz w:val="18"/>
          <w:szCs w:val="18"/>
          <w:color w:val="auto"/>
        </w:rPr>
        <w:t>Mary Joan Boman</w:t>
      </w:r>
    </w:p>
    <w:p>
      <w:pPr>
        <w:sectPr>
          <w:pgSz w:w="11900" w:h="16838" w:orient="portrait"/>
          <w:cols w:equalWidth="0" w:num="2">
            <w:col w:w="4020" w:space="300"/>
            <w:col w:w="5899"/>
          </w:cols>
          <w:pgMar w:left="240" w:top="717" w:right="1440" w:bottom="1440" w:gutter="0" w:footer="0" w:header="0"/>
          <w:type w:val="continuous"/>
        </w:sectPr>
      </w:pPr>
    </w:p>
    <w:bookmarkStart w:id="9" w:name="page10"/>
    <w:bookmarkEnd w:id="9"/>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September 14, 2004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John V. Hanson</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John V. Hanson</w:t>
      </w:r>
    </w:p>
    <w:p>
      <w:pPr>
        <w:sectPr>
          <w:pgSz w:w="11900" w:h="16838" w:orient="portrait"/>
          <w:cols w:equalWidth="0" w:num="2">
            <w:col w:w="4020" w:space="300"/>
            <w:col w:w="5899"/>
          </w:cols>
          <w:pgMar w:left="240" w:top="717" w:right="1440" w:bottom="1440" w:gutter="0" w:footer="0" w:header="0"/>
          <w:type w:val="continuous"/>
        </w:sectPr>
      </w:pPr>
    </w:p>
    <w:bookmarkStart w:id="10" w:name="page11"/>
    <w:bookmarkEnd w:id="10"/>
    <w:p>
      <w:pPr>
        <w:spacing w:after="0"/>
        <w:tabs>
          <w:tab w:leader="none" w:pos="76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10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September 14, 2004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Paul D. Hanson</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Paul D. Hanson</w:t>
      </w:r>
    </w:p>
    <w:sectPr>
      <w:pgSz w:w="11900" w:h="16838" w:orient="portrait"/>
      <w:cols w:equalWidth="0" w:num="2">
        <w:col w:w="4020" w:space="300"/>
        <w:col w:w="5899"/>
      </w:cols>
      <w:pgMar w:left="240" w:top="71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1)"/>
      <w:numFmt w:val="decimal"/>
      <w:start w:val="6"/>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1)"/>
      <w:numFmt w:val="decimal"/>
      <w:start w:val="11"/>
    </w:lvl>
  </w:abstractNum>
  <w:abstractNum w:abstractNumId="5">
    <w:nsid w:val="7545E146"/>
    <w:multiLevelType w:val="hybridMultilevel"/>
    <w:lvl w:ilvl="0">
      <w:lvlJc w:val="left"/>
      <w:lvlText w:val="(%1)"/>
      <w:numFmt w:val="decimal"/>
      <w:start w:val="13"/>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2019-12-13T08:13:41Z</dcterms:created>
  <dcterms:modified xsi:type="dcterms:W3CDTF">2019-12-13T08:13:41Z</dcterms:modified>
</cp:coreProperties>
</file>