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91" w:lineRule="exact"/>
        <w:rPr>
          <w:sz w:val="24"/>
          <w:szCs w:val="24"/>
          <w:color w:val="auto"/>
        </w:rPr>
      </w:pPr>
    </w:p>
    <w:tbl>
      <w:tblPr>
        <w:tblLayout w:type="fixed"/>
        <w:tblInd w:w="1000" w:type="dxa"/>
        <w:tblCellMar>
          <w:top w:w="0" w:type="dxa"/>
          <w:left w:w="0" w:type="dxa"/>
          <w:bottom w:w="0" w:type="dxa"/>
          <w:right w:w="0" w:type="dxa"/>
        </w:tblCellMar>
      </w:tblPr>
      <w:tr>
        <w:trPr>
          <w:trHeight w:val="217"/>
        </w:trPr>
        <w:tc>
          <w:tcPr>
            <w:tcW w:w="17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359"/>
              <w:spacing w:after="0"/>
              <w:rPr>
                <w:sz w:val="20"/>
                <w:szCs w:val="20"/>
                <w:color w:val="auto"/>
              </w:rPr>
            </w:pPr>
            <w:r>
              <w:rPr>
                <w:rFonts w:ascii="Arial" w:cs="Arial" w:eastAsia="Arial" w:hAnsi="Arial"/>
                <w:sz w:val="16"/>
                <w:szCs w:val="16"/>
                <w:b w:val="1"/>
                <w:bCs w:val="1"/>
                <w:color w:val="auto"/>
              </w:rPr>
              <w:t>Minnesota</w:t>
            </w:r>
          </w:p>
        </w:tc>
        <w:tc>
          <w:tcPr>
            <w:tcW w:w="13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96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42-0802678</w:t>
            </w:r>
          </w:p>
        </w:tc>
      </w:tr>
      <w:tr>
        <w:trPr>
          <w:trHeight w:val="169"/>
        </w:trPr>
        <w:tc>
          <w:tcPr>
            <w:tcW w:w="4620" w:type="dxa"/>
            <w:vAlign w:val="bottom"/>
            <w:gridSpan w:val="3"/>
          </w:tcPr>
          <w:p>
            <w:pPr>
              <w:jc w:val="center"/>
              <w:spacing w:after="0" w:line="169" w:lineRule="exact"/>
              <w:rPr>
                <w:sz w:val="20"/>
                <w:szCs w:val="20"/>
                <w:color w:val="auto"/>
              </w:rPr>
            </w:pPr>
            <w:r>
              <w:rPr>
                <w:rFonts w:ascii="Arial" w:cs="Arial" w:eastAsia="Arial" w:hAnsi="Arial"/>
                <w:sz w:val="16"/>
                <w:szCs w:val="16"/>
                <w:color w:val="auto"/>
              </w:rPr>
              <w:t>(State or Other Jurisdiction of Incorporation)</w:t>
            </w:r>
          </w:p>
        </w:tc>
        <w:tc>
          <w:tcPr>
            <w:tcW w:w="1660" w:type="dxa"/>
            <w:vAlign w:val="bottom"/>
          </w:tcPr>
          <w:p>
            <w:pPr>
              <w:jc w:val="center"/>
              <w:spacing w:after="0" w:line="169" w:lineRule="exact"/>
              <w:rPr>
                <w:sz w:val="20"/>
                <w:szCs w:val="20"/>
                <w:color w:val="auto"/>
              </w:rPr>
            </w:pPr>
            <w:r>
              <w:rPr>
                <w:rFonts w:ascii="Arial" w:cs="Arial" w:eastAsia="Arial" w:hAnsi="Arial"/>
                <w:sz w:val="16"/>
                <w:szCs w:val="16"/>
                <w:color w:val="auto"/>
              </w:rPr>
              <w:t>(Commission File</w:t>
            </w:r>
          </w:p>
        </w:tc>
        <w:tc>
          <w:tcPr>
            <w:tcW w:w="2960" w:type="dxa"/>
            <w:vAlign w:val="bottom"/>
          </w:tcPr>
          <w:p>
            <w:pPr>
              <w:jc w:val="center"/>
              <w:spacing w:after="0" w:line="169" w:lineRule="exact"/>
              <w:rPr>
                <w:sz w:val="20"/>
                <w:szCs w:val="20"/>
                <w:color w:val="auto"/>
              </w:rPr>
            </w:pPr>
            <w:r>
              <w:rPr>
                <w:rFonts w:ascii="Arial" w:cs="Arial" w:eastAsia="Arial" w:hAnsi="Arial"/>
                <w:sz w:val="16"/>
                <w:szCs w:val="16"/>
                <w:color w:val="auto"/>
              </w:rPr>
              <w:t>(IRS Employer Identification No.)</w:t>
            </w:r>
          </w:p>
        </w:tc>
      </w:tr>
      <w:tr>
        <w:trPr>
          <w:trHeight w:val="215"/>
        </w:trPr>
        <w:tc>
          <w:tcPr>
            <w:tcW w:w="1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color w:val="auto"/>
              </w:rPr>
              <w:t>Number)</w:t>
            </w:r>
          </w:p>
        </w:tc>
        <w:tc>
          <w:tcPr>
            <w:tcW w:w="2960" w:type="dxa"/>
            <w:vAlign w:val="bottom"/>
          </w:tcPr>
          <w:p>
            <w:pPr>
              <w:spacing w:after="0"/>
              <w:rPr>
                <w:sz w:val="18"/>
                <w:szCs w:val="18"/>
                <w:color w:val="auto"/>
              </w:rPr>
            </w:pPr>
          </w:p>
        </w:tc>
      </w:tr>
      <w:tr>
        <w:trPr>
          <w:trHeight w:val="541"/>
        </w:trPr>
        <w:tc>
          <w:tcPr>
            <w:tcW w:w="1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13200 Pioneer Trail</w:t>
            </w: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Eden Prairie</w:t>
            </w:r>
          </w:p>
        </w:tc>
        <w:tc>
          <w:tcPr>
            <w:tcW w:w="13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Minnesota</w:t>
            </w:r>
          </w:p>
        </w:tc>
        <w:tc>
          <w:tcPr>
            <w:tcW w:w="1660" w:type="dxa"/>
            <w:vAlign w:val="bottom"/>
          </w:tcPr>
          <w:p>
            <w:pPr>
              <w:spacing w:after="0"/>
              <w:rPr>
                <w:sz w:val="24"/>
                <w:szCs w:val="24"/>
                <w:color w:val="auto"/>
              </w:rPr>
            </w:pPr>
          </w:p>
        </w:tc>
        <w:tc>
          <w:tcPr>
            <w:tcW w:w="296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55347</w:t>
            </w:r>
          </w:p>
        </w:tc>
      </w:tr>
      <w:tr>
        <w:trPr>
          <w:trHeight w:val="235"/>
        </w:trPr>
        <w:tc>
          <w:tcPr>
            <w:tcW w:w="462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9" w:lineRule="exact"/>
        <w:rPr>
          <w:sz w:val="24"/>
          <w:szCs w:val="24"/>
          <w:color w:val="auto"/>
        </w:rPr>
      </w:pPr>
    </w:p>
    <w:p>
      <w:pPr>
        <w:jc w:val="center"/>
        <w:ind w:right="20"/>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952-829-8600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750570</wp:posOffset>
            </wp:positionH>
            <wp:positionV relativeFrom="paragraph">
              <wp:posOffset>200660</wp:posOffset>
            </wp:positionV>
            <wp:extent cx="56661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90"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62"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1" w:lineRule="exact"/>
        <w:rPr>
          <w:sz w:val="24"/>
          <w:szCs w:val="24"/>
          <w:color w:val="auto"/>
        </w:rPr>
      </w:pPr>
    </w:p>
    <w:tbl>
      <w:tblPr>
        <w:tblLayout w:type="fixed"/>
        <w:tblInd w:w="10" w:type="dxa"/>
        <w:tblCellMar>
          <w:top w:w="0" w:type="dxa"/>
          <w:left w:w="0" w:type="dxa"/>
          <w:bottom w:w="0" w:type="dxa"/>
          <w:right w:w="0" w:type="dxa"/>
        </w:tblCellMar>
      </w:tblPr>
      <w:tr>
        <w:trPr>
          <w:trHeight w:val="229"/>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10"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9"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ind w:right="500"/>
        <w:spacing w:after="0" w:line="296" w:lineRule="auto"/>
        <w:rPr>
          <w:sz w:val="20"/>
          <w:szCs w:val="20"/>
          <w:color w:val="auto"/>
        </w:rPr>
      </w:pPr>
      <w:r>
        <w:rPr>
          <w:rFonts w:ascii="Arial" w:cs="Arial" w:eastAsia="Arial" w:hAnsi="Arial"/>
          <w:sz w:val="16"/>
          <w:szCs w:val="16"/>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At the annual meeting of shareholders of Winnebago Industries, Inc. (the “Company”) held on December 16, 2025 (the “Annual Meeting”), the Company’s shareholders approved the amended and restated 2019 Omnibus Incentive Plan (the “Restated Incentive Plan”), which incorporated certain amendments to the plan, including an increase in the number of shares of the Company’s common stock available for issuance thereunder by an additional 820,000 shares and an extension of the term of the plan. The Company’s shareholders also approved the amended and restated Employee Stock Purchase Plan (the “Restated ESPP”), which incorporated certain amendments to the plan, including an increase in the number of shares of the Company’s common stock for issuance thereunder by an additional 200,000 shares. A description of the terms of the Restated Incentive Plan and the Restated ESPP can be found in Proposals 3 and 4, respectively, in the Company’s definitive proxy statement for the Annual Meeting filed with the Securities and Exchange Commission on November 4, 2025 (the “2025 Proxy Statement”), and the full text of the Restated Incentive Plan and the Restated ESPP are attached as Appendix A and Appendix B, respectively, to the 2025 Proxy Statement.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5.07 Submission of Matters to a Vote of Security Holders.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five proposals were voted upon by the Company’s shareholders. The proposals are described in detail in the 2025 Proxy Statement.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brief description of the proposals and the final results of the votes for each matter follows.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 Election of Directors.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nominees were elected as Class II directors of the Company for three-year terms ending in 2028:</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ind w:left="1140"/>
              <w:spacing w:after="0"/>
              <w:rPr>
                <w:sz w:val="20"/>
                <w:szCs w:val="20"/>
                <w:color w:val="auto"/>
              </w:rPr>
            </w:pPr>
            <w:r>
              <w:rPr>
                <w:rFonts w:ascii="Arial" w:cs="Arial" w:eastAsia="Arial" w:hAnsi="Arial"/>
                <w:sz w:val="16"/>
                <w:szCs w:val="16"/>
                <w:b w:val="1"/>
                <w:bCs w:val="1"/>
                <w:color w:val="auto"/>
              </w:rPr>
              <w:t>Name</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Votes For</w:t>
            </w:r>
          </w:p>
        </w:tc>
        <w:tc>
          <w:tcPr>
            <w:tcW w:w="2820" w:type="dxa"/>
            <w:vAlign w:val="bottom"/>
            <w:gridSpan w:val="2"/>
          </w:tcPr>
          <w:p>
            <w:pPr>
              <w:ind w:left="780"/>
              <w:spacing w:after="0"/>
              <w:rPr>
                <w:sz w:val="20"/>
                <w:szCs w:val="20"/>
                <w:color w:val="auto"/>
              </w:rPr>
            </w:pPr>
            <w:r>
              <w:rPr>
                <w:rFonts w:ascii="Arial" w:cs="Arial" w:eastAsia="Arial" w:hAnsi="Arial"/>
                <w:sz w:val="16"/>
                <w:szCs w:val="16"/>
                <w:b w:val="1"/>
                <w:bCs w:val="1"/>
                <w:color w:val="auto"/>
              </w:rPr>
              <w:t>Votes Withheld</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0"/>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Kevin E. Bryant</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20,294,000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613,753</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3,468,741</w:t>
            </w:r>
          </w:p>
        </w:tc>
      </w:tr>
      <w:tr>
        <w:trPr>
          <w:trHeight w:val="215"/>
        </w:trPr>
        <w:tc>
          <w:tcPr>
            <w:tcW w:w="2820" w:type="dxa"/>
            <w:vAlign w:val="bottom"/>
            <w:gridSpan w:val="2"/>
          </w:tcPr>
          <w:p>
            <w:pPr>
              <w:ind w:left="20"/>
              <w:spacing w:after="0"/>
              <w:rPr>
                <w:sz w:val="20"/>
                <w:szCs w:val="20"/>
                <w:color w:val="auto"/>
              </w:rPr>
            </w:pPr>
            <w:r>
              <w:rPr>
                <w:rFonts w:ascii="Arial" w:cs="Arial" w:eastAsia="Arial" w:hAnsi="Arial"/>
                <w:sz w:val="16"/>
                <w:szCs w:val="16"/>
                <w:color w:val="auto"/>
              </w:rPr>
              <w:t>John M. Murabito</w:t>
            </w: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19,109,818</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rPr>
              <w:t>1,797,935</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6"/>
                <w:szCs w:val="16"/>
                <w:color w:val="auto"/>
              </w:rPr>
              <w:t>3,468,741</w:t>
            </w:r>
          </w:p>
        </w:tc>
      </w:tr>
      <w:tr>
        <w:trPr>
          <w:trHeight w:val="217"/>
        </w:trPr>
        <w:tc>
          <w:tcPr>
            <w:tcW w:w="2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Michael E. Pack</w:t>
            </w: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20,804,623</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103,130</w:t>
            </w:r>
          </w:p>
        </w:tc>
        <w:tc>
          <w:tcPr>
            <w:tcW w:w="10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3,468,741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 Advisory Approval of the Compensation of Named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of the Company’s named executive officers was approved in a non-binding vote: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Votes For</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Abstain</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0"/>
        </w:trPr>
        <w:tc>
          <w:tcPr>
            <w:tcW w:w="272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20,040,899</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776,712</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90,142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3,468,741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 Approval of Amended and Restated 2019 Omnibus Incentive Plan.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proposal to approve the Company’s amended and restated 2019 Omnibus Incentive Plan was approved: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Votes For</w:t>
            </w:r>
          </w:p>
        </w:tc>
        <w:tc>
          <w:tcPr>
            <w:tcW w:w="2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Votes Against</w:t>
            </w: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Abstain</w:t>
            </w:r>
          </w:p>
        </w:tc>
        <w:tc>
          <w:tcPr>
            <w:tcW w:w="2740" w:type="dxa"/>
            <w:vAlign w:val="bottom"/>
          </w:tcPr>
          <w:p>
            <w:pPr>
              <w:jc w:val="center"/>
              <w:spacing w:after="0"/>
              <w:rPr>
                <w:sz w:val="20"/>
                <w:szCs w:val="20"/>
                <w:color w:val="auto"/>
              </w:rPr>
            </w:pPr>
            <w:r>
              <w:rPr>
                <w:rFonts w:ascii="Arial" w:cs="Arial" w:eastAsia="Arial" w:hAnsi="Arial"/>
                <w:sz w:val="16"/>
                <w:szCs w:val="16"/>
                <w:b w:val="1"/>
                <w:bCs w:val="1"/>
                <w:color w:val="auto"/>
              </w:rPr>
              <w:t>Broker Non-Votes</w:t>
            </w:r>
          </w:p>
        </w:tc>
      </w:tr>
      <w:tr>
        <w:trPr>
          <w:trHeight w:val="210"/>
        </w:trPr>
        <w:tc>
          <w:tcPr>
            <w:tcW w:w="270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19,554,470</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rPr>
              <w:t>1,269,526</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83,757</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3,468,741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 Approval of Amended and Restated Employee Stock Purchase Plan.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proposal to approve the Company’s amended and restated Employee Stock Purchase Plan was approved: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Votes For</w:t>
            </w:r>
          </w:p>
        </w:tc>
        <w:tc>
          <w:tcPr>
            <w:tcW w:w="28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Votes Against</w:t>
            </w:r>
          </w:p>
        </w:tc>
        <w:tc>
          <w:tcPr>
            <w:tcW w:w="2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Abstain</w:t>
            </w:r>
          </w:p>
        </w:tc>
        <w:tc>
          <w:tcPr>
            <w:tcW w:w="27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rPr>
              <w:t>Broker Non-Votes</w:t>
            </w:r>
          </w:p>
        </w:tc>
      </w:tr>
      <w:tr>
        <w:trPr>
          <w:trHeight w:val="209"/>
        </w:trPr>
        <w:tc>
          <w:tcPr>
            <w:tcW w:w="2720" w:type="dxa"/>
            <w:vAlign w:val="bottom"/>
            <w:tcBorders>
              <w:top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rPr>
              <w:t>20,562,730</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979"/>
              <w:spacing w:after="0"/>
              <w:rPr>
                <w:sz w:val="20"/>
                <w:szCs w:val="20"/>
                <w:color w:val="auto"/>
              </w:rPr>
            </w:pPr>
            <w:r>
              <w:rPr>
                <w:rFonts w:ascii="Arial" w:cs="Arial" w:eastAsia="Arial" w:hAnsi="Arial"/>
                <w:sz w:val="16"/>
                <w:szCs w:val="16"/>
                <w:color w:val="auto"/>
              </w:rPr>
              <w:t>277,523</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6"/>
                <w:szCs w:val="16"/>
                <w:color w:val="auto"/>
              </w:rPr>
              <w:t>67,500</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rPr>
              <w:t>3,468,741</w:t>
            </w:r>
          </w:p>
        </w:tc>
        <w:tc>
          <w:tcPr>
            <w:tcW w:w="20" w:type="dxa"/>
            <w:vAlign w:val="bottom"/>
          </w:tcPr>
          <w:p>
            <w:pPr>
              <w:spacing w:after="0"/>
              <w:rPr>
                <w:sz w:val="18"/>
                <w:szCs w:val="18"/>
                <w:color w:val="auto"/>
              </w:rPr>
            </w:pPr>
          </w:p>
        </w:tc>
      </w:tr>
      <w:tr>
        <w:trPr>
          <w:trHeight w:val="1222"/>
        </w:trPr>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5 – Ratification of the Selection of Deloitte &amp; Touche LLP as Independent Registered Public Accountant for Fiscal 2026.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selection of Deloitte &amp; Touche LLP as the Company’s independent registered public accountant for the fiscal year ending August 29, 2026 was ratified: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Votes For</w:t>
            </w:r>
          </w:p>
        </w:tc>
        <w:tc>
          <w:tcPr>
            <w:tcW w:w="3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Votes Against</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Abstain</w:t>
            </w:r>
          </w:p>
        </w:tc>
      </w:tr>
      <w:tr>
        <w:trPr>
          <w:trHeight w:val="210"/>
        </w:trPr>
        <w:tc>
          <w:tcPr>
            <w:tcW w:w="3660" w:type="dxa"/>
            <w:vAlign w:val="bottom"/>
            <w:tcBorders>
              <w:top w:val="single" w:sz="8" w:color="auto"/>
            </w:tcBorders>
            <w:shd w:val="clear" w:color="auto" w:fill="CCEEFF"/>
          </w:tcPr>
          <w:p>
            <w:pPr>
              <w:jc w:val="right"/>
              <w:ind w:right="1339"/>
              <w:spacing w:after="0"/>
              <w:rPr>
                <w:sz w:val="20"/>
                <w:szCs w:val="20"/>
                <w:color w:val="auto"/>
              </w:rPr>
            </w:pPr>
            <w:r>
              <w:rPr>
                <w:rFonts w:ascii="Arial" w:cs="Arial" w:eastAsia="Arial" w:hAnsi="Arial"/>
                <w:sz w:val="16"/>
                <w:szCs w:val="16"/>
                <w:color w:val="auto"/>
              </w:rPr>
              <w:t>23,759,789</w:t>
            </w:r>
          </w:p>
        </w:tc>
        <w:tc>
          <w:tcPr>
            <w:tcW w:w="12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right"/>
              <w:ind w:right="1459"/>
              <w:spacing w:after="0"/>
              <w:rPr>
                <w:sz w:val="20"/>
                <w:szCs w:val="20"/>
                <w:color w:val="auto"/>
              </w:rPr>
            </w:pPr>
            <w:r>
              <w:rPr>
                <w:rFonts w:ascii="Arial" w:cs="Arial" w:eastAsia="Arial" w:hAnsi="Arial"/>
                <w:sz w:val="16"/>
                <w:szCs w:val="16"/>
                <w:color w:val="auto"/>
              </w:rPr>
              <w:t>597,302</w:t>
            </w:r>
          </w:p>
        </w:tc>
        <w:tc>
          <w:tcPr>
            <w:tcW w:w="12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right"/>
              <w:ind w:right="1519"/>
              <w:spacing w:after="0"/>
              <w:rPr>
                <w:sz w:val="20"/>
                <w:szCs w:val="20"/>
                <w:color w:val="auto"/>
              </w:rPr>
            </w:pPr>
            <w:r>
              <w:rPr>
                <w:rFonts w:ascii="Arial" w:cs="Arial" w:eastAsia="Arial" w:hAnsi="Arial"/>
                <w:sz w:val="16"/>
                <w:szCs w:val="16"/>
                <w:color w:val="auto"/>
              </w:rPr>
              <w:t>19,403</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48" w:lineRule="exact"/>
        <w:rPr>
          <w:sz w:val="20"/>
          <w:szCs w:val="20"/>
          <w:color w:val="auto"/>
        </w:rPr>
      </w:pPr>
    </w:p>
    <w:p>
      <w:pPr>
        <w:ind w:left="420"/>
        <w:spacing w:after="0"/>
        <w:tabs>
          <w:tab w:leader="none" w:pos="1740" w:val="left"/>
        </w:tabs>
        <w:rPr>
          <w:sz w:val="20"/>
          <w:szCs w:val="20"/>
          <w:color w:val="auto"/>
        </w:rPr>
      </w:pPr>
      <w:r>
        <w:rPr>
          <w:rFonts w:ascii="Arial" w:cs="Arial" w:eastAsia="Arial" w:hAnsi="Arial"/>
          <w:sz w:val="16"/>
          <w:szCs w:val="16"/>
          <w:b w:val="1"/>
          <w:bCs w:val="1"/>
          <w:color w:val="auto"/>
        </w:rPr>
        <w:t>Exhibit Number</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wp:posOffset>
            </wp:positionH>
            <wp:positionV relativeFrom="paragraph">
              <wp:posOffset>20955</wp:posOffset>
            </wp:positionV>
            <wp:extent cx="6814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4820" cy="8255"/>
                    </a:xfrm>
                    <a:prstGeom prst="rect">
                      <a:avLst/>
                    </a:prstGeom>
                    <a:noFill/>
                  </pic:spPr>
                </pic:pic>
              </a:graphicData>
            </a:graphic>
          </wp:anchor>
        </w:drawing>
      </w:r>
    </w:p>
    <w:p>
      <w:pPr>
        <w:spacing w:after="0" w:line="26" w:lineRule="exact"/>
        <w:rPr>
          <w:sz w:val="20"/>
          <w:szCs w:val="20"/>
          <w:color w:val="auto"/>
        </w:rPr>
      </w:pPr>
    </w:p>
    <w:p>
      <w:pPr>
        <w:ind w:left="420"/>
        <w:spacing w:after="0"/>
        <w:tabs>
          <w:tab w:leader="none" w:pos="17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300" w:type="dxa"/>
            <w:vAlign w:val="bottom"/>
            <w:gridSpan w:val="2"/>
          </w:tcPr>
          <w:p>
            <w:pPr>
              <w:ind w:left="7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340" w:type="dxa"/>
            <w:vAlign w:val="bottom"/>
          </w:tcPr>
          <w:p>
            <w:pPr>
              <w:ind w:left="160"/>
              <w:spacing w:after="0"/>
              <w:rPr>
                <w:sz w:val="20"/>
                <w:szCs w:val="20"/>
                <w:color w:val="auto"/>
              </w:rPr>
            </w:pPr>
            <w:r>
              <w:rPr>
                <w:rFonts w:ascii="Arial" w:cs="Arial" w:eastAsia="Arial" w:hAnsi="Arial"/>
                <w:sz w:val="16"/>
                <w:szCs w:val="16"/>
                <w:color w:val="auto"/>
              </w:rPr>
              <w:t>December 17, 2025</w:t>
            </w:r>
          </w:p>
        </w:tc>
        <w:tc>
          <w:tcPr>
            <w:tcW w:w="1580" w:type="dxa"/>
            <w:vAlign w:val="bottom"/>
          </w:tcPr>
          <w:p>
            <w:pPr>
              <w:ind w:left="760"/>
              <w:spacing w:after="0"/>
              <w:rPr>
                <w:sz w:val="20"/>
                <w:szCs w:val="20"/>
                <w:color w:val="auto"/>
              </w:rPr>
            </w:pPr>
            <w:r>
              <w:rPr>
                <w:rFonts w:ascii="Arial" w:cs="Arial" w:eastAsia="Arial" w:hAnsi="Arial"/>
                <w:sz w:val="16"/>
                <w:szCs w:val="16"/>
                <w:color w:val="auto"/>
              </w:rPr>
              <w:t>By:</w:t>
            </w: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Stacy L. Bogart</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tcPr>
          <w:p>
            <w:pPr>
              <w:ind w:left="760"/>
              <w:spacing w:after="0"/>
              <w:rPr>
                <w:sz w:val="20"/>
                <w:szCs w:val="20"/>
                <w:color w:val="auto"/>
              </w:rPr>
            </w:pPr>
            <w:r>
              <w:rPr>
                <w:rFonts w:ascii="Arial" w:cs="Arial" w:eastAsia="Arial" w:hAnsi="Arial"/>
                <w:sz w:val="16"/>
                <w:szCs w:val="16"/>
                <w:color w:val="auto"/>
              </w:rPr>
              <w:t>Name:</w:t>
            </w:r>
          </w:p>
        </w:tc>
        <w:tc>
          <w:tcPr>
            <w:tcW w:w="5720" w:type="dxa"/>
            <w:vAlign w:val="bottom"/>
          </w:tcPr>
          <w:p>
            <w:pPr>
              <w:ind w:left="20"/>
              <w:spacing w:after="0"/>
              <w:rPr>
                <w:sz w:val="20"/>
                <w:szCs w:val="20"/>
                <w:color w:val="auto"/>
              </w:rPr>
            </w:pPr>
            <w:r>
              <w:rPr>
                <w:rFonts w:ascii="Arial" w:cs="Arial" w:eastAsia="Arial" w:hAnsi="Arial"/>
                <w:sz w:val="16"/>
                <w:szCs w:val="16"/>
                <w:color w:val="auto"/>
              </w:rPr>
              <w:t>Stacy L. Bogart</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580" w:type="dxa"/>
            <w:vAlign w:val="bottom"/>
            <w:vMerge w:val="restart"/>
          </w:tcPr>
          <w:p>
            <w:pPr>
              <w:ind w:left="760"/>
              <w:spacing w:after="0"/>
              <w:rPr>
                <w:sz w:val="20"/>
                <w:szCs w:val="20"/>
                <w:color w:val="auto"/>
              </w:rPr>
            </w:pPr>
            <w:r>
              <w:rPr>
                <w:rFonts w:ascii="Arial" w:cs="Arial" w:eastAsia="Arial" w:hAnsi="Arial"/>
                <w:sz w:val="16"/>
                <w:szCs w:val="16"/>
                <w:color w:val="auto"/>
              </w:rPr>
              <w:t>Title:</w:t>
            </w:r>
          </w:p>
        </w:tc>
        <w:tc>
          <w:tcPr>
            <w:tcW w:w="5720" w:type="dxa"/>
            <w:vAlign w:val="bottom"/>
          </w:tcPr>
          <w:p>
            <w:pPr>
              <w:ind w:left="20"/>
              <w:spacing w:after="0" w:line="164" w:lineRule="exact"/>
              <w:rPr>
                <w:sz w:val="20"/>
                <w:szCs w:val="20"/>
                <w:color w:val="auto"/>
              </w:rPr>
            </w:pPr>
            <w:r>
              <w:rPr>
                <w:rFonts w:ascii="Arial" w:cs="Arial" w:eastAsia="Arial" w:hAnsi="Arial"/>
                <w:sz w:val="16"/>
                <w:szCs w:val="16"/>
                <w:color w:val="auto"/>
              </w:rPr>
              <w:t>Senior Vice President—Chief Legal Officer, Corporate Secretary and Corporate</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5720" w:type="dxa"/>
            <w:vAlign w:val="bottom"/>
          </w:tcPr>
          <w:p>
            <w:pPr>
              <w:ind w:left="20"/>
              <w:spacing w:after="0"/>
              <w:rPr>
                <w:sz w:val="20"/>
                <w:szCs w:val="20"/>
                <w:color w:val="auto"/>
              </w:rPr>
            </w:pPr>
            <w:r>
              <w:rPr>
                <w:rFonts w:ascii="Arial" w:cs="Arial" w:eastAsia="Arial" w:hAnsi="Arial"/>
                <w:sz w:val="16"/>
                <w:szCs w:val="16"/>
                <w:color w:val="auto"/>
              </w:rPr>
              <w:t>Responsibility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20"/>
      </w:cols>
      <w:pgMar w:left="320" w:top="88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2025-12-17T15:24:07Z</dcterms:created>
  <dcterms:modified xsi:type="dcterms:W3CDTF">2025-12-17T15:24:07Z</dcterms:modified>
</cp:coreProperties>
</file>