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Winnebago Industries, Inc. is filing herewith a press release issued on March 24, 2016, as Exhibit 99.1 which is incorporated by reference herein. The press release was issued to report earnings for the second quarter of Fiscal 2016 ended February 27, 2016.</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Winnebago Industries, Inc. (Winnebago Industries) is filing herewith a press release issued on March 24, 2016, as Exhibit 99.1 which is included herein. The press release was issued to report that on March 16, 2016, the Board of Winnebago Industries, Inc. approved a quarterly cash dividend of $0.10 per share of common stock, payable on April 27, 2016 to shareholders of record at the close of business on April 13, 2016.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March 24, 2016.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560" w:type="dxa"/>
            <w:vAlign w:val="bottom"/>
          </w:tcPr>
          <w:p>
            <w:pPr>
              <w:spacing w:after="0"/>
              <w:rPr>
                <w:sz w:val="20"/>
                <w:szCs w:val="20"/>
                <w:color w:val="auto"/>
              </w:rPr>
            </w:pPr>
            <w:r>
              <w:rPr>
                <w:rFonts w:ascii="Arial" w:cs="Arial" w:eastAsia="Arial" w:hAnsi="Arial"/>
                <w:sz w:val="16"/>
                <w:szCs w:val="16"/>
                <w:color w:val="auto"/>
              </w:rPr>
              <w:t>Date:   March 24, 2016</w:t>
            </w:r>
          </w:p>
        </w:tc>
        <w:tc>
          <w:tcPr>
            <w:tcW w:w="1500" w:type="dxa"/>
            <w:vAlign w:val="bottom"/>
          </w:tcPr>
          <w:p>
            <w:pPr>
              <w:ind w:left="86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 Folkers</w:t>
            </w:r>
          </w:p>
        </w:tc>
      </w:tr>
      <w:tr>
        <w:trPr>
          <w:trHeight w:val="237"/>
        </w:trPr>
        <w:tc>
          <w:tcPr>
            <w:tcW w:w="2560" w:type="dxa"/>
            <w:vAlign w:val="bottom"/>
          </w:tcPr>
          <w:p>
            <w:pPr>
              <w:spacing w:after="0"/>
              <w:rPr>
                <w:sz w:val="20"/>
                <w:szCs w:val="20"/>
                <w:color w:val="auto"/>
              </w:rPr>
            </w:pPr>
          </w:p>
        </w:tc>
        <w:tc>
          <w:tcPr>
            <w:tcW w:w="1500" w:type="dxa"/>
            <w:vAlign w:val="bottom"/>
          </w:tcPr>
          <w:p>
            <w:pPr>
              <w:ind w:left="860"/>
              <w:spacing w:after="0"/>
              <w:rPr>
                <w:sz w:val="20"/>
                <w:szCs w:val="20"/>
                <w:color w:val="auto"/>
              </w:rPr>
            </w:pPr>
            <w:r>
              <w:rPr>
                <w:rFonts w:ascii="Arial" w:cs="Arial" w:eastAsia="Arial" w:hAnsi="Arial"/>
                <w:sz w:val="16"/>
                <w:szCs w:val="16"/>
                <w:color w:val="auto"/>
              </w:rPr>
              <w:t>Name:</w:t>
            </w:r>
          </w:p>
        </w:tc>
        <w:tc>
          <w:tcPr>
            <w:tcW w:w="492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2560" w:type="dxa"/>
            <w:vAlign w:val="bottom"/>
          </w:tcPr>
          <w:p>
            <w:pPr>
              <w:spacing w:after="0"/>
              <w:rPr>
                <w:sz w:val="23"/>
                <w:szCs w:val="23"/>
                <w:color w:val="auto"/>
              </w:rPr>
            </w:pPr>
          </w:p>
        </w:tc>
        <w:tc>
          <w:tcPr>
            <w:tcW w:w="1500" w:type="dxa"/>
            <w:vAlign w:val="bottom"/>
          </w:tcPr>
          <w:p>
            <w:pPr>
              <w:ind w:left="860"/>
              <w:spacing w:after="0"/>
              <w:rPr>
                <w:sz w:val="20"/>
                <w:szCs w:val="20"/>
                <w:color w:val="auto"/>
              </w:rPr>
            </w:pPr>
            <w:r>
              <w:rPr>
                <w:rFonts w:ascii="Arial" w:cs="Arial" w:eastAsia="Arial" w:hAnsi="Arial"/>
                <w:sz w:val="16"/>
                <w:szCs w:val="16"/>
                <w:color w:val="auto"/>
              </w:rPr>
              <w:t>Title:</w:t>
            </w:r>
          </w:p>
        </w:tc>
        <w:tc>
          <w:tcPr>
            <w:tcW w:w="492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240"/>
          </w:cols>
          <w:pgMar w:left="240" w:top="571" w:right="41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-389255</wp:posOffset>
            </wp:positionV>
            <wp:extent cx="230695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Samantha Dugan - Investor Relations - 641-585-6160 - sdugan@wgo.net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left="280" w:right="1820"/>
        <w:spacing w:after="0" w:line="372" w:lineRule="auto"/>
        <w:rPr>
          <w:sz w:val="20"/>
          <w:szCs w:val="20"/>
          <w:color w:val="auto"/>
        </w:rPr>
      </w:pPr>
      <w:r>
        <w:rPr>
          <w:rFonts w:ascii="Arial" w:cs="Arial" w:eastAsia="Arial" w:hAnsi="Arial"/>
          <w:sz w:val="16"/>
          <w:szCs w:val="16"/>
          <w:b w:val="1"/>
          <w:bCs w:val="1"/>
          <w:color w:val="auto"/>
        </w:rPr>
        <w:t>WINNEBAGO INDUSTRIES ANNOUNCES SECOND QUARTER FISCAL 2016 RESULTS -- Gross Margin Improvement of 90 Basis Points Contributes to Earnings Per Share Growth of 17% -- -- Board of Directors Approved Quarterly Cash Dividend of $0.10 Per Share --</w:t>
      </w:r>
    </w:p>
    <w:p>
      <w:pPr>
        <w:spacing w:after="0" w:line="285" w:lineRule="exact"/>
        <w:rPr>
          <w:sz w:val="20"/>
          <w:szCs w:val="20"/>
          <w:color w:val="auto"/>
        </w:rPr>
      </w:pPr>
    </w:p>
    <w:p>
      <w:pPr>
        <w:ind w:right="300"/>
        <w:spacing w:after="0" w:line="366" w:lineRule="auto"/>
        <w:rPr>
          <w:sz w:val="20"/>
          <w:szCs w:val="20"/>
          <w:color w:val="auto"/>
        </w:rPr>
      </w:pPr>
      <w:r>
        <w:rPr>
          <w:rFonts w:ascii="Arial" w:cs="Arial" w:eastAsia="Arial" w:hAnsi="Arial"/>
          <w:sz w:val="16"/>
          <w:szCs w:val="16"/>
          <w:color w:val="auto"/>
        </w:rPr>
        <w:t>FOREST CITY, IOWA, March 24, 2016 - Winnebago Industries, Inc. (NYSE:WGO), a leading United States recreation vehicle manufacturer, today reported financial results for the Company's second quarter of Fiscal 2016.</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Second Quarter Fiscal 2016 Results</w:t>
      </w:r>
    </w:p>
    <w:p>
      <w:pPr>
        <w:spacing w:after="0" w:line="86"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Revenues for the Fiscal 2016 second quarter ended February 27, 2016, were $225.7 million, a decrease of 3.8%, compared to $234.5 million for the Fiscal 2015 period. Operating income was $13.5 million for the current quarter, an improvement of 13.0% compared to $11.9 million in the second quarter of last year. Fiscal 2016 second quarter net income was $9.4 million, or $0.35 per diluted share, an increase of 15.5% compared to $8.1 million, or $0.30 per diluted share, in the same period last year.</w:t>
      </w:r>
    </w:p>
    <w:p>
      <w:pPr>
        <w:spacing w:after="0" w:line="259"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auto"/>
        </w:rPr>
        <w:t>President and Chief Executive Officer Michael Happe commented, “Since arriving in mid-January, I have enjoyed the privilege of actively engaging with many of Winnebago's employees, dealers, and our Board of Directors. All are extremely committed to building a stronger future for this iconic brand, leveraging an already impressive legacy. While we are pleased with the improved profitability delivered this quarter and the strong continued momentum of our Towables business, we are mindful of lower motorized revenues against the industry's strong fundamentals. Our motorized team will continue to focus on delivering the industry's highest level of product quality while working to create sustainable, increased levels of manufacturing output. With the success of recent new products, a current robust backlog, and ongoing investments in new systems and facilities, we believe we have a strong foundation to continue to build future value for our dealers, customers, and shareholders.”</w:t>
      </w:r>
    </w:p>
    <w:p>
      <w:pPr>
        <w:spacing w:after="0" w:line="261" w:lineRule="exact"/>
        <w:rPr>
          <w:sz w:val="20"/>
          <w:szCs w:val="20"/>
          <w:color w:val="auto"/>
        </w:rPr>
      </w:pPr>
    </w:p>
    <w:p>
      <w:pPr>
        <w:jc w:val="both"/>
        <w:ind w:right="100"/>
        <w:spacing w:after="0" w:line="366" w:lineRule="auto"/>
        <w:rPr>
          <w:sz w:val="20"/>
          <w:szCs w:val="20"/>
          <w:color w:val="auto"/>
        </w:rPr>
      </w:pPr>
      <w:r>
        <w:rPr>
          <w:rFonts w:ascii="Arial" w:cs="Arial" w:eastAsia="Arial" w:hAnsi="Arial"/>
          <w:sz w:val="16"/>
          <w:szCs w:val="16"/>
          <w:color w:val="auto"/>
        </w:rPr>
        <w:t>Second quarter Fiscal 2016 consolidated revenues decreased year over year due primarily to lower motorized unit shipments of 3.4% and the Company's exit of aluminum extrusion sales to outside customers. Partly offsetting the decline was revenue growth of 33.8% in towables due to an increase in unit deliveries.</w:t>
      </w:r>
    </w:p>
    <w:p>
      <w:pPr>
        <w:spacing w:after="0" w:line="249" w:lineRule="exact"/>
        <w:rPr>
          <w:sz w:val="20"/>
          <w:szCs w:val="20"/>
          <w:color w:val="auto"/>
        </w:rPr>
      </w:pPr>
    </w:p>
    <w:p>
      <w:pPr>
        <w:ind w:right="460"/>
        <w:spacing w:after="0" w:line="366" w:lineRule="auto"/>
        <w:rPr>
          <w:sz w:val="20"/>
          <w:szCs w:val="20"/>
          <w:color w:val="auto"/>
        </w:rPr>
      </w:pPr>
      <w:r>
        <w:rPr>
          <w:rFonts w:ascii="Arial" w:cs="Arial" w:eastAsia="Arial" w:hAnsi="Arial"/>
          <w:sz w:val="16"/>
          <w:szCs w:val="16"/>
          <w:color w:val="auto"/>
        </w:rPr>
        <w:t>Gross margin improved year over year in the second quarter due in part to improved product mix and the realization of cost-saving benefits related to the Company’s strategic sourcing initiative. The improvement was partly mitigated by higher manufacturing costs.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820"/>
        <w:spacing w:after="0" w:line="366" w:lineRule="auto"/>
        <w:rPr>
          <w:sz w:val="20"/>
          <w:szCs w:val="20"/>
          <w:color w:val="auto"/>
        </w:rPr>
      </w:pPr>
      <w:r>
        <w:rPr>
          <w:rFonts w:ascii="Arial" w:cs="Arial" w:eastAsia="Arial" w:hAnsi="Arial"/>
          <w:sz w:val="16"/>
          <w:szCs w:val="16"/>
          <w:color w:val="auto"/>
        </w:rPr>
        <w:t>On March 16, 2016, the Company’s board of directors approved a quarterly cash dividend of $0.10 per share payable on April 27, 2016, to common stockholders of record at the close of business on April 13, 2016.</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100"/>
        <w:spacing w:after="0" w:line="366" w:lineRule="auto"/>
        <w:rPr>
          <w:sz w:val="20"/>
          <w:szCs w:val="20"/>
          <w:color w:val="auto"/>
        </w:rPr>
      </w:pPr>
      <w:r>
        <w:rPr>
          <w:rFonts w:ascii="Arial" w:cs="Arial" w:eastAsia="Arial" w:hAnsi="Arial"/>
          <w:sz w:val="16"/>
          <w:szCs w:val="16"/>
          <w:color w:val="auto"/>
        </w:rPr>
        <w:t>Winnebago Industries, Inc. will conduct a conference call to discuss second quarter Fiscal 2016 results at 9:00 a.m. Central Time today. Members of the news media, investors and the general public are invited to access a live broadcast of the</w:t>
      </w:r>
    </w:p>
    <w:p>
      <w:pPr>
        <w:sectPr>
          <w:pgSz w:w="11900" w:h="16838" w:orient="portrait"/>
          <w:cols w:equalWidth="0" w:num="1">
            <w:col w:w="11400"/>
          </w:cols>
          <w:pgMar w:left="240" w:top="799" w:right="259" w:bottom="1440" w:gutter="0" w:footer="0" w:header="0"/>
        </w:sectPr>
      </w:pPr>
    </w:p>
    <w:bookmarkStart w:id="3" w:name="page4"/>
    <w:bookmarkEnd w:id="3"/>
    <w:p>
      <w:pPr>
        <w:ind w:right="140"/>
        <w:spacing w:after="0" w:line="366" w:lineRule="auto"/>
        <w:rPr>
          <w:sz w:val="20"/>
          <w:szCs w:val="20"/>
          <w:color w:val="auto"/>
        </w:rPr>
      </w:pPr>
      <w:r>
        <w:rPr>
          <w:rFonts w:ascii="Arial" w:cs="Arial" w:eastAsia="Arial" w:hAnsi="Arial"/>
          <w:sz w:val="16"/>
          <w:szCs w:val="16"/>
          <w:color w:val="auto"/>
        </w:rPr>
        <w:t>conference call via the Investor Relations page of the Company's website at http://investor.wgo.net. The event will be archived and available for replay for the next 90 days.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40" w:lineRule="exact"/>
        <w:rPr>
          <w:sz w:val="20"/>
          <w:szCs w:val="20"/>
          <w:color w:val="auto"/>
        </w:rPr>
      </w:pPr>
    </w:p>
    <w:p>
      <w:pPr>
        <w:ind w:right="100"/>
        <w:spacing w:after="0" w:line="345"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motorhomes, travel trailers and fifth wheel products.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p>
    <w:p>
      <w:pPr>
        <w:spacing w:after="0" w:line="267" w:lineRule="exact"/>
        <w:rPr>
          <w:sz w:val="20"/>
          <w:szCs w:val="20"/>
          <w:color w:val="auto"/>
        </w:rPr>
      </w:pPr>
    </w:p>
    <w:p>
      <w:pPr>
        <w:spacing w:after="0" w:line="35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400"/>
          </w:cols>
          <w:pgMar w:left="240" w:top="641"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Quarter Ended</w:t>
            </w: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64"/>
        </w:trPr>
        <w:tc>
          <w:tcPr>
            <w:tcW w:w="4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February 27, 2016</w:t>
            </w: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February 28, 2015</w:t>
            </w:r>
          </w:p>
        </w:tc>
        <w:tc>
          <w:tcPr>
            <w:tcW w:w="860" w:type="dxa"/>
            <w:vAlign w:val="bottom"/>
            <w:tcBorders>
              <w:bottom w:val="single" w:sz="8" w:color="auto"/>
            </w:tcBorders>
          </w:tcPr>
          <w:p>
            <w:pPr>
              <w:spacing w:after="0"/>
              <w:rPr>
                <w:sz w:val="22"/>
                <w:szCs w:val="22"/>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225,672</w:t>
            </w: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4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234,543</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r>
      <w:tr>
        <w:trPr>
          <w:trHeight w:val="26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200,396</w:t>
            </w:r>
          </w:p>
        </w:tc>
        <w:tc>
          <w:tcPr>
            <w:tcW w:w="3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88.8 %</w:t>
            </w:r>
          </w:p>
        </w:tc>
        <w:tc>
          <w:tcPr>
            <w:tcW w:w="4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210,285</w:t>
            </w: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89.7%</w:t>
            </w:r>
          </w:p>
        </w:tc>
      </w:tr>
      <w:tr>
        <w:trPr>
          <w:trHeight w:val="257"/>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25,276</w:t>
            </w:r>
          </w:p>
        </w:tc>
        <w:tc>
          <w:tcPr>
            <w:tcW w:w="3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11.2 %</w:t>
            </w:r>
          </w:p>
        </w:tc>
        <w:tc>
          <w:tcPr>
            <w:tcW w:w="4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24,258</w:t>
            </w:r>
          </w:p>
        </w:tc>
        <w:tc>
          <w:tcPr>
            <w:tcW w:w="3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10.3%</w:t>
            </w:r>
          </w:p>
        </w:tc>
      </w:tr>
      <w:tr>
        <w:trPr>
          <w:trHeight w:val="254"/>
        </w:trPr>
        <w:tc>
          <w:tcPr>
            <w:tcW w:w="4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0"/>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4,929</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2.2 %</w:t>
            </w:r>
          </w:p>
        </w:tc>
        <w:tc>
          <w:tcPr>
            <w:tcW w:w="4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4,846</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w:t>
            </w:r>
          </w:p>
        </w:tc>
      </w:tr>
      <w:tr>
        <w:trPr>
          <w:trHeight w:val="264"/>
        </w:trPr>
        <w:tc>
          <w:tcPr>
            <w:tcW w:w="4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6,844</w:t>
            </w:r>
          </w:p>
        </w:tc>
        <w:tc>
          <w:tcPr>
            <w:tcW w:w="3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3.0 %</w:t>
            </w:r>
          </w:p>
        </w:tc>
        <w:tc>
          <w:tcPr>
            <w:tcW w:w="4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7,464</w:t>
            </w: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3.2%</w:t>
            </w:r>
          </w:p>
        </w:tc>
      </w:tr>
      <w:tr>
        <w:trPr>
          <w:trHeight w:val="250"/>
        </w:trPr>
        <w:tc>
          <w:tcPr>
            <w:tcW w:w="44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11,773</w:t>
            </w:r>
          </w:p>
        </w:tc>
        <w:tc>
          <w:tcPr>
            <w:tcW w:w="3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5.2 %</w:t>
            </w:r>
          </w:p>
        </w:tc>
        <w:tc>
          <w:tcPr>
            <w:tcW w:w="4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12,310</w:t>
            </w:r>
          </w:p>
        </w:tc>
        <w:tc>
          <w:tcPr>
            <w:tcW w:w="3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w:t>
            </w:r>
          </w:p>
        </w:tc>
      </w:tr>
      <w:tr>
        <w:trPr>
          <w:trHeight w:val="247"/>
        </w:trPr>
        <w:tc>
          <w:tcPr>
            <w:tcW w:w="44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13,503</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6.0 %</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11,948</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5.1%</w:t>
            </w:r>
          </w:p>
        </w:tc>
      </w:tr>
      <w:tr>
        <w:trPr>
          <w:trHeight w:val="273"/>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(expense) income</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 %</w:t>
            </w: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47"/>
        </w:trPr>
        <w:tc>
          <w:tcPr>
            <w:tcW w:w="44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13,485</w:t>
            </w:r>
          </w:p>
        </w:tc>
        <w:tc>
          <w:tcPr>
            <w:tcW w:w="3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6.0 %</w:t>
            </w:r>
          </w:p>
        </w:tc>
        <w:tc>
          <w:tcPr>
            <w:tcW w:w="4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11,976</w:t>
            </w:r>
          </w:p>
        </w:tc>
        <w:tc>
          <w:tcPr>
            <w:tcW w:w="3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5.1%</w:t>
            </w:r>
          </w:p>
        </w:tc>
      </w:tr>
      <w:tr>
        <w:trPr>
          <w:trHeight w:val="273"/>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4,131</w:t>
            </w:r>
          </w:p>
        </w:tc>
        <w:tc>
          <w:tcPr>
            <w:tcW w:w="3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1.8 %</w:t>
            </w:r>
          </w:p>
        </w:tc>
        <w:tc>
          <w:tcPr>
            <w:tcW w:w="4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3,880</w:t>
            </w:r>
          </w:p>
        </w:tc>
        <w:tc>
          <w:tcPr>
            <w:tcW w:w="3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w:t>
            </w:r>
          </w:p>
        </w:tc>
      </w:tr>
      <w:tr>
        <w:trPr>
          <w:trHeight w:val="280"/>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9,354</w:t>
            </w:r>
          </w:p>
        </w:tc>
        <w:tc>
          <w:tcPr>
            <w:tcW w:w="3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4.1 %</w:t>
            </w:r>
          </w:p>
        </w:tc>
        <w:tc>
          <w:tcPr>
            <w:tcW w:w="4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8,096</w:t>
            </w:r>
          </w:p>
        </w:tc>
        <w:tc>
          <w:tcPr>
            <w:tcW w:w="3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3.5%</w:t>
            </w:r>
          </w:p>
        </w:tc>
      </w:tr>
      <w:tr>
        <w:trPr>
          <w:trHeight w:val="254"/>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0"/>
        </w:trPr>
        <w:tc>
          <w:tcPr>
            <w:tcW w:w="440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0.35</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0"/>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0.35</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0"/>
        </w:trPr>
        <w:tc>
          <w:tcPr>
            <w:tcW w:w="44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0"/>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26,936</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26,924</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51"/>
        </w:trPr>
        <w:tc>
          <w:tcPr>
            <w:tcW w:w="440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27,015</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27,018</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05"/>
        </w:trPr>
        <w:tc>
          <w:tcPr>
            <w:tcW w:w="440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64"/>
        </w:trPr>
        <w:tc>
          <w:tcPr>
            <w:tcW w:w="44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February 27, 2016</w:t>
            </w: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February 28, 2015</w:t>
            </w:r>
          </w:p>
        </w:tc>
        <w:tc>
          <w:tcPr>
            <w:tcW w:w="880" w:type="dxa"/>
            <w:vAlign w:val="bottom"/>
            <w:tcBorders>
              <w:bottom w:val="single" w:sz="8" w:color="auto"/>
            </w:tcBorders>
          </w:tcPr>
          <w:p>
            <w:pPr>
              <w:spacing w:after="0"/>
              <w:rPr>
                <w:sz w:val="22"/>
                <w:szCs w:val="22"/>
                <w:color w:val="auto"/>
              </w:rPr>
            </w:pP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439,895</w:t>
            </w:r>
          </w:p>
        </w:tc>
        <w:tc>
          <w:tcPr>
            <w:tcW w:w="3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458,946</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389,370</w:t>
            </w:r>
          </w:p>
        </w:tc>
        <w:tc>
          <w:tcPr>
            <w:tcW w:w="3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88.5%</w:t>
            </w:r>
          </w:p>
        </w:tc>
        <w:tc>
          <w:tcPr>
            <w:tcW w:w="4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410,302</w:t>
            </w: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89.4%</w:t>
            </w:r>
          </w:p>
        </w:tc>
      </w:tr>
      <w:tr>
        <w:trPr>
          <w:trHeight w:val="257"/>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50,525</w:t>
            </w:r>
          </w:p>
        </w:tc>
        <w:tc>
          <w:tcPr>
            <w:tcW w:w="34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11.5%</w:t>
            </w:r>
          </w:p>
        </w:tc>
        <w:tc>
          <w:tcPr>
            <w:tcW w:w="4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48,644</w:t>
            </w:r>
          </w:p>
        </w:tc>
        <w:tc>
          <w:tcPr>
            <w:tcW w:w="3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10.6%</w:t>
            </w:r>
          </w:p>
        </w:tc>
      </w:tr>
      <w:tr>
        <w:trPr>
          <w:trHeight w:val="254"/>
        </w:trPr>
        <w:tc>
          <w:tcPr>
            <w:tcW w:w="44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9,944</w:t>
            </w: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w:t>
            </w: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9,553</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w:t>
            </w:r>
          </w:p>
        </w:tc>
      </w:tr>
      <w:tr>
        <w:trPr>
          <w:trHeight w:val="264"/>
        </w:trPr>
        <w:tc>
          <w:tcPr>
            <w:tcW w:w="44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14,319</w:t>
            </w:r>
          </w:p>
        </w:tc>
        <w:tc>
          <w:tcPr>
            <w:tcW w:w="3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3.3%</w:t>
            </w:r>
          </w:p>
        </w:tc>
        <w:tc>
          <w:tcPr>
            <w:tcW w:w="4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12,701</w:t>
            </w: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w:t>
            </w:r>
          </w:p>
        </w:tc>
      </w:tr>
      <w:tr>
        <w:trPr>
          <w:trHeight w:val="250"/>
        </w:trPr>
        <w:tc>
          <w:tcPr>
            <w:tcW w:w="44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24,263</w:t>
            </w:r>
          </w:p>
        </w:tc>
        <w:tc>
          <w:tcPr>
            <w:tcW w:w="34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w:t>
            </w:r>
          </w:p>
        </w:tc>
        <w:tc>
          <w:tcPr>
            <w:tcW w:w="4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22,254</w:t>
            </w:r>
          </w:p>
        </w:tc>
        <w:tc>
          <w:tcPr>
            <w:tcW w:w="3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w:t>
            </w:r>
          </w:p>
        </w:tc>
      </w:tr>
      <w:tr>
        <w:trPr>
          <w:trHeight w:val="247"/>
        </w:trPr>
        <w:tc>
          <w:tcPr>
            <w:tcW w:w="44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26,262</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6.0%</w:t>
            </w: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26,390</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5.8%</w:t>
            </w:r>
          </w:p>
        </w:tc>
      </w:tr>
      <w:tr>
        <w:trPr>
          <w:trHeight w:val="273"/>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3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47"/>
        </w:trPr>
        <w:tc>
          <w:tcPr>
            <w:tcW w:w="44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26,379</w:t>
            </w:r>
          </w:p>
        </w:tc>
        <w:tc>
          <w:tcPr>
            <w:tcW w:w="34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6.0%</w:t>
            </w:r>
          </w:p>
        </w:tc>
        <w:tc>
          <w:tcPr>
            <w:tcW w:w="42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26,425</w:t>
            </w:r>
          </w:p>
        </w:tc>
        <w:tc>
          <w:tcPr>
            <w:tcW w:w="3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5.8%</w:t>
            </w:r>
          </w:p>
        </w:tc>
      </w:tr>
      <w:tr>
        <w:trPr>
          <w:trHeight w:val="273"/>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8,467</w:t>
            </w:r>
          </w:p>
        </w:tc>
        <w:tc>
          <w:tcPr>
            <w:tcW w:w="34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w:t>
            </w:r>
          </w:p>
        </w:tc>
        <w:tc>
          <w:tcPr>
            <w:tcW w:w="4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8,434</w:t>
            </w:r>
          </w:p>
        </w:tc>
        <w:tc>
          <w:tcPr>
            <w:tcW w:w="3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w:t>
            </w:r>
          </w:p>
        </w:tc>
      </w:tr>
      <w:tr>
        <w:trPr>
          <w:trHeight w:val="280"/>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17,912</w:t>
            </w:r>
          </w:p>
        </w:tc>
        <w:tc>
          <w:tcPr>
            <w:tcW w:w="34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w:t>
            </w:r>
          </w:p>
        </w:tc>
        <w:tc>
          <w:tcPr>
            <w:tcW w:w="4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17,991</w:t>
            </w:r>
          </w:p>
        </w:tc>
        <w:tc>
          <w:tcPr>
            <w:tcW w:w="3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w:t>
            </w:r>
          </w:p>
        </w:tc>
      </w:tr>
      <w:tr>
        <w:trPr>
          <w:trHeight w:val="254"/>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0"/>
        </w:trPr>
        <w:tc>
          <w:tcPr>
            <w:tcW w:w="4460" w:type="dxa"/>
            <w:vAlign w:val="bottom"/>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4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0"/>
        </w:trPr>
        <w:tc>
          <w:tcPr>
            <w:tcW w:w="446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4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26,956</w:t>
            </w: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26,946</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51"/>
        </w:trPr>
        <w:tc>
          <w:tcPr>
            <w:tcW w:w="4460" w:type="dxa"/>
            <w:vAlign w:val="bottom"/>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27,042</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27,048</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b w:val="1"/>
                <w:bCs w:val="1"/>
                <w:color w:val="auto"/>
              </w:rPr>
              <w:t>Feb 27,</w:t>
            </w:r>
          </w:p>
        </w:tc>
        <w:tc>
          <w:tcPr>
            <w:tcW w:w="280" w:type="dxa"/>
            <w:vAlign w:val="bottom"/>
          </w:tcPr>
          <w:p>
            <w:pPr>
              <w:spacing w:after="0"/>
              <w:rPr>
                <w:sz w:val="17"/>
                <w:szCs w:val="17"/>
                <w:color w:val="auto"/>
              </w:rPr>
            </w:pPr>
          </w:p>
        </w:tc>
        <w:tc>
          <w:tcPr>
            <w:tcW w:w="1320" w:type="dxa"/>
            <w:vAlign w:val="bottom"/>
          </w:tcPr>
          <w:p>
            <w:pPr>
              <w:jc w:val="right"/>
              <w:ind w:right="418"/>
              <w:spacing w:after="0"/>
              <w:rPr>
                <w:sz w:val="20"/>
                <w:szCs w:val="20"/>
                <w:color w:val="auto"/>
              </w:rPr>
            </w:pPr>
            <w:r>
              <w:rPr>
                <w:rFonts w:ascii="Arial" w:cs="Arial" w:eastAsia="Arial" w:hAnsi="Arial"/>
                <w:sz w:val="18"/>
                <w:szCs w:val="18"/>
                <w:b w:val="1"/>
                <w:bCs w:val="1"/>
                <w:color w:val="auto"/>
              </w:rPr>
              <w:t>Aug 29,</w:t>
            </w:r>
          </w:p>
        </w:tc>
      </w:tr>
      <w:tr>
        <w:trPr>
          <w:trHeight w:val="246"/>
        </w:trPr>
        <w:tc>
          <w:tcPr>
            <w:tcW w:w="7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2015</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36,872</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70,239</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70,060</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66,936</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134,169</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112,165</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13,038</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6,882</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9,995</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254,139</w:t>
            </w:r>
          </w:p>
        </w:tc>
        <w:tc>
          <w:tcPr>
            <w:tcW w:w="3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266,217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50,719</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37,250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26,531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26,172</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19,844</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21,994</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9,109</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10,541</w:t>
            </w:r>
          </w:p>
        </w:tc>
      </w:tr>
      <w:tr>
        <w:trPr>
          <w:trHeight w:val="24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360,342</w:t>
            </w: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362,174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4"/>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AND SHAREHOLDERS' EQUITY</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41,461</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33,158</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2"/>
                <w:szCs w:val="22"/>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2,314</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42,428</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46,138</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83,889</w:t>
            </w:r>
          </w:p>
        </w:tc>
        <w:tc>
          <w:tcPr>
            <w:tcW w:w="3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81,610</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2,248</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2,511</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 net of current portion</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26,572</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57,090</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non-current liabilities</w:t>
            </w:r>
          </w:p>
        </w:tc>
        <w:tc>
          <w:tcPr>
            <w:tcW w:w="2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28,820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59,601</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247,633</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220,963</w:t>
            </w:r>
          </w:p>
        </w:tc>
      </w:tr>
      <w:tr>
        <w:trPr>
          <w:trHeight w:val="240"/>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360,342</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362,174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38"/>
              <w:spacing w:after="0"/>
              <w:rPr>
                <w:sz w:val="20"/>
                <w:szCs w:val="20"/>
                <w:color w:val="auto"/>
              </w:rPr>
            </w:pPr>
            <w:r>
              <w:rPr>
                <w:rFonts w:ascii="Arial" w:cs="Arial" w:eastAsia="Arial" w:hAnsi="Arial"/>
                <w:sz w:val="18"/>
                <w:szCs w:val="18"/>
                <w:b w:val="1"/>
                <w:bCs w:val="1"/>
                <w:color w:val="auto"/>
              </w:rPr>
              <w:t>Feb 27,</w:t>
            </w:r>
          </w:p>
        </w:tc>
        <w:tc>
          <w:tcPr>
            <w:tcW w:w="360" w:type="dxa"/>
            <w:vAlign w:val="bottom"/>
          </w:tcPr>
          <w:p>
            <w:pPr>
              <w:spacing w:after="0"/>
              <w:rPr>
                <w:sz w:val="17"/>
                <w:szCs w:val="17"/>
                <w:color w:val="auto"/>
              </w:rPr>
            </w:pPr>
          </w:p>
        </w:tc>
        <w:tc>
          <w:tcPr>
            <w:tcW w:w="1280" w:type="dxa"/>
            <w:vAlign w:val="bottom"/>
          </w:tcPr>
          <w:p>
            <w:pPr>
              <w:jc w:val="right"/>
              <w:ind w:right="418"/>
              <w:spacing w:after="0"/>
              <w:rPr>
                <w:sz w:val="20"/>
                <w:szCs w:val="20"/>
                <w:color w:val="auto"/>
              </w:rPr>
            </w:pPr>
            <w:r>
              <w:rPr>
                <w:rFonts w:ascii="Arial" w:cs="Arial" w:eastAsia="Arial" w:hAnsi="Arial"/>
                <w:sz w:val="18"/>
                <w:szCs w:val="18"/>
                <w:b w:val="1"/>
                <w:bCs w:val="1"/>
                <w:color w:val="auto"/>
              </w:rPr>
              <w:t>Feb 28,</w:t>
            </w:r>
          </w:p>
        </w:tc>
      </w:tr>
      <w:tr>
        <w:trPr>
          <w:trHeight w:val="246"/>
        </w:trPr>
        <w:tc>
          <w:tcPr>
            <w:tcW w:w="8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2015</w:t>
            </w: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17,912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17,991</w:t>
            </w:r>
          </w:p>
        </w:tc>
      </w:tr>
      <w:tr>
        <w:trPr>
          <w:trHeight w:val="28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2,763</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2,125</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588</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626</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1,266</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1,348</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819</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7,127</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(1,915)</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(338)</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doubtful accounts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Loss (gain) on disposal of property</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(35)</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(401)</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(462)</w:t>
            </w:r>
          </w:p>
        </w:tc>
      </w:tr>
      <w:tr>
        <w:trPr>
          <w:trHeight w:val="28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(22,592)</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(37,619)</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prepaid and other 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(7,560)</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Investment in operating leases, net of repurchase obligations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(72)</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(11,258)</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5,265</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(4,075)</w:t>
            </w:r>
          </w:p>
        </w:tc>
      </w:tr>
      <w:tr>
        <w:trPr>
          <w:trHeight w:val="246"/>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(1,852)</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(8,812)</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(34,052)</w:t>
            </w:r>
          </w:p>
        </w:tc>
      </w:tr>
      <w:tr>
        <w:trPr>
          <w:trHeight w:val="162"/>
        </w:trPr>
        <w:tc>
          <w:tcPr>
            <w:tcW w:w="8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(16,357)</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(5,154)</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Proceeds from the sale of property</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43</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295</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r>
        <w:trPr>
          <w:trHeight w:val="237"/>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294</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(16,055)</w:t>
            </w: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for 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of cash dividends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Borrowings 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Repayment of loans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(3,054)</w:t>
            </w:r>
          </w:p>
        </w:tc>
        <w:tc>
          <w:tcPr>
            <w:tcW w:w="54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(6,141)</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(5,455)</w:t>
            </w:r>
          </w:p>
        </w:tc>
        <w:tc>
          <w:tcPr>
            <w:tcW w:w="54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(4,883)</w:t>
            </w:r>
          </w:p>
        </w:tc>
      </w:tr>
      <w:tr>
        <w:trPr>
          <w:trHeight w:val="243"/>
        </w:trPr>
        <w:tc>
          <w:tcPr>
            <w:tcW w:w="46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1"/>
                <w:szCs w:val="21"/>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22,000</w:t>
            </w:r>
          </w:p>
        </w:tc>
      </w:tr>
      <w:tr>
        <w:trPr>
          <w:trHeight w:val="243"/>
        </w:trPr>
        <w:tc>
          <w:tcPr>
            <w:tcW w:w="46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(22,000)</w:t>
            </w:r>
          </w:p>
        </w:tc>
      </w:tr>
      <w:tr>
        <w:trPr>
          <w:trHeight w:val="256"/>
        </w:trPr>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w:t>
            </w:r>
          </w:p>
        </w:tc>
      </w:tr>
      <w:tr>
        <w:trPr>
          <w:trHeight w:val="237"/>
        </w:trPr>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w:t>
            </w: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(10,997)</w:t>
            </w:r>
          </w:p>
        </w:tc>
      </w:tr>
      <w:tr>
        <w:trPr>
          <w:trHeight w:val="507"/>
        </w:trPr>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(33,367)</w:t>
            </w:r>
          </w:p>
        </w:tc>
        <w:tc>
          <w:tcPr>
            <w:tcW w:w="54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(49,866)</w:t>
            </w:r>
          </w:p>
        </w:tc>
      </w:tr>
      <w:tr>
        <w:trPr>
          <w:trHeight w:val="256"/>
        </w:trPr>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70,239</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57,804</w:t>
            </w:r>
          </w:p>
        </w:tc>
      </w:tr>
      <w:tr>
        <w:trPr>
          <w:trHeight w:val="237"/>
        </w:trPr>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36,872</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7,938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3140"/>
          </w:cols>
          <w:pgMar w:left="240" w:top="576" w:right="239" w:bottom="1440" w:gutter="0" w:footer="0" w:header="0"/>
          <w:type w:val="continuous"/>
        </w:sectPr>
      </w:pP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cash flow disclosure: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80" w:type="dxa"/>
            <w:vAlign w:val="bottom"/>
          </w:tcPr>
          <w:p>
            <w:pPr>
              <w:ind w:left="280"/>
              <w:spacing w:after="0"/>
              <w:rPr>
                <w:sz w:val="20"/>
                <w:szCs w:val="20"/>
                <w:color w:val="auto"/>
              </w:rPr>
            </w:pPr>
            <w:r>
              <w:rPr>
                <w:rFonts w:ascii="Arial" w:cs="Arial" w:eastAsia="Arial" w:hAnsi="Arial"/>
                <w:sz w:val="16"/>
                <w:szCs w:val="16"/>
                <w:color w:val="auto"/>
              </w:rPr>
              <w:t>Income taxes paid, net</w:t>
            </w:r>
          </w:p>
        </w:tc>
        <w:tc>
          <w:tcPr>
            <w:tcW w:w="30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12,848</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12,565</w:t>
            </w:r>
          </w:p>
        </w:tc>
      </w:tr>
      <w:tr>
        <w:trPr>
          <w:trHeight w:val="253"/>
        </w:trPr>
        <w:tc>
          <w:tcPr>
            <w:tcW w:w="5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paid</w:t>
            </w:r>
          </w:p>
        </w:tc>
        <w:tc>
          <w:tcPr>
            <w:tcW w:w="3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w:t>
            </w:r>
          </w:p>
        </w:tc>
      </w:tr>
      <w:tr>
        <w:trPr>
          <w:trHeight w:val="284"/>
        </w:trPr>
        <w:tc>
          <w:tcPr>
            <w:tcW w:w="5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30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4"/>
        </w:trPr>
        <w:tc>
          <w:tcPr>
            <w:tcW w:w="5780" w:type="dxa"/>
            <w:vAlign w:val="bottom"/>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30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57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3240" w:type="dxa"/>
            <w:vAlign w:val="bottom"/>
          </w:tcPr>
          <w:p>
            <w:pPr>
              <w:spacing w:after="0"/>
              <w:rPr>
                <w:sz w:val="17"/>
                <w:szCs w:val="17"/>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Feb 27,</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20" w:type="dxa"/>
            <w:vAlign w:val="bottom"/>
          </w:tcPr>
          <w:p>
            <w:pPr>
              <w:jc w:val="right"/>
              <w:ind w:right="479"/>
              <w:spacing w:after="0"/>
              <w:rPr>
                <w:sz w:val="20"/>
                <w:szCs w:val="20"/>
                <w:color w:val="auto"/>
              </w:rPr>
            </w:pPr>
            <w:r>
              <w:rPr>
                <w:rFonts w:ascii="Arial" w:cs="Arial" w:eastAsia="Arial" w:hAnsi="Arial"/>
                <w:sz w:val="16"/>
                <w:szCs w:val="16"/>
                <w:b w:val="1"/>
                <w:bCs w:val="1"/>
                <w:color w:val="auto"/>
              </w:rPr>
              <w:t>Feb 28,</w:t>
            </w:r>
          </w:p>
        </w:tc>
        <w:tc>
          <w:tcPr>
            <w:tcW w:w="142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060" w:type="dxa"/>
            <w:vAlign w:val="bottom"/>
          </w:tcPr>
          <w:p>
            <w:pPr>
              <w:spacing w:after="0"/>
              <w:rPr>
                <w:sz w:val="17"/>
                <w:szCs w:val="17"/>
                <w:color w:val="auto"/>
              </w:rPr>
            </w:pPr>
          </w:p>
        </w:tc>
        <w:tc>
          <w:tcPr>
            <w:tcW w:w="166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34"/>
        </w:trPr>
        <w:tc>
          <w:tcPr>
            <w:tcW w:w="324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Units</w:t>
            </w:r>
          </w:p>
        </w:tc>
        <w:tc>
          <w:tcPr>
            <w:tcW w:w="166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3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836</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41.1%</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810</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38.5%</w:t>
            </w:r>
          </w:p>
        </w:tc>
        <w:tc>
          <w:tcPr>
            <w:tcW w:w="12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3.2 %</w:t>
            </w: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Class B</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258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277</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(6.9)%</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939</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1,017</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r>
      <w:tr>
        <w:trPr>
          <w:trHeight w:val="280"/>
        </w:trPr>
        <w:tc>
          <w:tcPr>
            <w:tcW w:w="32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motorhomes</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2,033</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2,104</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w:t>
            </w:r>
          </w:p>
        </w:tc>
      </w:tr>
      <w:tr>
        <w:trPr>
          <w:trHeight w:val="254"/>
        </w:trPr>
        <w:tc>
          <w:tcPr>
            <w:tcW w:w="3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796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83.4%</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508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288</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56.7 %</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97</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62.9 %</w:t>
            </w:r>
          </w:p>
        </w:tc>
      </w:tr>
      <w:tr>
        <w:trPr>
          <w:trHeight w:val="237"/>
        </w:trPr>
        <w:tc>
          <w:tcPr>
            <w:tcW w:w="324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954</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605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349</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57.7 %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3810</wp:posOffset>
            </wp:positionV>
            <wp:extent cx="518858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8585" cy="26035"/>
                    </a:xfrm>
                    <a:prstGeom prst="rect">
                      <a:avLst/>
                    </a:prstGeom>
                    <a:noFill/>
                  </pic:spPr>
                </pic:pic>
              </a:graphicData>
            </a:graphic>
          </wp:anchor>
        </w:drawing>
      </w:r>
    </w:p>
    <w:p>
      <w:pPr>
        <w:spacing w:after="0" w:line="2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 Backlog</w:t>
      </w:r>
      <w:r>
        <w:rPr>
          <w:rFonts w:ascii="Arial" w:cs="Arial" w:eastAsia="Arial" w:hAnsi="Arial"/>
          <w:sz w:val="21"/>
          <w:szCs w:val="21"/>
          <w:b w:val="1"/>
          <w:bCs w:val="1"/>
          <w:color w:val="auto"/>
          <w:vertAlign w:val="superscript"/>
        </w:rPr>
        <w:t>(1)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 Of</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8"/>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b w:val="1"/>
                <w:bCs w:val="1"/>
                <w:color w:val="auto"/>
              </w:rPr>
              <w:t>Feb 27,</w:t>
            </w:r>
          </w:p>
        </w:tc>
        <w:tc>
          <w:tcPr>
            <w:tcW w:w="3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 28,</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5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70"/>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2,792</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517</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22.7 %</w:t>
            </w:r>
          </w:p>
        </w:tc>
      </w:tr>
      <w:tr>
        <w:trPr>
          <w:trHeight w:val="260"/>
        </w:trPr>
        <w:tc>
          <w:tcPr>
            <w:tcW w:w="5900" w:type="dxa"/>
            <w:vAlign w:val="bottom"/>
          </w:tcPr>
          <w:p>
            <w:pPr>
              <w:ind w:left="40"/>
              <w:spacing w:after="0"/>
              <w:rPr>
                <w:sz w:val="20"/>
                <w:szCs w:val="20"/>
                <w:color w:val="auto"/>
              </w:rPr>
            </w:pPr>
            <w:r>
              <w:rPr>
                <w:rFonts w:ascii="Arial" w:cs="Arial" w:eastAsia="Arial" w:hAnsi="Arial"/>
                <w:sz w:val="16"/>
                <w:szCs w:val="16"/>
                <w:color w:val="auto"/>
              </w:rPr>
              <w:t>Towables</w:t>
            </w:r>
          </w:p>
        </w:tc>
        <w:tc>
          <w:tcPr>
            <w:tcW w:w="2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tcPr>
          <w:p>
            <w:pPr>
              <w:jc w:val="right"/>
              <w:ind w:right="679"/>
              <w:spacing w:after="0"/>
              <w:rPr>
                <w:sz w:val="20"/>
                <w:szCs w:val="20"/>
                <w:color w:val="auto"/>
              </w:rPr>
            </w:pPr>
            <w:r>
              <w:rPr>
                <w:rFonts w:ascii="Arial" w:cs="Arial" w:eastAsia="Arial" w:hAnsi="Arial"/>
                <w:sz w:val="16"/>
                <w:szCs w:val="16"/>
                <w:color w:val="auto"/>
              </w:rPr>
              <w:t>38</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29.2 %</w:t>
            </w:r>
          </w:p>
        </w:tc>
      </w:tr>
      <w:tr>
        <w:trPr>
          <w:trHeight w:val="280"/>
        </w:trPr>
        <w:tc>
          <w:tcPr>
            <w:tcW w:w="5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0"/>
        </w:trPr>
        <w:tc>
          <w:tcPr>
            <w:tcW w:w="5900" w:type="dxa"/>
            <w:vAlign w:val="bottom"/>
          </w:tcPr>
          <w:p>
            <w:pPr>
              <w:ind w:left="40"/>
              <w:spacing w:after="0"/>
              <w:rPr>
                <w:sz w:val="20"/>
                <w:szCs w:val="20"/>
                <w:color w:val="auto"/>
              </w:rPr>
            </w:pPr>
            <w:r>
              <w:rPr>
                <w:rFonts w:ascii="Arial" w:cs="Arial" w:eastAsia="Arial" w:hAnsi="Arial"/>
                <w:sz w:val="16"/>
                <w:szCs w:val="16"/>
                <w:color w:val="auto"/>
              </w:rPr>
              <w:t>Approximate backlog revenue dollars (in 000's):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253,492</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216,228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37,264</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17.2 %</w:t>
            </w:r>
          </w:p>
        </w:tc>
      </w:tr>
      <w:tr>
        <w:trPr>
          <w:trHeight w:val="251"/>
        </w:trPr>
        <w:tc>
          <w:tcPr>
            <w:tcW w:w="5900" w:type="dxa"/>
            <w:vAlign w:val="bottom"/>
          </w:tcPr>
          <w:p>
            <w:pPr>
              <w:ind w:left="40"/>
              <w:spacing w:after="0"/>
              <w:rPr>
                <w:sz w:val="20"/>
                <w:szCs w:val="20"/>
                <w:color w:val="auto"/>
              </w:rPr>
            </w:pPr>
            <w:r>
              <w:rPr>
                <w:rFonts w:ascii="Arial" w:cs="Arial" w:eastAsia="Arial" w:hAnsi="Arial"/>
                <w:sz w:val="16"/>
                <w:szCs w:val="16"/>
                <w:color w:val="auto"/>
              </w:rPr>
              <w:t>Towables</w:t>
            </w:r>
          </w:p>
        </w:tc>
        <w:tc>
          <w:tcPr>
            <w:tcW w:w="2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3,336</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jc w:val="right"/>
              <w:ind w:right="639"/>
              <w:spacing w:after="0"/>
              <w:rPr>
                <w:sz w:val="20"/>
                <w:szCs w:val="20"/>
                <w:color w:val="auto"/>
              </w:rPr>
            </w:pPr>
            <w:r>
              <w:rPr>
                <w:rFonts w:ascii="Arial" w:cs="Arial" w:eastAsia="Arial" w:hAnsi="Arial"/>
                <w:sz w:val="16"/>
                <w:szCs w:val="16"/>
                <w:color w:val="auto"/>
              </w:rPr>
              <w:t>(785)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(19.0)%</w:t>
            </w:r>
          </w:p>
        </w:tc>
      </w:tr>
    </w:tbl>
    <w:p>
      <w:pPr>
        <w:spacing w:after="0" w:line="24" w:lineRule="exact"/>
        <w:rPr>
          <w:sz w:val="20"/>
          <w:szCs w:val="20"/>
          <w:color w:val="auto"/>
        </w:rPr>
      </w:pPr>
    </w:p>
    <w:p>
      <w:pPr>
        <w:ind w:left="340" w:right="640" w:hanging="332"/>
        <w:spacing w:after="0" w:line="218"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Units As Of</w:t>
            </w:r>
          </w:p>
        </w:tc>
        <w:tc>
          <w:tcPr>
            <w:tcW w:w="1100" w:type="dxa"/>
            <w:vAlign w:val="bottom"/>
            <w:tcBorders>
              <w:bottom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98"/>
        </w:trPr>
        <w:tc>
          <w:tcPr>
            <w:tcW w:w="5780" w:type="dxa"/>
            <w:vAlign w:val="bottom"/>
          </w:tcPr>
          <w:p>
            <w:pPr>
              <w:spacing w:after="0"/>
              <w:rPr>
                <w:sz w:val="17"/>
                <w:szCs w:val="17"/>
                <w:color w:val="auto"/>
              </w:rPr>
            </w:pPr>
          </w:p>
        </w:tc>
        <w:tc>
          <w:tcPr>
            <w:tcW w:w="1980" w:type="dxa"/>
            <w:vAlign w:val="bottom"/>
          </w:tcPr>
          <w:p>
            <w:pPr>
              <w:jc w:val="right"/>
              <w:ind w:right="939"/>
              <w:spacing w:after="0"/>
              <w:rPr>
                <w:sz w:val="20"/>
                <w:szCs w:val="20"/>
                <w:color w:val="auto"/>
              </w:rPr>
            </w:pPr>
            <w:r>
              <w:rPr>
                <w:rFonts w:ascii="Arial" w:cs="Arial" w:eastAsia="Arial" w:hAnsi="Arial"/>
                <w:sz w:val="16"/>
                <w:szCs w:val="16"/>
                <w:b w:val="1"/>
                <w:bCs w:val="1"/>
                <w:color w:val="auto"/>
              </w:rPr>
              <w:t>Feb 27,</w:t>
            </w: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Feb 28,</w:t>
            </w:r>
          </w:p>
        </w:tc>
        <w:tc>
          <w:tcPr>
            <w:tcW w:w="17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8"/>
        </w:trPr>
        <w:tc>
          <w:tcPr>
            <w:tcW w:w="57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2016</w:t>
            </w: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20" w:type="dxa"/>
            <w:vAlign w:val="bottom"/>
            <w:tcBorders>
              <w:bottom w:val="single" w:sz="8" w:color="auto"/>
            </w:tcBorders>
          </w:tcPr>
          <w:p>
            <w:pPr>
              <w:spacing w:after="0"/>
              <w:rPr>
                <w:sz w:val="19"/>
                <w:szCs w:val="19"/>
                <w:color w:val="auto"/>
              </w:rPr>
            </w:pP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9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4,737</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4,778</w:t>
            </w:r>
          </w:p>
        </w:tc>
        <w:tc>
          <w:tcPr>
            <w:tcW w:w="17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(41)</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r>
      <w:tr>
        <w:trPr>
          <w:trHeight w:val="251"/>
        </w:trPr>
        <w:tc>
          <w:tcPr>
            <w:tcW w:w="5780" w:type="dxa"/>
            <w:vAlign w:val="bottom"/>
          </w:tcPr>
          <w:p>
            <w:pPr>
              <w:ind w:left="40"/>
              <w:spacing w:after="0"/>
              <w:rPr>
                <w:sz w:val="20"/>
                <w:szCs w:val="20"/>
                <w:color w:val="auto"/>
              </w:rPr>
            </w:pPr>
            <w:r>
              <w:rPr>
                <w:rFonts w:ascii="Arial" w:cs="Arial" w:eastAsia="Arial" w:hAnsi="Arial"/>
                <w:sz w:val="16"/>
                <w:szCs w:val="16"/>
                <w:color w:val="auto"/>
              </w:rPr>
              <w:t>Towables</w:t>
            </w:r>
          </w:p>
        </w:tc>
        <w:tc>
          <w:tcPr>
            <w:tcW w:w="1980" w:type="dxa"/>
            <w:vAlign w:val="bottom"/>
          </w:tcPr>
          <w:p>
            <w:pPr>
              <w:jc w:val="right"/>
              <w:ind w:right="579"/>
              <w:spacing w:after="0"/>
              <w:rPr>
                <w:sz w:val="20"/>
                <w:szCs w:val="20"/>
                <w:color w:val="auto"/>
              </w:rPr>
            </w:pPr>
            <w:r>
              <w:rPr>
                <w:rFonts w:ascii="Arial" w:cs="Arial" w:eastAsia="Arial" w:hAnsi="Arial"/>
                <w:sz w:val="16"/>
                <w:szCs w:val="16"/>
                <w:color w:val="auto"/>
              </w:rPr>
              <w:t>2,306</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1,877</w:t>
            </w:r>
          </w:p>
        </w:tc>
        <w:tc>
          <w:tcPr>
            <w:tcW w:w="1740" w:type="dxa"/>
            <w:vAlign w:val="bottom"/>
          </w:tcPr>
          <w:p>
            <w:pPr>
              <w:jc w:val="right"/>
              <w:ind w:right="659"/>
              <w:spacing w:after="0"/>
              <w:rPr>
                <w:sz w:val="20"/>
                <w:szCs w:val="20"/>
                <w:color w:val="auto"/>
              </w:rPr>
            </w:pPr>
            <w:r>
              <w:rPr>
                <w:rFonts w:ascii="Arial" w:cs="Arial" w:eastAsia="Arial" w:hAnsi="Arial"/>
                <w:sz w:val="16"/>
                <w:szCs w:val="16"/>
                <w:color w:val="auto"/>
              </w:rPr>
              <w:t>429</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22.9 %</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2019-12-05T12:48:27Z</dcterms:created>
  <dcterms:modified xsi:type="dcterms:W3CDTF">2019-12-05T12:48:27Z</dcterms:modified>
</cp:coreProperties>
</file>