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tbl>
      <w:tblPr>
        <w:tblW w:w="10205" w:type="dxa"/>
        <w:jc w:val="center"/>
        <w:tblInd w:w="0" w:type="dxa"/>
        <w:tblLayout w:type="fixed"/>
        <w:tblCellMar>
          <w:top w:w="28" w:type="dxa"/>
          <w:left w:w="28" w:type="dxa"/>
          <w:bottom w:w="28" w:type="dxa"/>
          <w:right w:w="28" w:type="dxa"/>
        </w:tblCellMar>
      </w:tblPr>
      <w:tblGrid>
        <w:gridCol w:w="191"/>
        <w:gridCol w:w="167"/>
        <w:gridCol w:w="167"/>
        <w:gridCol w:w="3099"/>
        <w:gridCol w:w="3099"/>
        <w:gridCol w:w="3107"/>
        <w:gridCol w:w="109"/>
        <w:gridCol w:w="109"/>
        <w:gridCol w:w="157"/>
      </w:tblGrid>
      <w:tr>
        <w:trPr/>
        <w:tc>
          <w:tcPr>
            <w:tcW w:w="1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 One)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180"/>
              <w:jc w:val="left"/>
              <w:rPr>
                <w:color w:val="000000"/>
              </w:rPr>
            </w:pPr>
            <w:r>
              <w:rPr>
                <w:color w:val="000000"/>
              </w:rPr>
              <w:t>☒</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 the quarterly period ended May 27, 2023 </w:t>
      </w:r>
    </w:p>
    <w:tbl>
      <w:tblPr>
        <w:tblW w:w="10010" w:type="dxa"/>
        <w:jc w:val="left"/>
        <w:tblInd w:w="0" w:type="dxa"/>
        <w:tblLayout w:type="fixed"/>
        <w:tblCellMar>
          <w:top w:w="28" w:type="dxa"/>
          <w:left w:w="28" w:type="dxa"/>
          <w:bottom w:w="28" w:type="dxa"/>
          <w:right w:w="28" w:type="dxa"/>
        </w:tblCellMar>
      </w:tblPr>
      <w:tblGrid>
        <w:gridCol w:w="124"/>
        <w:gridCol w:w="109"/>
        <w:gridCol w:w="109"/>
        <w:gridCol w:w="1548"/>
        <w:gridCol w:w="1548"/>
        <w:gridCol w:w="1548"/>
        <w:gridCol w:w="1548"/>
        <w:gridCol w:w="1548"/>
        <w:gridCol w:w="1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transition period from _________________ to _________________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Commission File Number: 001-06403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3800475"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00475" cy="1095375"/>
                    </a:xfrm>
                    <a:prstGeom prst="rect">
                      <a:avLst/>
                    </a:prstGeom>
                  </pic:spPr>
                </pic:pic>
              </a:graphicData>
            </a:graphic>
          </wp:inline>
        </w:drawing>
      </w:r>
    </w:p>
    <w:tbl>
      <w:tblPr>
        <w:tblW w:w="5654" w:type="dxa"/>
        <w:jc w:val="center"/>
        <w:tblInd w:w="0" w:type="dxa"/>
        <w:tblLayout w:type="fixed"/>
        <w:tblCellMar>
          <w:top w:w="28" w:type="dxa"/>
          <w:left w:w="28" w:type="dxa"/>
          <w:bottom w:w="28" w:type="dxa"/>
          <w:right w:w="28" w:type="dxa"/>
        </w:tblCellMar>
      </w:tblPr>
      <w:tblGrid>
        <w:gridCol w:w="411"/>
        <w:gridCol w:w="363"/>
        <w:gridCol w:w="363"/>
        <w:gridCol w:w="363"/>
        <w:gridCol w:w="363"/>
        <w:gridCol w:w="363"/>
        <w:gridCol w:w="363"/>
        <w:gridCol w:w="363"/>
        <w:gridCol w:w="363"/>
        <w:gridCol w:w="363"/>
        <w:gridCol w:w="363"/>
        <w:gridCol w:w="363"/>
        <w:gridCol w:w="363"/>
        <w:gridCol w:w="363"/>
        <w:gridCol w:w="524"/>
      </w:tblGrid>
      <w:tr>
        <w:trPr/>
        <w:tc>
          <w:tcPr>
            <w:tcW w:w="41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5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36"/>
              </w:rPr>
            </w:pPr>
            <w:r>
              <w:rPr>
                <w:rFonts w:ascii="Arial;sans-serif" w:hAnsi="Arial;sans-serif"/>
                <w:b/>
                <w:color w:val="000000"/>
                <w:sz w:val="36"/>
              </w:rPr>
              <w:t>WINNEBAGO INDUSTRIES, INC.</w:t>
            </w:r>
          </w:p>
        </w:tc>
      </w:tr>
      <w:tr>
        <w:trPr/>
        <w:tc>
          <w:tcPr>
            <w:tcW w:w="5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bl>
    <w:tbl>
      <w:tblPr>
        <w:tblW w:w="8559" w:type="dxa"/>
        <w:jc w:val="center"/>
        <w:tblInd w:w="0" w:type="dxa"/>
        <w:tblLayout w:type="fixed"/>
        <w:tblCellMar>
          <w:top w:w="28" w:type="dxa"/>
          <w:left w:w="28" w:type="dxa"/>
          <w:bottom w:w="28" w:type="dxa"/>
          <w:right w:w="28" w:type="dxa"/>
        </w:tblCellMar>
      </w:tblPr>
      <w:tblGrid>
        <w:gridCol w:w="642"/>
        <w:gridCol w:w="564"/>
        <w:gridCol w:w="564"/>
        <w:gridCol w:w="530"/>
        <w:gridCol w:w="530"/>
        <w:gridCol w:w="530"/>
        <w:gridCol w:w="530"/>
        <w:gridCol w:w="530"/>
        <w:gridCol w:w="546"/>
        <w:gridCol w:w="109"/>
        <w:gridCol w:w="109"/>
        <w:gridCol w:w="109"/>
        <w:gridCol w:w="109"/>
        <w:gridCol w:w="109"/>
        <w:gridCol w:w="109"/>
        <w:gridCol w:w="456"/>
        <w:gridCol w:w="456"/>
        <w:gridCol w:w="456"/>
        <w:gridCol w:w="456"/>
        <w:gridCol w:w="456"/>
        <w:gridCol w:w="659"/>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49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42-0802678</w:t>
            </w:r>
          </w:p>
        </w:tc>
      </w:tr>
      <w:tr>
        <w:trPr/>
        <w:tc>
          <w:tcPr>
            <w:tcW w:w="4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9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13200 Pioneer Trail</w:t>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Eden Prairie</w:t>
            </w:r>
          </w:p>
        </w:tc>
        <w:tc>
          <w:tcPr>
            <w:tcW w:w="16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55347</w:t>
            </w:r>
          </w:p>
        </w:tc>
      </w:tr>
      <w:tr>
        <w:trPr/>
        <w:tc>
          <w:tcPr>
            <w:tcW w:w="4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952-829-8600</w:t>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$0.50 par value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WGO</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Large Accelerated Filer </w:t>
      </w:r>
      <w:r>
        <w:rPr>
          <w:color w:val="000000"/>
        </w:rPr>
        <w:t>☒    </w:t>
      </w:r>
      <w:r>
        <w:rPr>
          <w:rFonts w:ascii="Arial;sans-serif" w:hAnsi="Arial;sans-serif"/>
          <w:b w:val="false"/>
          <w:color w:val="000000"/>
          <w:sz w:val="18"/>
        </w:rPr>
        <w:t xml:space="preserve">Accelerated Filer ☐    Non-accelerated filer ☐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 xml:space="preserve">Smaller Reporting Company ☐        Emerging Growth Company ☐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June 15, 2023, there were 30,210,602 shares of common stock, par value $0.50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Winnebago Industries,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Quarterly Report on Form 10-Q</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For the Quarterly Period Ended May 27, 2023</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Table of Contents</w:t>
      </w:r>
    </w:p>
    <w:tbl>
      <w:tblPr>
        <w:tblW w:w="8546" w:type="dxa"/>
        <w:jc w:val="left"/>
        <w:tblInd w:w="0" w:type="dxa"/>
        <w:tblLayout w:type="fixed"/>
        <w:tblCellMar>
          <w:top w:w="28" w:type="dxa"/>
          <w:left w:w="28" w:type="dxa"/>
          <w:bottom w:w="28" w:type="dxa"/>
          <w:right w:w="28" w:type="dxa"/>
        </w:tblCellMar>
      </w:tblPr>
      <w:tblGrid>
        <w:gridCol w:w="288"/>
        <w:gridCol w:w="252"/>
        <w:gridCol w:w="255"/>
        <w:gridCol w:w="2458"/>
        <w:gridCol w:w="2458"/>
        <w:gridCol w:w="2463"/>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0">
              <w:r>
                <w:rPr>
                  <w:rStyle w:val="InternetLink"/>
                  <w:rFonts w:ascii="Arial;sans-serif" w:hAnsi="Arial;sans-serif"/>
                  <w:b/>
                  <w:color w:val="0000FF"/>
                  <w:sz w:val="18"/>
                  <w:u w:val="single"/>
                </w:rPr>
                <w:t>PART I.</w:t>
              </w:r>
            </w:hyperlink>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0">
              <w:r>
                <w:rPr>
                  <w:rStyle w:val="InternetLink"/>
                  <w:rFonts w:ascii="Arial;sans-serif" w:hAnsi="Arial;sans-serif"/>
                  <w:b/>
                  <w:color w:val="0000FF"/>
                  <w:sz w:val="18"/>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0">
              <w:r>
                <w:rPr>
                  <w:rStyle w:val="InternetLink"/>
                  <w:rFonts w:ascii="Arial;sans-serif" w:hAnsi="Arial;sans-serif"/>
                  <w:b w:val="false"/>
                  <w:color w:val="0000FF"/>
                  <w:sz w:val="18"/>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3">
              <w:r>
                <w:rPr>
                  <w:rStyle w:val="InternetLink"/>
                  <w:rFonts w:ascii="Arial;sans-serif" w:hAnsi="Arial;sans-serif"/>
                  <w:b w:val="false"/>
                  <w:color w:val="0000FF"/>
                  <w:sz w:val="18"/>
                  <w:u w:val="single"/>
                </w:rPr>
                <w:t>Item 1.</w:t>
              </w:r>
            </w:hyperlink>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3">
              <w:r>
                <w:rPr>
                  <w:rStyle w:val="InternetLink"/>
                  <w:rFonts w:ascii="Arial;sans-serif" w:hAnsi="Arial;sans-serif"/>
                  <w:b w:val="false"/>
                  <w:color w:val="0000FF"/>
                  <w:sz w:val="18"/>
                  <w:u w:val="single"/>
                </w:rPr>
                <w:t>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3">
              <w:r>
                <w:rPr>
                  <w:rStyle w:val="InternetLink"/>
                  <w:rFonts w:ascii="Arial;sans-serif" w:hAnsi="Arial;sans-serif"/>
                  <w:b w:val="false"/>
                  <w:color w:val="0000FF"/>
                  <w:sz w:val="18"/>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6">
              <w:r>
                <w:rPr>
                  <w:rStyle w:val="InternetLink"/>
                  <w:rFonts w:ascii="Arial;sans-serif" w:hAnsi="Arial;sans-serif"/>
                  <w:b w:val="false"/>
                  <w:color w:val="0000FF"/>
                  <w:sz w:val="18"/>
                  <w:u w:val="single"/>
                </w:rPr>
                <w:t>Consolidated Statements of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6">
              <w:r>
                <w:rPr>
                  <w:rStyle w:val="InternetLink"/>
                  <w:rFonts w:ascii="Arial;sans-serif" w:hAnsi="Arial;sans-serif"/>
                  <w:b w:val="false"/>
                  <w:color w:val="0000FF"/>
                  <w:sz w:val="18"/>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9">
              <w:r>
                <w:rPr>
                  <w:rStyle w:val="InternetLink"/>
                  <w:rFonts w:ascii="Arial;sans-serif" w:hAnsi="Arial;sans-serif"/>
                  <w:b w:val="false"/>
                  <w:color w:val="0000FF"/>
                  <w:sz w:val="18"/>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9">
              <w:r>
                <w:rPr>
                  <w:rStyle w:val="InternetLink"/>
                  <w:rFonts w:ascii="Arial;sans-serif" w:hAnsi="Arial;sans-serif"/>
                  <w:b w:val="false"/>
                  <w:color w:val="0000FF"/>
                  <w:sz w:val="18"/>
                  <w:u w:val="single"/>
                </w:rPr>
                <w:t>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22">
              <w:r>
                <w:rPr>
                  <w:rStyle w:val="InternetLink"/>
                  <w:rFonts w:ascii="Arial;sans-serif" w:hAnsi="Arial;sans-serif"/>
                  <w:b w:val="false"/>
                  <w:color w:val="0000FF"/>
                  <w:sz w:val="18"/>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22">
              <w:r>
                <w:rPr>
                  <w:rStyle w:val="InternetLink"/>
                  <w:rFonts w:ascii="Arial;sans-serif" w:hAnsi="Arial;sans-serif"/>
                  <w:b w:val="false"/>
                  <w:color w:val="0000FF"/>
                  <w:sz w:val="18"/>
                  <w:u w:val="single"/>
                </w:rPr>
                <w:t>5</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25">
              <w:r>
                <w:rPr>
                  <w:rStyle w:val="InternetLink"/>
                  <w:rFonts w:ascii="Arial;sans-serif" w:hAnsi="Arial;sans-serif"/>
                  <w:b w:val="false"/>
                  <w:color w:val="0000FF"/>
                  <w:sz w:val="18"/>
                  <w:u w:val="single"/>
                </w:rPr>
                <w:t>Consolidated Statements of Changes in Shareholders'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25">
              <w:r>
                <w:rPr>
                  <w:rStyle w:val="InternetLink"/>
                  <w:rFonts w:ascii="Arial;sans-serif" w:hAnsi="Arial;sans-serif"/>
                  <w:b w:val="false"/>
                  <w:color w:val="0000FF"/>
                  <w:sz w:val="18"/>
                  <w:u w:val="single"/>
                </w:rPr>
                <w:t>7</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28">
              <w:r>
                <w:rPr>
                  <w:rStyle w:val="InternetLink"/>
                  <w:rFonts w:ascii="Arial;sans-serif" w:hAnsi="Arial;sans-serif"/>
                  <w:b w:val="false"/>
                  <w:color w:val="0000FF"/>
                  <w:sz w:val="18"/>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28">
              <w:r>
                <w:rPr>
                  <w:rStyle w:val="InternetLink"/>
                  <w:rFonts w:ascii="Arial;sans-serif" w:hAnsi="Arial;sans-serif"/>
                  <w:b w:val="false"/>
                  <w:color w:val="0000FF"/>
                  <w:sz w:val="18"/>
                  <w:u w:val="single"/>
                </w:rPr>
                <w:t>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82">
              <w:r>
                <w:rPr>
                  <w:rStyle w:val="InternetLink"/>
                  <w:rFonts w:ascii="Arial;sans-serif" w:hAnsi="Arial;sans-serif"/>
                  <w:b w:val="false"/>
                  <w:color w:val="0000FF"/>
                  <w:sz w:val="18"/>
                  <w:u w:val="single"/>
                </w:rPr>
                <w:t>Item 2.</w:t>
              </w:r>
            </w:hyperlink>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82">
              <w:r>
                <w:rPr>
                  <w:rStyle w:val="InternetLink"/>
                  <w:rFonts w:ascii="Arial;sans-serif" w:hAnsi="Arial;sans-serif"/>
                  <w:b w:val="false"/>
                  <w:color w:val="0000FF"/>
                  <w:sz w:val="18"/>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82">
              <w:r>
                <w:rPr>
                  <w:rStyle w:val="InternetLink"/>
                  <w:rFonts w:ascii="Arial;sans-serif" w:hAnsi="Arial;sans-serif"/>
                  <w:b w:val="false"/>
                  <w:color w:val="0000FF"/>
                  <w:sz w:val="18"/>
                  <w:u w:val="single"/>
                </w:rPr>
                <w:t>24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06">
              <w:r>
                <w:rPr>
                  <w:rStyle w:val="InternetLink"/>
                  <w:rFonts w:ascii="Arial;sans-serif" w:hAnsi="Arial;sans-serif"/>
                  <w:b w:val="false"/>
                  <w:color w:val="0000FF"/>
                  <w:sz w:val="18"/>
                  <w:u w:val="single"/>
                </w:rPr>
                <w:t>Item 3.</w:t>
              </w:r>
            </w:hyperlink>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06">
              <w:r>
                <w:rPr>
                  <w:rStyle w:val="InternetLink"/>
                  <w:rFonts w:ascii="Arial;sans-serif" w:hAnsi="Arial;sans-serif"/>
                  <w:b w:val="false"/>
                  <w:color w:val="0000FF"/>
                  <w:sz w:val="18"/>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06">
              <w:r>
                <w:rPr>
                  <w:rStyle w:val="InternetLink"/>
                  <w:rFonts w:ascii="Arial;sans-serif" w:hAnsi="Arial;sans-serif"/>
                  <w:b w:val="false"/>
                  <w:color w:val="0000FF"/>
                  <w:sz w:val="18"/>
                  <w:u w:val="single"/>
                </w:rPr>
                <w:t>34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09">
              <w:r>
                <w:rPr>
                  <w:rStyle w:val="InternetLink"/>
                  <w:rFonts w:ascii="Arial;sans-serif" w:hAnsi="Arial;sans-serif"/>
                  <w:b w:val="false"/>
                  <w:color w:val="0000FF"/>
                  <w:sz w:val="18"/>
                  <w:u w:val="single"/>
                </w:rPr>
                <w:t>Item 4.</w:t>
              </w:r>
            </w:hyperlink>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09">
              <w:r>
                <w:rPr>
                  <w:rStyle w:val="InternetLink"/>
                  <w:rFonts w:ascii="Arial;sans-serif" w:hAnsi="Arial;sans-serif"/>
                  <w:b w:val="false"/>
                  <w:color w:val="0000FF"/>
                  <w:sz w:val="18"/>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09">
              <w:r>
                <w:rPr>
                  <w:rStyle w:val="InternetLink"/>
                  <w:rFonts w:ascii="Arial;sans-serif" w:hAnsi="Arial;sans-serif"/>
                  <w:b w:val="false"/>
                  <w:color w:val="0000FF"/>
                  <w:sz w:val="18"/>
                  <w:u w:val="single"/>
                </w:rPr>
                <w:t>34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12">
              <w:r>
                <w:rPr>
                  <w:rStyle w:val="InternetLink"/>
                  <w:rFonts w:ascii="Arial;sans-serif" w:hAnsi="Arial;sans-serif"/>
                  <w:b/>
                  <w:color w:val="0000FF"/>
                  <w:sz w:val="18"/>
                  <w:u w:val="single"/>
                </w:rPr>
                <w:t>PART II.</w:t>
              </w:r>
            </w:hyperlink>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12">
              <w:r>
                <w:rPr>
                  <w:rStyle w:val="InternetLink"/>
                  <w:rFonts w:ascii="Arial;sans-serif" w:hAnsi="Arial;sans-serif"/>
                  <w:b/>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12">
              <w:r>
                <w:rPr>
                  <w:rStyle w:val="InternetLink"/>
                  <w:rFonts w:ascii="Arial;sans-serif" w:hAnsi="Arial;sans-serif"/>
                  <w:b w:val="false"/>
                  <w:color w:val="0000FF"/>
                  <w:sz w:val="18"/>
                  <w:u w:val="single"/>
                </w:rPr>
                <w:t>36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15">
              <w:r>
                <w:rPr>
                  <w:rStyle w:val="InternetLink"/>
                  <w:rFonts w:ascii="Arial;sans-serif" w:hAnsi="Arial;sans-serif"/>
                  <w:b w:val="false"/>
                  <w:color w:val="0000FF"/>
                  <w:sz w:val="18"/>
                  <w:u w:val="single"/>
                </w:rPr>
                <w:t>Item 1.</w:t>
              </w:r>
            </w:hyperlink>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15">
              <w:r>
                <w:rPr>
                  <w:rStyle w:val="InternetLink"/>
                  <w:rFonts w:ascii="Arial;sans-serif" w:hAnsi="Arial;sans-serif"/>
                  <w:b w:val="false"/>
                  <w:color w:val="0000FF"/>
                  <w:sz w:val="18"/>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15">
              <w:r>
                <w:rPr>
                  <w:rStyle w:val="InternetLink"/>
                  <w:rFonts w:ascii="Arial;sans-serif" w:hAnsi="Arial;sans-serif"/>
                  <w:b w:val="false"/>
                  <w:color w:val="0000FF"/>
                  <w:sz w:val="18"/>
                  <w:u w:val="single"/>
                </w:rPr>
                <w:t>36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18">
              <w:r>
                <w:rPr>
                  <w:rStyle w:val="InternetLink"/>
                  <w:rFonts w:ascii="Arial;sans-serif" w:hAnsi="Arial;sans-serif"/>
                  <w:b w:val="false"/>
                  <w:color w:val="0000FF"/>
                  <w:sz w:val="18"/>
                  <w:u w:val="single"/>
                </w:rPr>
                <w:t>Item 1A.</w:t>
              </w:r>
            </w:hyperlink>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18">
              <w:r>
                <w:rPr>
                  <w:rStyle w:val="InternetLink"/>
                  <w:rFonts w:ascii="Arial;sans-serif" w:hAnsi="Arial;sans-serif"/>
                  <w:b w:val="false"/>
                  <w:color w:val="0000FF"/>
                  <w:sz w:val="18"/>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18">
              <w:r>
                <w:rPr>
                  <w:rStyle w:val="InternetLink"/>
                  <w:rFonts w:ascii="Arial;sans-serif" w:hAnsi="Arial;sans-serif"/>
                  <w:b w:val="false"/>
                  <w:color w:val="0000FF"/>
                  <w:sz w:val="18"/>
                  <w:u w:val="single"/>
                </w:rPr>
                <w:t>36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21">
              <w:r>
                <w:rPr>
                  <w:rStyle w:val="InternetLink"/>
                  <w:rFonts w:ascii="Arial;sans-serif" w:hAnsi="Arial;sans-serif"/>
                  <w:b w:val="false"/>
                  <w:color w:val="0000FF"/>
                  <w:sz w:val="18"/>
                  <w:u w:val="single"/>
                </w:rPr>
                <w:t>Item 2.</w:t>
              </w:r>
            </w:hyperlink>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21">
              <w:r>
                <w:rPr>
                  <w:rStyle w:val="InternetLink"/>
                  <w:rFonts w:ascii="Arial;sans-serif" w:hAnsi="Arial;sans-serif"/>
                  <w:b w:val="false"/>
                  <w:color w:val="0000FF"/>
                  <w:sz w:val="18"/>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21">
              <w:r>
                <w:rPr>
                  <w:rStyle w:val="InternetLink"/>
                  <w:rFonts w:ascii="Arial;sans-serif" w:hAnsi="Arial;sans-serif"/>
                  <w:b w:val="false"/>
                  <w:color w:val="0000FF"/>
                  <w:sz w:val="18"/>
                  <w:u w:val="single"/>
                </w:rPr>
                <w:t>36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24">
              <w:r>
                <w:rPr>
                  <w:rStyle w:val="InternetLink"/>
                  <w:rFonts w:ascii="Arial;sans-serif" w:hAnsi="Arial;sans-serif"/>
                  <w:b w:val="false"/>
                  <w:color w:val="0000FF"/>
                  <w:sz w:val="18"/>
                  <w:u w:val="single"/>
                </w:rPr>
                <w:t>Item 6.</w:t>
              </w:r>
            </w:hyperlink>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24">
              <w:r>
                <w:rPr>
                  <w:rStyle w:val="InternetLink"/>
                  <w:rFonts w:ascii="Arial;sans-serif" w:hAnsi="Arial;sans-serif"/>
                  <w:b w:val="false"/>
                  <w:color w:val="0000FF"/>
                  <w:sz w:val="18"/>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24">
              <w:r>
                <w:rPr>
                  <w:rStyle w:val="InternetLink"/>
                  <w:rFonts w:ascii="Arial;sans-serif" w:hAnsi="Arial;sans-serif"/>
                  <w:b w:val="false"/>
                  <w:color w:val="0000FF"/>
                  <w:sz w:val="18"/>
                  <w:u w:val="single"/>
                </w:rPr>
                <w:t>37</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654cf0bcb5c4d60b0c0c349a2aa0d10_127">
              <w:r>
                <w:rPr>
                  <w:rStyle w:val="InternetLink"/>
                  <w:rFonts w:ascii="Arial;sans-serif" w:hAnsi="Arial;sans-serif"/>
                  <w:b/>
                  <w:color w:val="0000FF"/>
                  <w:sz w:val="18"/>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54cf0bcb5c4d60b0c0c349a2aa0d10_127">
              <w:r>
                <w:rPr>
                  <w:rStyle w:val="InternetLink"/>
                  <w:rFonts w:ascii="Arial;sans-serif" w:hAnsi="Arial;sans-serif"/>
                  <w:b w:val="false"/>
                  <w:color w:val="0000FF"/>
                  <w:sz w:val="18"/>
                  <w:u w:val="single"/>
                </w:rPr>
                <w:t>38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Income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tbl>
      <w:tblPr>
        <w:tblW w:w="9239" w:type="dxa"/>
        <w:jc w:val="left"/>
        <w:tblInd w:w="0" w:type="dxa"/>
        <w:tblLayout w:type="fixed"/>
        <w:tblCellMar>
          <w:top w:w="28" w:type="dxa"/>
          <w:left w:w="28" w:type="dxa"/>
          <w:bottom w:w="28" w:type="dxa"/>
          <w:right w:w="28" w:type="dxa"/>
        </w:tblCellMar>
      </w:tblPr>
      <w:tblGrid>
        <w:gridCol w:w="1455"/>
        <w:gridCol w:w="1280"/>
        <w:gridCol w:w="1284"/>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r>
      <w:tr>
        <w:trPr/>
        <w:tc>
          <w:tcPr>
            <w:tcW w:w="4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Non-operating loss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68"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Balance Sheets </w:t>
      </w:r>
    </w:p>
    <w:tbl>
      <w:tblPr>
        <w:tblW w:w="10205" w:type="dxa"/>
        <w:jc w:val="center"/>
        <w:tblInd w:w="0" w:type="dxa"/>
        <w:tblLayout w:type="fixed"/>
        <w:tblCellMar>
          <w:top w:w="28" w:type="dxa"/>
          <w:left w:w="28" w:type="dxa"/>
          <w:bottom w:w="28" w:type="dxa"/>
          <w:right w:w="28" w:type="dxa"/>
        </w:tblCellMar>
      </w:tblPr>
      <w:tblGrid>
        <w:gridCol w:w="2766"/>
        <w:gridCol w:w="2428"/>
        <w:gridCol w:w="2436"/>
        <w:gridCol w:w="211"/>
        <w:gridCol w:w="781"/>
        <w:gridCol w:w="109"/>
        <w:gridCol w:w="109"/>
        <w:gridCol w:w="109"/>
        <w:gridCol w:w="109"/>
        <w:gridCol w:w="211"/>
        <w:gridCol w:w="781"/>
        <w:gridCol w:w="155"/>
      </w:tblGrid>
      <w:tr>
        <w:trPr/>
        <w:tc>
          <w:tcPr>
            <w:tcW w:w="2766"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27,</w:t>
              <w:br/>
              <w:t>2022</w:t>
            </w:r>
          </w:p>
        </w:tc>
      </w:tr>
      <w:tr>
        <w:trPr/>
        <w:tc>
          <w:tcPr>
            <w:tcW w:w="7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Receivables, less allowance for doubtful accounts ($0.7 and $0.6, respectively)</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life insurance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assets,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2,412.8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2,416.7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warranties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Self-insurance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Promotional</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and dividends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liabilities,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benefits, net of current portion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1,153.7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liabilities and commitments (Note 11)</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$0.01: 10.0 shares authorized; Zero shares issued and outstanding</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$0.50: 120.0 shares authorized; 51.8 shares issued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21.6 and 21.5 shares, respectively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1,263.0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2,412.8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2,416.7</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Cash Flows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tbl>
      <w:tblPr>
        <w:tblW w:w="8840" w:type="dxa"/>
        <w:jc w:val="center"/>
        <w:tblInd w:w="0" w:type="dxa"/>
        <w:tblLayout w:type="fixed"/>
        <w:tblCellMar>
          <w:top w:w="28" w:type="dxa"/>
          <w:left w:w="28" w:type="dxa"/>
          <w:bottom w:w="28" w:type="dxa"/>
          <w:right w:w="28" w:type="dxa"/>
        </w:tblCellMar>
      </w:tblPr>
      <w:tblGrid>
        <w:gridCol w:w="2379"/>
        <w:gridCol w:w="2077"/>
        <w:gridCol w:w="2114"/>
        <w:gridCol w:w="214"/>
        <w:gridCol w:w="626"/>
        <w:gridCol w:w="109"/>
        <w:gridCol w:w="109"/>
        <w:gridCol w:w="109"/>
        <w:gridCol w:w="109"/>
        <w:gridCol w:w="214"/>
        <w:gridCol w:w="626"/>
        <w:gridCol w:w="154"/>
      </w:tblGrid>
      <w:tr>
        <w:trPr/>
        <w:tc>
          <w:tcPr>
            <w:tcW w:w="2379"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r>
      <w:tr>
        <w:trPr/>
        <w:tc>
          <w:tcPr>
            <w:tcW w:w="6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interest expense,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Last in, first-out ("LIFO") expense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fair value adjustment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earnout liability above acquisition-date fair value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operating assets and liabilities, net of assets and liabilities acquired</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and unrecognized tax benefits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business, net of cash acquired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plant, and equipment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long-term debt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on long-term debt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cash dividends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repurchases of common stock</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earnout liability up to acquisition-date fair value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and cash equivalents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tbl>
      <w:tblPr>
        <w:tblW w:w="6924" w:type="dxa"/>
        <w:jc w:val="center"/>
        <w:tblInd w:w="0" w:type="dxa"/>
        <w:tblLayout w:type="fixed"/>
        <w:tblCellMar>
          <w:top w:w="28" w:type="dxa"/>
          <w:left w:w="28" w:type="dxa"/>
          <w:bottom w:w="28" w:type="dxa"/>
          <w:right w:w="28" w:type="dxa"/>
        </w:tblCellMar>
      </w:tblPr>
      <w:tblGrid>
        <w:gridCol w:w="1773"/>
        <w:gridCol w:w="1556"/>
        <w:gridCol w:w="1561"/>
        <w:gridCol w:w="211"/>
        <w:gridCol w:w="511"/>
        <w:gridCol w:w="109"/>
        <w:gridCol w:w="109"/>
        <w:gridCol w:w="109"/>
        <w:gridCol w:w="109"/>
        <w:gridCol w:w="211"/>
        <w:gridCol w:w="511"/>
        <w:gridCol w:w="154"/>
      </w:tblGrid>
      <w:tr>
        <w:trPr/>
        <w:tc>
          <w:tcPr>
            <w:tcW w:w="1773"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 activities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acquisition of business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earnout liability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in accounts payable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not yet paid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lease assets in exchange for lease liabilities: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pStyle w:val="TextBody"/>
        <w:bidi w:val="0"/>
        <w:spacing w:before="6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before="6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Changes in Shareholders' Equity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944"/>
        <w:gridCol w:w="408"/>
        <w:gridCol w:w="410"/>
        <w:gridCol w:w="245"/>
        <w:gridCol w:w="245"/>
        <w:gridCol w:w="246"/>
        <w:gridCol w:w="204"/>
        <w:gridCol w:w="487"/>
        <w:gridCol w:w="113"/>
        <w:gridCol w:w="247"/>
        <w:gridCol w:w="704"/>
        <w:gridCol w:w="139"/>
        <w:gridCol w:w="210"/>
        <w:gridCol w:w="743"/>
        <w:gridCol w:w="117"/>
        <w:gridCol w:w="484"/>
        <w:gridCol w:w="966"/>
        <w:gridCol w:w="271"/>
        <w:gridCol w:w="248"/>
        <w:gridCol w:w="248"/>
        <w:gridCol w:w="246"/>
        <w:gridCol w:w="197"/>
        <w:gridCol w:w="583"/>
        <w:gridCol w:w="109"/>
        <w:gridCol w:w="259"/>
        <w:gridCol w:w="916"/>
        <w:gridCol w:w="216"/>
      </w:tblGrid>
      <w:tr>
        <w:trPr/>
        <w:tc>
          <w:tcPr>
            <w:tcW w:w="94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May 27, 2023</w:t>
            </w:r>
          </w:p>
        </w:tc>
      </w:tr>
      <w:tr>
        <w:trPr/>
        <w:tc>
          <w:tcPr>
            <w:tcW w:w="17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5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Common Shares </w:t>
            </w:r>
          </w:p>
        </w:tc>
        <w:tc>
          <w:tcPr>
            <w:tcW w:w="10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Treasury Stock </w:t>
            </w:r>
          </w:p>
        </w:tc>
        <w:tc>
          <w:tcPr>
            <w:tcW w:w="13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62"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0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3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February 25, 2023</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$0.54 per share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May 27, 2023</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May 28, 2022</w:t>
            </w:r>
          </w:p>
        </w:tc>
      </w:tr>
      <w:tr>
        <w:trPr/>
        <w:tc>
          <w:tcPr>
            <w:tcW w:w="17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5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10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3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62"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0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3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February 26, 2022</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settlement of earnout liability</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$0.36 per share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May 28, 2022</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May 27, 2023</w:t>
            </w:r>
          </w:p>
        </w:tc>
      </w:tr>
      <w:tr>
        <w:trPr/>
        <w:tc>
          <w:tcPr>
            <w:tcW w:w="17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5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10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3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62"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0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3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August 27, 2022</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Adoption of Accounting Standards Update (ASU) 2020-06</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$0.81 per share</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May 27, 2023</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5"/>
        <w:gridCol w:w="422"/>
        <w:gridCol w:w="424"/>
        <w:gridCol w:w="245"/>
        <w:gridCol w:w="245"/>
        <w:gridCol w:w="246"/>
        <w:gridCol w:w="204"/>
        <w:gridCol w:w="486"/>
        <w:gridCol w:w="113"/>
        <w:gridCol w:w="250"/>
        <w:gridCol w:w="712"/>
        <w:gridCol w:w="141"/>
        <w:gridCol w:w="211"/>
        <w:gridCol w:w="747"/>
        <w:gridCol w:w="117"/>
        <w:gridCol w:w="492"/>
        <w:gridCol w:w="982"/>
        <w:gridCol w:w="275"/>
        <w:gridCol w:w="248"/>
        <w:gridCol w:w="248"/>
        <w:gridCol w:w="246"/>
        <w:gridCol w:w="196"/>
        <w:gridCol w:w="581"/>
        <w:gridCol w:w="109"/>
        <w:gridCol w:w="261"/>
        <w:gridCol w:w="923"/>
        <w:gridCol w:w="216"/>
      </w:tblGrid>
      <w:tr>
        <w:trPr/>
        <w:tc>
          <w:tcPr>
            <w:tcW w:w="86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May 28, 2022</w:t>
            </w:r>
          </w:p>
        </w:tc>
      </w:tr>
      <w:tr>
        <w:trPr/>
        <w:tc>
          <w:tcPr>
            <w:tcW w:w="17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5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4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1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4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August 28, 2021</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acquisition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settlement of earnout liability</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$0.54 per share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May 28, 2022</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60" w:after="283"/>
        <w:jc w:val="left"/>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(All amounts are in millions, except share and per share data, unless otherwise designated)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    Basis of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consolidated financial statements include the accounts of Winnebago Industries, Inc. and its wholly owned subsidiaries. Significant intercompany account balances and transactions have been eliminated.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use of the terms "Winnebago Industries," "Winnebago," "we," "our," and "us" in this Quarterly Report on Form 10-Q, unless the context otherwise requires, refers to Winnebago Industries, Inc. and its wholly owned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consolidated financial statements included in this Quarterly Report on Form 10-Q should be read in conjunction with the audited consolidated financial statements and notes thereto included in our Annual Report on Form 10-K for the fiscal year ended August 27, 2022 filed with the SEC. Interim results of operations are not necessarily indicative of the results to be expected for the full fiscal year ending August 26, 2023.</w:t>
      </w:r>
    </w:p>
    <w:p>
      <w:pPr>
        <w:pStyle w:val="TextBody"/>
        <w:bidi w:val="0"/>
        <w:spacing w:before="0" w:after="0"/>
        <w:jc w:val="left"/>
        <w:rPr/>
      </w:pPr>
      <w:r>
        <w:rPr/>
      </w:r>
    </w:p>
    <w:p>
      <w:pPr>
        <w:pStyle w:val="TextBody"/>
        <w:bidi w:val="0"/>
        <w:spacing w:lineRule="auto" w:line="268" w:before="0" w:after="120"/>
        <w:jc w:val="both"/>
        <w:rPr>
          <w:rFonts w:ascii="Arial;sans-serif" w:hAnsi="Arial;sans-serif"/>
          <w:b/>
          <w:color w:val="000000"/>
          <w:sz w:val="18"/>
        </w:rPr>
      </w:pPr>
      <w:r>
        <w:rPr>
          <w:rFonts w:ascii="Arial;sans-serif" w:hAnsi="Arial;sans-serif"/>
          <w:b/>
          <w:color w:val="000000"/>
          <w:sz w:val="18"/>
        </w:rPr>
        <w:t xml:space="preserve">Change in Presentation </w:t>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 xml:space="preserve">In the first quarter of Fiscal 2023, we changed our presentation in tables from thousands to millions, unless otherwise designated. As a result, certain rounding adjustments have been made to prior period disclosed amounts in order to conform to the current year presentation. In addition, certain prior period amounts may not recalculate due to rounding. These changes were not significant, and no other updates were made to previously reported financial information. </w:t>
      </w:r>
    </w:p>
    <w:p>
      <w:pPr>
        <w:pStyle w:val="TextBody"/>
        <w:bidi w:val="0"/>
        <w:spacing w:before="0" w:after="0"/>
        <w:jc w:val="both"/>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Comprehensive Income</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Comprehensive income refers to the change in stockholders’ equity from transactions and other events and circumstances from non-owner sources. As of May 27, 2023 and May 28, 2022, the difference between comprehensive income and net income was not material. </w:t>
      </w:r>
    </w:p>
    <w:p>
      <w:pPr>
        <w:pStyle w:val="TextBody"/>
        <w:bidi w:val="0"/>
        <w:spacing w:before="0" w:after="0"/>
        <w:jc w:val="both"/>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Subsequent Events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preparing the accompanying unaudited consolidated financial statements, we have evaluated subsequent events for potential recognition and disclosure through the date of this filing noting no material subsequent events.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Recently Adopted Accounting Pronouncements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August 2020, the Financial Accounting Standards Board ("FASB") issued ASU 2020-06, Debt - Debt with Conversion and Other Options (Subtopic 470-20) and Derivatives and Hedging - Contracts in Entity's Own Equity (Subtopic 815-40) which reduces the number of models used to account for convertible instruments, amends diluted earnings per share ("EPS") calculations for convertible instruments, and amends the requirements for a contract (or embedded derivative) that is potentially settled in an entity's own shares to be classified in equity. Certain disclosure requirements were also added to increase transparency and decision-usefulness regarding a convertible instrument's terms and features. Additionally, the if-converted method must be used for including convertible instruments in diluted EPS as opposed to the treasury stock method. We adopted the new guidance in the first quarter of Fiscal 2023 using the modified retrospective approach, resulting in a decrease to additional paid-in capital of $62.0 million, an increase to long-term debt of $43.8 million, a decrease in the deferred income tax liability of $10.8 million, and an increase to beginning retained earnings of $29.0 million. In addition, the adoption of the amended guidance reduced our non-cash interest expense by $3.9 million (pre-tax) for the three months ended May 27, 2023 and $11.2 million (pre-tax) for the nine months ended May 27, 2023. The if-converted method will be used prospectively to calculate the impact of our convertible instruments on diluted EPS. Under the if-converted method, the 4.7 million shares underlying our convertible instruments are assumed to have been outstanding at the beginning of the reporting period, and any interest expense related to these instruments is excluded from the calculation of diluted EPS. Refer to Note 15 in the Notes to Consolidated Financial Statements included in Item 1 of Part I of this Quarterly Report on Form 10-Q for more information on the change from the treasury stock method to the if-converted method.</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2. Business Combinations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Lithionics Battery, LLC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April 28, 2023, we purchased 100% of the equity interests of Lithionics Battery, LLC and Lithionics LLC (collectively, "Lithionics"), a premier lithium-ion battery solutions provider to the recreational equipment and specialty vehicle markets. Refer to Note 7 in the Notes to Consolidated Financial Statements included in Item 1 of Part I of this Quarterly Report on Form 10-Q for more information relating to the goodwill and other intangible assets acquired. Pro forma results of operations for this acquisition have not been presented as the impact on our consolidated financial statements was not material.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transaction costs related to the Lithionics acquisition of $3.1 million were expensed during the third quarter of Fiscal 2023. Transaction costs are included in selling, general and administrative expenses in the accompanying Consolidated Statements of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Barletta Boat Company, LLC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August 31, 2021, we purchased 100% of the equity interests of Barletta Boat Company, LLC and Three Limes, LLC (collectively, "Barletta"), a manufacturer of high-quality, premium pontoon boats that are sold through a network of independent authorized dealers.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acquired Barletta for a purchase price of $286.3 million, including cash payments of $240.1 million, $25.0 million in common stock issued to the sellers (subject to a discount noted below), and contingent consideration from earnout provisions. The common stock fair value included in the purchase price reflects a 12% discount, due to the lack of marketability as these are unregistered shares that have a one-year lockup restriction, which reduced the value of the common stock to $22.0 million. The contingent consideration includes both a potential stock payout as well as a potential cash payment based on achievement of certain financial performance metrics within the next year. The maximum payout under the earnout is $50.0 million in cash and $15.0 million in stock if all metrics are achieved. The fair value of the earnout as of August 31, 2021 was $24.2 million. As of May 27, 2023 and August 27, 2022, the total fair value of the earnout was $19.8 million and $39.8 million, respectively. The portion of the earnout liability that will be settled within a year was included in other current liabilities on the Consolidated Balance Sheets, and the remaining earnout liability was included in other long-term liabilities on the Consolidated Balance Sheets. As of May 27, 2023, the entire $19.8 million was included in other current liabilities on the Consolidated Balance Sheets. Comparatively, as of August 27, 2022, $21.3 million was included in other current liabilities and $18.5 million was included in other long-term liabilities on the Consolidated Balance Sheets. In the third quarter of Fiscal 2023, we paid $22.0 million to settle earnout obligations associated with the 2022 cash consideration earnout period. In the third quarter of Fiscal 2022, we issued 0.2 million shares of common stock in connection with the settlement of the 2021 earnout period obligation.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total purchase price was allocated to the acquired net tangible and intangible assets of Barletta, based on their preliminary fair values at the date of the acquisition. This resulted in the recognition of goodwill of $136.1 million and other intangible assets of $111.4 million. Goodwill from the Barletta acquisition is recognized in our Marine segment. The other intangible assets acquired include a trade name, dealer network, and backlog. The trade name has an indefinite life, while the dealer network is being amortized on a straight line basis over 12 years. The backlog, which was being amortized over 10 months, was fully amortized as of August 27, 2022. We finalized the allocation of the purchase price in the third quarter of Fiscal 2022.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transaction costs related to the Barletta acquisition were $3.1 million, of which $2.4 million were expensed during the first quarter of Fiscal 2022. Transaction costs were included in selling, general and administrative expenses in the accompanying Consolidated Statements of Income.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3.    Business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eight operating segments: 1) Grand Design towables, 2) Winnebago towables, 3) Winnebago motorhomes, 4) Newmar motorhomes, 5) Chris-Craft marine, 6) Barletta marine, 7) Winnebago specialty vehicles and 8) Lithionics. Financial performance is evaluated based on each operating segment's Adjusted Earnings Before Interest, Taxes, Depreciation and Amortization ("EBITDA"), as defined below, which excludes certain corporate administration expenses and non-operating income and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 xml:space="preserve">In the third quarter of Fiscal 2023, we changed the name of our “Towable” reportable segment to “Towable RV” and our “Motorhome” reportable segment to “Motorhome RV”. These name changes had no impact on the composition of our segments, or previously reported results of operations, financial position, cash flows or segment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three reportable segments are: Towable RV (an aggregation of the Grand Design towables and the Winnebago towables operating segments); Motorhome RV (an aggregation of the Winnebago motorhomes and Newmar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motorhome chassis, along with other related manufactured products and services. Marine is comprised of products that include boats, along with other related manufactured products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Corporate / All Other category includes the Winnebago specialty vehicles and Lithionics operating segments as well as certain corporate administration expenses related to the oversight of the enterprise, such as corporate leadership and administration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Identifiable assets of the reportable segments exclude general corporate assets, which principally consist of cash and cash equivalents and certain deferred tax balances. The general corporate assets are included in the Corporate / All Other category.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in the Notes to Consolidated Financial Statements included in Item 8 of Part II of our Annual Report on Form 10-K for the fiscal year ended August 27, 2022.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monitor and evaluate operating performance of our reportable segments based on Adjusted EBITDA. We believe disclosing Adjusted EBITDA is useful to securities analysts, investors and other interested parties when evaluating companies in our industries.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litigation reserves, contingent consideration fair value adjustment, and non-operating income or loss.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Financial information by reportable segment is as follows:</w:t>
      </w:r>
    </w:p>
    <w:tbl>
      <w:tblPr>
        <w:tblW w:w="7124" w:type="dxa"/>
        <w:jc w:val="left"/>
        <w:tblInd w:w="0" w:type="dxa"/>
        <w:tblLayout w:type="fixed"/>
        <w:tblCellMar>
          <w:top w:w="28" w:type="dxa"/>
          <w:left w:w="28" w:type="dxa"/>
          <w:bottom w:w="28" w:type="dxa"/>
          <w:right w:w="28" w:type="dxa"/>
        </w:tblCellMar>
      </w:tblPr>
      <w:tblGrid>
        <w:gridCol w:w="687"/>
        <w:gridCol w:w="604"/>
        <w:gridCol w:w="613"/>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Capital Expenditures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328" w:type="dxa"/>
        <w:jc w:val="left"/>
        <w:tblInd w:w="0" w:type="dxa"/>
        <w:tblLayout w:type="fixed"/>
        <w:tblCellMar>
          <w:top w:w="28" w:type="dxa"/>
          <w:left w:w="28" w:type="dxa"/>
          <w:bottom w:w="28" w:type="dxa"/>
          <w:right w:w="28" w:type="dxa"/>
        </w:tblCellMar>
      </w:tblPr>
      <w:tblGrid>
        <w:gridCol w:w="647"/>
        <w:gridCol w:w="566"/>
        <w:gridCol w:w="571"/>
        <w:gridCol w:w="211"/>
        <w:gridCol w:w="766"/>
        <w:gridCol w:w="109"/>
        <w:gridCol w:w="109"/>
        <w:gridCol w:w="109"/>
        <w:gridCol w:w="109"/>
        <w:gridCol w:w="211"/>
        <w:gridCol w:w="76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27,</w:t>
              <w:br/>
              <w:t>2022</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Reconciliation of net income to consolidated Adjusted EBITDA is as follows:</w:t>
      </w:r>
    </w:p>
    <w:tbl>
      <w:tblPr>
        <w:tblW w:w="9860" w:type="dxa"/>
        <w:jc w:val="left"/>
        <w:tblInd w:w="0" w:type="dxa"/>
        <w:tblLayout w:type="fixed"/>
        <w:tblCellMar>
          <w:top w:w="28" w:type="dxa"/>
          <w:left w:w="28" w:type="dxa"/>
          <w:bottom w:w="28" w:type="dxa"/>
          <w:right w:w="28" w:type="dxa"/>
        </w:tblCellMar>
      </w:tblPr>
      <w:tblGrid>
        <w:gridCol w:w="1418"/>
        <w:gridCol w:w="1243"/>
        <w:gridCol w:w="1254"/>
        <w:gridCol w:w="312"/>
        <w:gridCol w:w="756"/>
        <w:gridCol w:w="161"/>
        <w:gridCol w:w="109"/>
        <w:gridCol w:w="109"/>
        <w:gridCol w:w="109"/>
        <w:gridCol w:w="277"/>
        <w:gridCol w:w="810"/>
        <w:gridCol w:w="143"/>
        <w:gridCol w:w="109"/>
        <w:gridCol w:w="109"/>
        <w:gridCol w:w="109"/>
        <w:gridCol w:w="277"/>
        <w:gridCol w:w="810"/>
        <w:gridCol w:w="143"/>
        <w:gridCol w:w="109"/>
        <w:gridCol w:w="109"/>
        <w:gridCol w:w="109"/>
        <w:gridCol w:w="274"/>
        <w:gridCol w:w="801"/>
        <w:gridCol w:w="200"/>
      </w:tblGrid>
      <w:tr>
        <w:trPr/>
        <w:tc>
          <w:tcPr>
            <w:tcW w:w="141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476.5 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reserves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fair value adjustment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loss (income)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Note 4.    Investments and Fair Value Measurements</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1</w:t>
      </w:r>
      <w:r>
        <w:rPr>
          <w:color w:val="000000"/>
        </w:rPr>
        <w:t xml:space="preserve"> — </w:t>
      </w:r>
      <w:r>
        <w:rPr>
          <w:rFonts w:ascii="Arial;sans-serif" w:hAnsi="Arial;sans-serif"/>
          <w:b w:val="false"/>
          <w:color w:val="000000"/>
          <w:sz w:val="18"/>
        </w:rPr>
        <w:t>Unadjusted quoted prices which are available in active markets for identical assets or liabilities accessible at the measurement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2</w:t>
      </w:r>
      <w:r>
        <w:rPr>
          <w:color w:val="000000"/>
        </w:rPr>
        <w:t xml:space="preserve"> — </w:t>
      </w:r>
      <w:r>
        <w:rPr>
          <w:rFonts w:ascii="Arial;sans-serif" w:hAnsi="Arial;sans-serif"/>
          <w:b w:val="false"/>
          <w:color w:val="000000"/>
          <w:sz w:val="18"/>
          <w:shd w:fill="FFFFFF" w:val="clear"/>
        </w:rPr>
        <w:t>Inputs other than quoted prices included in Level 1 inputs that are observable for the asset or liability, either directly or indirectly, for substantially the full term of the asset or liability.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3</w:t>
      </w:r>
      <w:r>
        <w:rPr>
          <w:color w:val="000000"/>
        </w:rPr>
        <w:t xml:space="preserve"> — </w:t>
      </w:r>
      <w:r>
        <w:rPr>
          <w:rFonts w:ascii="Arial;sans-serif" w:hAnsi="Arial;sans-serif"/>
          <w:b w:val="false"/>
          <w:color w:val="000000"/>
          <w:sz w:val="18"/>
          <w:shd w:fill="FFFFFF" w:val="clear"/>
        </w:rPr>
        <w:t>Unobservable inputs for the asset or liability used to measure fair value to the extent that observable inputs are not available, thereby allowing for situations in which there is little, if any, market activity for the asset or liability at the measurement date.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Assets and Liabilities that are Measured at Fair Value on a Recurring Basis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Financial assets and liabilities measured at fair value on a recurring basis are as follows:</w:t>
      </w:r>
    </w:p>
    <w:tbl>
      <w:tblPr>
        <w:tblW w:w="7824" w:type="dxa"/>
        <w:jc w:val="left"/>
        <w:tblInd w:w="0" w:type="dxa"/>
        <w:tblLayout w:type="fixed"/>
        <w:tblCellMar>
          <w:top w:w="28" w:type="dxa"/>
          <w:left w:w="28" w:type="dxa"/>
          <w:bottom w:w="28" w:type="dxa"/>
          <w:right w:w="28" w:type="dxa"/>
        </w:tblCellMar>
      </w:tblPr>
      <w:tblGrid>
        <w:gridCol w:w="1211"/>
        <w:gridCol w:w="1059"/>
        <w:gridCol w:w="1075"/>
        <w:gridCol w:w="297"/>
        <w:gridCol w:w="720"/>
        <w:gridCol w:w="153"/>
        <w:gridCol w:w="109"/>
        <w:gridCol w:w="109"/>
        <w:gridCol w:w="109"/>
        <w:gridCol w:w="211"/>
        <w:gridCol w:w="406"/>
        <w:gridCol w:w="109"/>
        <w:gridCol w:w="109"/>
        <w:gridCol w:w="109"/>
        <w:gridCol w:w="109"/>
        <w:gridCol w:w="211"/>
        <w:gridCol w:w="406"/>
        <w:gridCol w:w="109"/>
        <w:gridCol w:w="109"/>
        <w:gridCol w:w="109"/>
        <w:gridCol w:w="109"/>
        <w:gridCol w:w="211"/>
        <w:gridCol w:w="511"/>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that fund deferred compensation</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equity funds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equity funds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 funds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Earnout liability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at fair value</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7824" w:type="dxa"/>
        <w:jc w:val="center"/>
        <w:tblInd w:w="0" w:type="dxa"/>
        <w:tblLayout w:type="fixed"/>
        <w:tblCellMar>
          <w:top w:w="28" w:type="dxa"/>
          <w:left w:w="28" w:type="dxa"/>
          <w:bottom w:w="28" w:type="dxa"/>
          <w:right w:w="28" w:type="dxa"/>
        </w:tblCellMar>
      </w:tblPr>
      <w:tblGrid>
        <w:gridCol w:w="1211"/>
        <w:gridCol w:w="1059"/>
        <w:gridCol w:w="1075"/>
        <w:gridCol w:w="297"/>
        <w:gridCol w:w="720"/>
        <w:gridCol w:w="153"/>
        <w:gridCol w:w="109"/>
        <w:gridCol w:w="109"/>
        <w:gridCol w:w="109"/>
        <w:gridCol w:w="211"/>
        <w:gridCol w:w="406"/>
        <w:gridCol w:w="109"/>
        <w:gridCol w:w="109"/>
        <w:gridCol w:w="109"/>
        <w:gridCol w:w="109"/>
        <w:gridCol w:w="211"/>
        <w:gridCol w:w="406"/>
        <w:gridCol w:w="109"/>
        <w:gridCol w:w="109"/>
        <w:gridCol w:w="109"/>
        <w:gridCol w:w="109"/>
        <w:gridCol w:w="211"/>
        <w:gridCol w:w="511"/>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27,</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that fund deferred compensation</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equity funds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equity funds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 funds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Earnout liability</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at fair value</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Assets that Fund Deferred Compensation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assets that fund deferred compensation are marketable equity securities measured at fair value using quoted market prices and primarily consist of equity-based mutual funds. These securities, used to fund the Executive Share Option Plan and the Executive Deferred Compensation Plan, are classified as Level 1 as they are traded in an active market for which closing stock prices are readily available. Refer to Note 11 in the Notes to Consolidated Financial Statements included in Item 8 of Part II of our Annual Report on Form 10-K for the fiscal year ended August 27, 2022 for additional information regarding these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proportion of the assets that will fund options which expire within a year are included in prepaid expenses and other current assets on the Consolidated Balance Sheets. The remaining assets are classified as non-current and are included in other assets on the Consolidated Balance Sheets.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Contingent Consideration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Contingent consideration represents the earnout liability related to the Barletta acquisition and is valued using a probability-weighted scenario analysis of projected gross profit results and discounted at a risk-free rate. The contingent consideration is classified as Level 3. Actual gross profit results may differ significantly from those used in the estimate above, which may affect future payments. Changes in future payments will be reflected in future operating results as they occur.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provides a reconciliation of the beginning and ending balances of the contingent consideration:</w:t>
      </w:r>
    </w:p>
    <w:p>
      <w:pPr>
        <w:pStyle w:val="TextBody"/>
        <w:bidi w:val="0"/>
        <w:spacing w:before="0" w:after="0"/>
        <w:jc w:val="left"/>
        <w:rPr/>
      </w:pPr>
      <w:r>
        <w:rPr/>
      </w:r>
    </w:p>
    <w:tbl>
      <w:tblPr>
        <w:tblW w:w="8264" w:type="dxa"/>
        <w:jc w:val="left"/>
        <w:tblInd w:w="0" w:type="dxa"/>
        <w:tblLayout w:type="fixed"/>
        <w:tblCellMar>
          <w:top w:w="28" w:type="dxa"/>
          <w:left w:w="28" w:type="dxa"/>
          <w:bottom w:w="28" w:type="dxa"/>
          <w:right w:w="28" w:type="dxa"/>
        </w:tblCellMar>
      </w:tblPr>
      <w:tblGrid>
        <w:gridCol w:w="1415"/>
        <w:gridCol w:w="1240"/>
        <w:gridCol w:w="125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fair value - contingent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fair value - contingent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fair value of the earnout liability that will be settled within a year is included in other current liabilities on the Consolidated Balance Sheets. The remaining earnout liability is included in other long-term liabilities on the Consolidated Balance Sheets. Refer to Note 2 in the Notes to Consolidated Financial Statements included in Item 1 of Part I of this Quarterly Report on Form 10-Q for more information on the classification of earnout liabilities on the Consolidated Balance Sheets.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Assets and Liabilities Measured at Fair Value on a Nonrecurring Basis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financial instruments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nine months ended May 27, 2023 or May 28, 2022.</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Assets and Liabilities Not Measured at Fair Value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financial instruments are not measured at fair value but are recorded at carrying amounts approximating fair value based on their short-term nature. These financial instruments include cash and cash equivalents, receivables, accounts payable, other payables, and long-term debt. If these instruments were measured at fair value in the financial statements, they would be classified as Level 1 in the fair value hierarchy. The fair value of our long-term debt was determined using current quoted prices in active markets for our publicly traded debt obligations, which is classified as Level 1 in the fair value hierarchy. See Note 9 in the Notes to Consolidated Financial Statements included in Item 1 of Part I of this Quarterly Report on Form 10-Q for the fair value of our long-term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5.    Inventories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Inventories consist of the following: </w:t>
      </w:r>
    </w:p>
    <w:tbl>
      <w:tblPr>
        <w:tblW w:w="5357" w:type="dxa"/>
        <w:jc w:val="left"/>
        <w:tblInd w:w="0" w:type="dxa"/>
        <w:tblLayout w:type="fixed"/>
        <w:tblCellMar>
          <w:top w:w="28" w:type="dxa"/>
          <w:left w:w="28" w:type="dxa"/>
          <w:bottom w:w="28" w:type="dxa"/>
          <w:right w:w="28" w:type="dxa"/>
        </w:tblCellMar>
      </w:tblPr>
      <w:tblGrid>
        <w:gridCol w:w="1174"/>
        <w:gridCol w:w="982"/>
        <w:gridCol w:w="873"/>
        <w:gridCol w:w="211"/>
        <w:gridCol w:w="616"/>
        <w:gridCol w:w="109"/>
        <w:gridCol w:w="109"/>
        <w:gridCol w:w="109"/>
        <w:gridCol w:w="109"/>
        <w:gridCol w:w="229"/>
        <w:gridCol w:w="669"/>
        <w:gridCol w:w="167"/>
      </w:tblGrid>
      <w:tr>
        <w:trPr/>
        <w:tc>
          <w:tcPr>
            <w:tcW w:w="117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27,</w:t>
              <w:br/>
              <w:t>2022</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Work-in-process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Excess of FIFO over LIFO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Inventory valuation methods consist of the following:</w:t>
      </w:r>
    </w:p>
    <w:tbl>
      <w:tblPr>
        <w:tblW w:w="4848" w:type="dxa"/>
        <w:jc w:val="left"/>
        <w:tblInd w:w="0" w:type="dxa"/>
        <w:tblLayout w:type="fixed"/>
        <w:tblCellMar>
          <w:top w:w="28" w:type="dxa"/>
          <w:left w:w="28" w:type="dxa"/>
          <w:bottom w:w="28" w:type="dxa"/>
          <w:right w:w="28" w:type="dxa"/>
        </w:tblCellMar>
      </w:tblPr>
      <w:tblGrid>
        <w:gridCol w:w="914"/>
        <w:gridCol w:w="799"/>
        <w:gridCol w:w="807"/>
        <w:gridCol w:w="211"/>
        <w:gridCol w:w="616"/>
        <w:gridCol w:w="109"/>
        <w:gridCol w:w="109"/>
        <w:gridCol w:w="109"/>
        <w:gridCol w:w="109"/>
        <w:gridCol w:w="229"/>
        <w:gridCol w:w="669"/>
        <w:gridCol w:w="167"/>
      </w:tblGrid>
      <w:tr>
        <w:trPr/>
        <w:tc>
          <w:tcPr>
            <w:tcW w:w="91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27,</w:t>
              <w:br/>
              <w:t>2022</w:t>
            </w:r>
          </w:p>
        </w:tc>
      </w:tr>
      <w:tr>
        <w:trPr/>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LIFO basis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First-in, first-out ("FIFO") basis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above inventory value, before reduction for the LIFO reserve, approximates replacement cost at the respective dates.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rFonts w:ascii="Arial;sans-serif" w:hAnsi="Arial;sans-serif"/>
          <w:b/>
          <w:color w:val="000000"/>
          <w:sz w:val="18"/>
        </w:rPr>
      </w:pPr>
      <w:r>
        <w:rPr>
          <w:rFonts w:ascii="Arial;sans-serif" w:hAnsi="Arial;sans-serif"/>
          <w:b/>
          <w:color w:val="000000"/>
          <w:sz w:val="18"/>
        </w:rPr>
        <w:t>Note 6.    Property, Plant, and Equipment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Property, plant, and equipment is stated at cost, net of accumulated depreciation, and consists of the following:</w:t>
      </w:r>
    </w:p>
    <w:tbl>
      <w:tblPr>
        <w:tblW w:w="5493" w:type="dxa"/>
        <w:jc w:val="center"/>
        <w:tblInd w:w="0" w:type="dxa"/>
        <w:tblLayout w:type="fixed"/>
        <w:tblCellMar>
          <w:top w:w="28" w:type="dxa"/>
          <w:left w:w="28" w:type="dxa"/>
          <w:bottom w:w="28" w:type="dxa"/>
          <w:right w:w="28" w:type="dxa"/>
        </w:tblCellMar>
      </w:tblPr>
      <w:tblGrid>
        <w:gridCol w:w="1146"/>
        <w:gridCol w:w="1002"/>
        <w:gridCol w:w="1017"/>
        <w:gridCol w:w="211"/>
        <w:gridCol w:w="616"/>
        <w:gridCol w:w="109"/>
        <w:gridCol w:w="109"/>
        <w:gridCol w:w="109"/>
        <w:gridCol w:w="109"/>
        <w:gridCol w:w="229"/>
        <w:gridCol w:w="669"/>
        <w:gridCol w:w="167"/>
      </w:tblGrid>
      <w:tr>
        <w:trPr/>
        <w:tc>
          <w:tcPr>
            <w:tcW w:w="114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27,</w:t>
              <w:br/>
              <w:t>2022</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building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gross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Depreciation expense was $7.6 million and $6.3 million for the three months ended May 27, 2023 and May 28, 2022, respectively; and $20.9 million and $17.0 million for the nine months ended May 27, 2023 and May 28,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7.    Goodwill and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changes in the carrying amount of goodwill by reportable segment, with no accumulated impairment losses, for the nine months ended May 27, 2023 and May 28, 2022 are as follows:</w:t>
      </w:r>
    </w:p>
    <w:tbl>
      <w:tblPr>
        <w:tblW w:w="9649" w:type="dxa"/>
        <w:jc w:val="left"/>
        <w:tblInd w:w="0" w:type="dxa"/>
        <w:tblLayout w:type="fixed"/>
        <w:tblCellMar>
          <w:top w:w="28" w:type="dxa"/>
          <w:left w:w="28" w:type="dxa"/>
          <w:bottom w:w="28" w:type="dxa"/>
          <w:right w:w="28" w:type="dxa"/>
        </w:tblCellMar>
      </w:tblPr>
      <w:tblGrid>
        <w:gridCol w:w="905"/>
        <w:gridCol w:w="794"/>
        <w:gridCol w:w="806"/>
        <w:gridCol w:w="211"/>
        <w:gridCol w:w="616"/>
        <w:gridCol w:w="109"/>
        <w:gridCol w:w="109"/>
        <w:gridCol w:w="109"/>
        <w:gridCol w:w="109"/>
        <w:gridCol w:w="285"/>
        <w:gridCol w:w="691"/>
        <w:gridCol w:w="148"/>
        <w:gridCol w:w="109"/>
        <w:gridCol w:w="109"/>
        <w:gridCol w:w="109"/>
        <w:gridCol w:w="211"/>
        <w:gridCol w:w="616"/>
        <w:gridCol w:w="109"/>
        <w:gridCol w:w="109"/>
        <w:gridCol w:w="109"/>
        <w:gridCol w:w="109"/>
        <w:gridCol w:w="470"/>
        <w:gridCol w:w="1144"/>
        <w:gridCol w:w="245"/>
        <w:gridCol w:w="109"/>
        <w:gridCol w:w="109"/>
        <w:gridCol w:w="109"/>
        <w:gridCol w:w="211"/>
        <w:gridCol w:w="616"/>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Towable </w:t>
              <w:b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Motorhome </w:t>
              <w:b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Balances at August 28, 2021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 of Barletta</w:t>
            </w:r>
            <w:r>
              <w:rPr>
                <w:rFonts w:ascii="Arial;sans-serif" w:hAnsi="Arial;sans-serif"/>
                <w:b w:val="false"/>
                <w:color w:val="000000"/>
                <w:sz w:val="12"/>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Balances at May 28,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Balances at August 27,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 of Lithionics</w:t>
            </w:r>
            <w:r>
              <w:rPr>
                <w:rFonts w:ascii="Arial;sans-serif" w:hAnsi="Arial;sans-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Balances at May 27,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 xml:space="preserve">(1) </w:t>
      </w:r>
      <w:r>
        <w:rPr>
          <w:rFonts w:ascii="Arial;sans-serif" w:hAnsi="Arial;sans-serif"/>
          <w:b w:val="false"/>
          <w:color w:val="000000"/>
          <w:sz w:val="16"/>
        </w:rPr>
        <w:t>The change in marine activity is related to the acquisition of Barletta that occurred on August 31, 2021. See Note 2 in the Notes to Consolidated Financial Statements included in Item 1 of Part I of this Quarterly Report on Form 10-Q.</w:t>
      </w:r>
    </w:p>
    <w:p>
      <w:pPr>
        <w:pStyle w:val="TextBody"/>
        <w:bidi w:val="0"/>
        <w:spacing w:lineRule="auto" w:line="288" w:before="60" w:after="283"/>
        <w:ind w:left="0" w:right="0" w:hanging="270"/>
        <w:jc w:val="left"/>
        <w:rPr/>
      </w:pPr>
      <w:r>
        <w:rPr>
          <w:rFonts w:ascii="Arial;sans-serif" w:hAnsi="Arial;sans-serif"/>
          <w:b w:val="false"/>
          <w:color w:val="000000"/>
          <w:sz w:val="10"/>
        </w:rPr>
        <w:t xml:space="preserve">(2) </w:t>
      </w:r>
      <w:r>
        <w:rPr>
          <w:rFonts w:ascii="Arial;sans-serif" w:hAnsi="Arial;sans-serif"/>
          <w:b w:val="false"/>
          <w:color w:val="000000"/>
          <w:sz w:val="16"/>
        </w:rPr>
        <w:t xml:space="preserve">The change in corporate / all other activity is related to the acquisition of Lithionics that occurred on April 28, 2023. See Note 2 in the Notes to Consolidated Financial Statements included in Item 1 of Part I of this Quarterly Report on Form 10-Q. </w:t>
      </w:r>
    </w:p>
    <w:p>
      <w:pPr>
        <w:pStyle w:val="TextBody"/>
        <w:bidi w:val="0"/>
        <w:spacing w:before="60" w:after="283"/>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consist of the following:</w:t>
      </w:r>
    </w:p>
    <w:tbl>
      <w:tblPr>
        <w:tblW w:w="10205" w:type="dxa"/>
        <w:jc w:val="left"/>
        <w:tblInd w:w="0" w:type="dxa"/>
        <w:tblLayout w:type="fixed"/>
        <w:tblCellMar>
          <w:top w:w="28" w:type="dxa"/>
          <w:left w:w="28" w:type="dxa"/>
          <w:bottom w:w="28" w:type="dxa"/>
          <w:right w:w="28" w:type="dxa"/>
        </w:tblCellMar>
      </w:tblPr>
      <w:tblGrid>
        <w:gridCol w:w="1200"/>
        <w:gridCol w:w="1047"/>
        <w:gridCol w:w="1058"/>
        <w:gridCol w:w="478"/>
        <w:gridCol w:w="1398"/>
        <w:gridCol w:w="246"/>
        <w:gridCol w:w="109"/>
        <w:gridCol w:w="109"/>
        <w:gridCol w:w="109"/>
        <w:gridCol w:w="531"/>
        <w:gridCol w:w="1556"/>
        <w:gridCol w:w="276"/>
        <w:gridCol w:w="109"/>
        <w:gridCol w:w="109"/>
        <w:gridCol w:w="109"/>
        <w:gridCol w:w="377"/>
        <w:gridCol w:w="1103"/>
        <w:gridCol w:w="281"/>
      </w:tblGrid>
      <w:tr>
        <w:trPr/>
        <w:tc>
          <w:tcPr>
            <w:tcW w:w="120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r>
      <w:tr>
        <w:trPr/>
        <w:tc>
          <w:tcPr>
            <w:tcW w:w="3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3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networks/customer relationships</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Non-compete agreements</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27, 2022</w:t>
            </w:r>
          </w:p>
        </w:tc>
      </w:tr>
      <w:tr>
        <w:trPr/>
        <w:tc>
          <w:tcPr>
            <w:tcW w:w="3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3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networks/customer relationships</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Non-compete agreements</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581.2 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The weig</w:t>
      </w:r>
      <w:r>
        <w:rPr>
          <w:rFonts w:ascii="Arial;sans-serif" w:hAnsi="Arial;sans-serif"/>
          <w:b w:val="false"/>
          <w:color w:val="000000"/>
          <w:sz w:val="18"/>
        </w:rPr>
        <w:t>hted average remaining amortization period for intangible assets as of May 27, 2023 was approximately seven years</w:t>
      </w:r>
      <w:r>
        <w:rPr>
          <w:rFonts w:ascii="Arial;sans-serif" w:hAnsi="Arial;sans-serif"/>
          <w:b w:val="false"/>
          <w:color w:val="000000"/>
          <w:sz w:val="18"/>
          <w:shd w:fill="FFFFFF" w:val="clear"/>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Estimated future amortization expense related to finite-lived intangible assets is as follows: </w:t>
      </w:r>
    </w:p>
    <w:tbl>
      <w:tblPr>
        <w:tblW w:w="4440" w:type="dxa"/>
        <w:jc w:val="left"/>
        <w:tblInd w:w="0" w:type="dxa"/>
        <w:tblLayout w:type="fixed"/>
        <w:tblCellMar>
          <w:top w:w="28" w:type="dxa"/>
          <w:left w:w="28" w:type="dxa"/>
          <w:bottom w:w="28" w:type="dxa"/>
          <w:right w:w="28" w:type="dxa"/>
        </w:tblCellMar>
      </w:tblPr>
      <w:tblGrid>
        <w:gridCol w:w="1156"/>
        <w:gridCol w:w="1012"/>
        <w:gridCol w:w="1026"/>
        <w:gridCol w:w="267"/>
        <w:gridCol w:w="782"/>
        <w:gridCol w:w="197"/>
      </w:tblGrid>
      <w:tr>
        <w:trPr/>
        <w:tc>
          <w:tcPr>
            <w:tcW w:w="115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Amortization</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Remainder of Fiscal 2023</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2024</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2025</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2026</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amortization expense remaining</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Note 8.    Product Warranties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Changes in the product warranty liability are as follows: </w:t>
      </w:r>
    </w:p>
    <w:tbl>
      <w:tblPr>
        <w:tblW w:w="7394" w:type="dxa"/>
        <w:jc w:val="left"/>
        <w:tblInd w:w="0" w:type="dxa"/>
        <w:tblLayout w:type="fixed"/>
        <w:tblCellMar>
          <w:top w:w="28" w:type="dxa"/>
          <w:left w:w="28" w:type="dxa"/>
          <w:bottom w:w="28" w:type="dxa"/>
          <w:right w:w="28" w:type="dxa"/>
        </w:tblCellMar>
      </w:tblPr>
      <w:tblGrid>
        <w:gridCol w:w="949"/>
        <w:gridCol w:w="832"/>
        <w:gridCol w:w="84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r>
      <w:tr>
        <w:trPr/>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Business acquisition</w:t>
            </w:r>
            <w:r>
              <w:rPr>
                <w:rFonts w:ascii="Arial;sans-serif" w:hAnsi="Arial;sans-serif"/>
                <w:b w:val="false"/>
                <w:color w:val="000000"/>
                <w:sz w:val="12"/>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Claims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Refer to Note 2 in the Notes to Consolidated Financial Statements included in Item 1 of Part I of this Quarterly Report on Form 10-Q for more information on the acquisition of Lithionics on April 28, 2023 and the acquisition of Barletta on August 31, 2021.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Note 9.    Long-Term Debt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Long-term debt consists of the following:</w:t>
      </w:r>
    </w:p>
    <w:tbl>
      <w:tblPr>
        <w:tblW w:w="6512" w:type="dxa"/>
        <w:jc w:val="left"/>
        <w:tblInd w:w="0" w:type="dxa"/>
        <w:tblLayout w:type="fixed"/>
        <w:tblCellMar>
          <w:top w:w="28" w:type="dxa"/>
          <w:left w:w="28" w:type="dxa"/>
          <w:bottom w:w="28" w:type="dxa"/>
          <w:right w:w="28" w:type="dxa"/>
        </w:tblCellMar>
      </w:tblPr>
      <w:tblGrid>
        <w:gridCol w:w="1517"/>
        <w:gridCol w:w="1327"/>
        <w:gridCol w:w="1340"/>
        <w:gridCol w:w="211"/>
        <w:gridCol w:w="616"/>
        <w:gridCol w:w="109"/>
        <w:gridCol w:w="109"/>
        <w:gridCol w:w="109"/>
        <w:gridCol w:w="109"/>
        <w:gridCol w:w="229"/>
        <w:gridCol w:w="669"/>
        <w:gridCol w:w="167"/>
      </w:tblGrid>
      <w:tr>
        <w:trPr/>
        <w:tc>
          <w:tcPr>
            <w:tcW w:w="15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27,</w:t>
              <w:br/>
              <w:t>2022</w:t>
            </w:r>
          </w:p>
        </w:tc>
      </w:tr>
      <w:tr>
        <w:trPr/>
        <w:tc>
          <w:tcPr>
            <w:tcW w:w="4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gross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Convertible Notes unamortized interest discount</w:t>
            </w:r>
            <w:r>
              <w:rPr>
                <w:rFonts w:ascii="Arial;sans-serif" w:hAnsi="Arial;sans-serif"/>
                <w:b w:val="false"/>
                <w:color w:val="000000"/>
                <w:sz w:val="12"/>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In connection with the adoption of ASU 2020-06, the unamortized interest discount was derecognized in the first quarter of Fiscal 2023. Refer to Note 1 in the Notes to Consolidated Financial Statements in Item 1 of Part I of this Quarterly Report on Form 10-Q for additional information.</w:t>
      </w:r>
    </w:p>
    <w:p>
      <w:pPr>
        <w:pStyle w:val="TextBody"/>
        <w:bidi w:val="0"/>
        <w:spacing w:before="60" w:after="283"/>
        <w:ind w:left="0" w:right="0" w:hanging="27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Credit Agreements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July 15, 2022, we amended and restated our existing asset-backed revolving credit agreement ("ABL Credit Facility") to, among other things, increase the commitments available from $192.5 million to $350.0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Credit Facility borrowings is at a floating rate based upon our election, either term SOFR or REVSOFR30 (as defined in the ABL Credit Facility agreement), plus, in each case, a credit spread adjustment of 0.10%, as well as an applicable spread between 1.25% and 1.75%, depending on the usage of the facility during the most recent quarter. Based on current usage, we would pay an applicable spread of 1.25%. In connection with the amendment, we capitalized $1.2 million of issuance costs that will be amortized over the five-year term of the ABL Credit Facility.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will be amortized over the eight-year term of the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Refer to Note 9 in the Notes to Consolidated Financial Statements included in Item 8 of Part II of our Annual Report on Form 10-K for the fiscal year ended August 27, 2022 for additional information regarding these credit agreements.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Convertible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November 1, 2019, we issued $300.0 million in aggregate principal amount of 1.5% unsecured convertible senior notes due 2025 (“Convertible Notes”). The net proceeds from the issuance of the Convertible Notes, after deducting the initial purchasers' transaction fees and offering expense payable by us, were approximately $290.2 million. The Convertible Notes bear interest at the annual rate of 1.5%, payable on April 1 and October 1 of each year, beginning on April 1, 2020, and will mature on April 1, 2025, unless earlier converted or repurchased by 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Convertible Notes will be convertible into cash, shares of our common stock or a combination thereof, at our election, at an initial conversion rate of 15.6906 shares of common stock per $1 thousand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Prior to the close of business on the business day immediately preceding October 1, 2024, the Convertible Notes will be convertible only under the following circumstances:</w:t>
      </w:r>
    </w:p>
    <w:p>
      <w:pPr>
        <w:pStyle w:val="TextBody"/>
        <w:bidi w:val="0"/>
        <w:spacing w:before="0" w:after="0"/>
        <w:jc w:val="left"/>
        <w:rPr/>
      </w:pPr>
      <w:r>
        <w:rPr/>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1.during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2.during the five consecutive business day period after any five consecutive trading day period (the "measurement period") in which the trading price per $1 thousand principal amount of Convertible Notes for each trading day of the measurement period was less than 98% of the product of the last reported sale price of the common stock and the conversion rate for the Convertible Notes on each such trading day; or</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3.upon the occurrence of certain specified corporate events set forth in the indenture for the Convertible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may not redeem the Convertible Notes at our option prior to the maturity date, and no sinking fund is provided for the Convertible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conversion rate of the Convertible Notes may be adjusted in certain circumstances, including in connection with a conversion of the Convertible Notes made following certain fundamental changes and under other circumstances set forth in the indenture. It is our current intent to settle all conversions of the Convertible Notes in cash. Our ability to cash settle may be limited depending on the stock price at the time of conversion.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October 29, 2019 and October 30, 2019, in connection with the offering of the Convertible Notes, we entered into privately negotiated convertible note hedge transactions (collectively, the “Hedge Transactions”) that cover, subject to customary anti-dilution adjustments, the number of shares of our common stock that initially underlie the Convertible Notes.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Convertible Notes, subject to customary anti-dilution adjustments.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Refer to Note 9 in the Notes to Consolidated Financial Statements included in Item 8 of Part II of our Annual Report on Form 10-K for the fiscal year ended August 27, 2022 for additional information regarding the Convertible Notes and the Call Spread Transactions. </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Accounting Treatment of the Convertible Notes and Related Hedge Transactions and Warrant Transactions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first quarter of Fiscal 2023, we adopted ASU 2020-06 using the modified retrospective approach. The new guidance simplifies the accounting for convertible instruments by removing certain separation models. As a result, more convertible debt instruments will be accounted for as a single liability measured at amortized cost.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Prior to our adoption of ASU 2020-06, we bifurcated the proceeds from the offering of the Convertible Notes between liability and equity components. On the date of issuance, the liability and equity components were calculated to be approximately $215.0 million and $85.0 million, respectively. The initial $215.0 million liability component was determined based on the fair value of similar debt instruments excluding the conversion feature assuming a hypothetical interest rate of 8%. The initial $85.0 million ($64.1 million net of tax) equity component represented the difference between the fair value of the initial $215.0 million in debt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$300.0 million of gross proceeds. The initial debt discount of $85.0 million was being amortized over the life of the Convertible Notes as non-cash interest expense using the effective interest method. We recognized $3.9 million and $11.2 million of non-cash interest expense during the three and nine months ended May 28, 2022, respectively. In addition, offering-related costs of $9.8 million were allocated to the liability and equity components in proportion to the allocation of proceeds.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connection with our adoption of ASU 2020-06, we derecognized the remaining unamortized interest discount on the Convertible Notes and therefore recorded no non-cash interest expense related to the amortization of the debt discount during the nine months ended May 27, 2023. As a result, the Convertible Notes are now accounted for as a single liability measured at amortized cost. Interest expense, representing the amortization of the debt issuance costs as well as the contractual interest expense is amortized using an effective interest rate of 2.1% over the term of the Convertible Notes. We recorded $1.6 million and $4.7 million of interest expense during the three and nine months ended May 27, 2023,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Refer to Note 15 in the Notes to Consolidated Financial Statements included in Item 1 of Part I of this Quarterly Report on Form 10-Q for more information related to the earnings per share impact associated with the Convertible Notes and our adoption of ASU-2020-06.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net cost incurred in connection with the Call Spread Transactions was $11.2 million. These transactions are classified as equity and are not remeasured each reporting period.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Fair Value and Future Maturities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May 27, 2023 and August 27, 2022, the fair value of long-term debt, gross, was $624.5 million and $634.2 million, respectively. The fair value of the Convertible Notes was $332.8 million as of May 27,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Aggregate contractual maturities of debt in future fiscal years are as follows:</w:t>
      </w:r>
    </w:p>
    <w:tbl>
      <w:tblPr>
        <w:tblW w:w="5226" w:type="dxa"/>
        <w:jc w:val="left"/>
        <w:tblInd w:w="0" w:type="dxa"/>
        <w:tblLayout w:type="fixed"/>
        <w:tblCellMar>
          <w:top w:w="28" w:type="dxa"/>
          <w:left w:w="28" w:type="dxa"/>
          <w:bottom w:w="28" w:type="dxa"/>
          <w:right w:w="28" w:type="dxa"/>
        </w:tblCellMar>
      </w:tblPr>
      <w:tblGrid>
        <w:gridCol w:w="1536"/>
        <w:gridCol w:w="1345"/>
        <w:gridCol w:w="1364"/>
        <w:gridCol w:w="211"/>
        <w:gridCol w:w="61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Remainder of Fiscal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 and Convertible Notes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Note 10.    Employee and Retiree Benefits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Deferred compensation liabilities are as follows: </w:t>
      </w:r>
    </w:p>
    <w:tbl>
      <w:tblPr>
        <w:tblW w:w="6655" w:type="dxa"/>
        <w:jc w:val="left"/>
        <w:tblInd w:w="0" w:type="dxa"/>
        <w:tblLayout w:type="fixed"/>
        <w:tblCellMar>
          <w:top w:w="28" w:type="dxa"/>
          <w:left w:w="28" w:type="dxa"/>
          <w:bottom w:w="28" w:type="dxa"/>
          <w:right w:w="28" w:type="dxa"/>
        </w:tblCellMar>
      </w:tblPr>
      <w:tblGrid>
        <w:gridCol w:w="1629"/>
        <w:gridCol w:w="1425"/>
        <w:gridCol w:w="1445"/>
        <w:gridCol w:w="222"/>
        <w:gridCol w:w="428"/>
        <w:gridCol w:w="115"/>
        <w:gridCol w:w="109"/>
        <w:gridCol w:w="109"/>
        <w:gridCol w:w="109"/>
        <w:gridCol w:w="291"/>
        <w:gridCol w:w="561"/>
        <w:gridCol w:w="212"/>
      </w:tblGrid>
      <w:tr>
        <w:trPr/>
        <w:tc>
          <w:tcPr>
            <w:tcW w:w="162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27,</w:t>
              <w:br/>
              <w:t>2022</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Non-qualified deferred compensation</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executive retirement plan</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deferred compensation plan</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compensation benefits</w:t>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Less: current portion</w:t>
            </w:r>
            <w:r>
              <w:rPr>
                <w:rFonts w:ascii="Arial;sans-serif" w:hAnsi="Arial;sans-serif"/>
                <w:b w:val="false"/>
                <w:color w:val="000000"/>
                <w:sz w:val="12"/>
              </w:rPr>
              <w:t>(1)</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benefits, net of current portion</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sans-serif" w:hAnsi="Arial;sans-serif"/>
          <w:b w:val="false"/>
          <w:color w:val="000000"/>
          <w:sz w:val="12"/>
        </w:rPr>
        <w:t xml:space="preserve">(1) </w:t>
      </w:r>
      <w:r>
        <w:rPr>
          <w:rFonts w:ascii="Arial;sans-serif" w:hAnsi="Arial;sans-serif"/>
          <w:b w:val="false"/>
          <w:color w:val="000000"/>
          <w:sz w:val="16"/>
        </w:rPr>
        <w:t>Included in accrued compensation on the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11.     Contingent Liabilities and Commitments </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Repurchase Commitments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of our repurchase agreements was approximately $2,069.8 million and $1,783.7 million at May 27, 2023 and August 27, 2022,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$1.3 million and $1.4 million at May 27, 2023 and August 27, 2022,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was no material activity related to repurchase agreements during the nine months ended May 27, 2023 and May 28, 2022.</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Litigation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Note 12.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tbl>
      <w:tblPr>
        <w:tblW w:w="7650" w:type="dxa"/>
        <w:jc w:val="left"/>
        <w:tblInd w:w="0" w:type="dxa"/>
        <w:tblLayout w:type="fixed"/>
        <w:tblCellMar>
          <w:top w:w="28" w:type="dxa"/>
          <w:left w:w="28" w:type="dxa"/>
          <w:bottom w:w="28" w:type="dxa"/>
          <w:right w:w="28" w:type="dxa"/>
        </w:tblCellMar>
      </w:tblPr>
      <w:tblGrid>
        <w:gridCol w:w="878"/>
        <w:gridCol w:w="770"/>
        <w:gridCol w:w="782"/>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Towable RV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Class C and Other</w:t>
            </w:r>
            <w:r>
              <w:rPr>
                <w:color w:val="000000"/>
              </w:rPr>
              <w:t xml:space="preserve"> </w:t>
            </w:r>
            <w:r>
              <w:rPr>
                <w:rFonts w:ascii="Arial;sans-serif" w:hAnsi="Arial;sans-serif"/>
                <w:b w:val="false"/>
                <w:color w:val="000000"/>
                <w:sz w:val="12"/>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 All Other</w:t>
            </w:r>
            <w:r>
              <w:rPr>
                <w:rFonts w:ascii="Arial;sans-serif" w:hAnsi="Arial;sans-serif"/>
                <w:b w:val="false"/>
                <w:color w:val="000000"/>
                <w:sz w:val="12"/>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Relates to parts, accessories, services, and other miscellaneous revenue.</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Relates to units, parts, accessories, and services associated with Winnebago specialty vehicles. In addition, this activity also includes Lithionics battery sales, including the related systems and accessories, that are sold directly to external customers.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do not have material contract assets or liabilities. Allowances for uncollectible receivables are established based on historical collection trends, write-off history, consideration of current conditions and expectations for future economic conditions.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Concentration of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 single dealer organization accounted for more than 10% of net revenue for the nine months ended May 27, 2023 or May 28,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Note 13. Stock-Based Compensation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restricted share units, and other equity compensation to key employees and to non-employee directors. The 2019 Plan replaces the 2014 Omnibus Equity, Performance Award, and Incentive Compensation Plan (as amended, the "2014 Plan"). The number of shares of our common stock that may be awarded and issued under the 2019 Plan is 4.1 million shares, plus the shares subject to any awards outstanding under the 2014 Plan and our predecessor plan, the 2004 Incentive Compensation Plan (the “2004 Plan”), on December 11, 2018 that subsequently expire, are forfeited or canceled, or are settled for cash. Until such time, awards under the 2014 Plan and the 2004 Plan, respectively, that were outstanding on December 11, 2018 will continue to be subject to the terms of the 2014 Plan or 2004 Plan, as applicable. Shares remaining available for future awards under the 2014 Plan were not carried over into the 2019 Plan.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Stock-based compensation expense was $1.7 million and $5.6 million for the three months ended May 27, 2023 and May 28, 2022, respectively; and $8.2 million and $12.5 million for the nine months ended May 27, 2023 and May 28, 2022, respectively. Compensation expense is recognized over the requisite service or performance period of the award, unless accelerated by certain retirement eligibility provisions.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Note 14. Income Taxes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effective tax rate was 21.4% and 24.2% for the three months ended May 27, 2023 and May 28, 2022, respectively, and 23.4% and 23.8% for the nine months ended May 27, 2023 and May 28, 2022, respectively. The decrease in tax rate for the three months ended May 27, 2023 compared to the three months ended May 28, 2022 was driven primarily by the impact of favorable tax return to provision adjustments. The decrease in tax rate for the nine months ended May 27, 2023 compared to the nine months ended May 28, 2022 was driven primarily by the impact of favorable tax return to provision adjustments in the current year and the impact of mostly consistent tax credits year-over-year over decreased income in the current year, offset by a net favorable benefit in the prior year related to stock compensation.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16, 2022, the Inflation Reduction Act (“IRA”) was signed into law in the United States. Among other provisions, the IRA includes a 15% corporate minimum tax rate applied to certain large corporations and a 1% excise tax on corporate stock repurchases made after December 31, 2022. We do not expect the IRA to have a material impact on our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file a U.S. Federal tax return, as well as returns in various international and state jurisdictions. As of May 27, 2023, our Federal returns from Fiscal 2019 to present are subject to review by the Internal Revenue Service. With limited exceptions, state returns from Fiscal 2018 to present continue to be subject to review by state taxing jurisdictions. We are currently under review by certain U.S. state tax authorities for Fiscal 2019 through Fiscal 2021. We believe we have adequately reserved for our exposure to potential additional payments for uncertain tax positions in our liability for unrecognized tax benefits.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15. Earnings Per Share </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the first quarter of Fiscal 2023, we adopted ASU 2020-06. Prior to adoption, we utilized the treasury stock method for calculating the dilutive impact of our Convertible Notes. Upon adoption, we prospectively utilized the if-converted method to calculate the dilutive impact of our Convertible Notes. Under the if-converted method, the Convertible Notes are assumed to be converted into common stock at the beginning of the reporting period, and the resulting shares are included in the denominator of the calculation. In addition, interest charges, net of any income tax effects are added back to the numerator of the calculation.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Basic and diluted earnings per share are calculated as follows: </w:t>
      </w:r>
    </w:p>
    <w:tbl>
      <w:tblPr>
        <w:tblW w:w="10205" w:type="dxa"/>
        <w:jc w:val="left"/>
        <w:tblInd w:w="0" w:type="dxa"/>
        <w:tblLayout w:type="fixed"/>
        <w:tblCellMar>
          <w:top w:w="28" w:type="dxa"/>
          <w:left w:w="28" w:type="dxa"/>
          <w:bottom w:w="28" w:type="dxa"/>
          <w:right w:w="28" w:type="dxa"/>
        </w:tblCellMar>
      </w:tblPr>
      <w:tblGrid>
        <w:gridCol w:w="2158"/>
        <w:gridCol w:w="1688"/>
        <w:gridCol w:w="1693"/>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15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5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r>
      <w:tr>
        <w:trPr/>
        <w:tc>
          <w:tcPr>
            <w:tcW w:w="5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 - basic</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Basic earnings per common share</w:t>
            </w:r>
            <w:r>
              <w:rPr>
                <w:rFonts w:ascii="Arial;sans-serif" w:hAnsi="Arial;sans-serif"/>
                <w:b w:val="false"/>
                <w:color w:val="000000"/>
                <w:sz w:val="12"/>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 - diluted</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convertible notes, net of tax</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impact of stock compensation awards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Dilutive impact of convertible notes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assuming dilution</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Anti-dilutive securities excluded from weighted average common shares outstanding, assuming dilution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Diluted earnings per common share</w:t>
            </w:r>
            <w:r>
              <w:rPr>
                <w:rFonts w:ascii="Arial;sans-serif" w:hAnsi="Arial;sans-serif"/>
                <w:b w:val="false"/>
                <w:color w:val="000000"/>
                <w:sz w:val="12"/>
              </w:rPr>
              <w:t>(1)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Earnings per share amounts are calculated based on unrounded numbers and therefore may not recalculate using the rounded numbers provided.</w:t>
      </w:r>
    </w:p>
    <w:p>
      <w:pPr>
        <w:pStyle w:val="TextBody"/>
        <w:bidi w:val="0"/>
        <w:spacing w:before="60" w:after="283"/>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both periods presented, the dilutive effect of stock compensation awards was determined using the treasury stock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terms "Winnebago," "we," "us," and "our," unless the context otherwise requires, refer to Winnebago Industries, Inc. and its wholly-owned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MD&amp;A should be read in conjunction with the Consolidated Financial Statements and related Notes included in Item 1 of Part I of this Quarterly Report on Form 10-Q and our Annual Report on Form 10-K for the fiscal year ended August 27, 2022 (including the information presented therein under Risk Factors), as well as our reports on Forms 10-Q and 8-K and other publicly available information. All amounts herein are unaudited. All amounts are in millions, except share and per share data, unless otherwise noted.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Overview</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Winnebago Industries, Inc. is one of the leading North American manufacturers of recreation vehicles ("RV"s) and marine products with a diversified portfolio used primarily in leisure travel and outdoor recreational activities. We produce our motorhome RV units in Iowa and Indiana; our towable RV units in Indiana; and our marine units in Indiana and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Acquisition of Lithionics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April 28, 2023, we completed our acquisition of all the equity interests of Lithionics, a premier lithium-ion battery solutions provider to the recreational equipment and specialty vehicle markets. For further discussion regarding the acquisition, refer to Note 2 to the Notes to Consolidated Financial Statements, included in Item 1 of Part I in this Quarterly Report on Form 10-Q.</w:t>
      </w:r>
    </w:p>
    <w:p>
      <w:pPr>
        <w:pStyle w:val="TextBody"/>
        <w:bidi w:val="0"/>
        <w:spacing w:before="0" w:after="0"/>
        <w:jc w:val="left"/>
        <w:rPr/>
      </w:pPr>
      <w:r>
        <w:rPr/>
      </w:r>
    </w:p>
    <w:p>
      <w:pPr>
        <w:pStyle w:val="TextBody"/>
        <w:bidi w:val="0"/>
        <w:spacing w:lineRule="auto" w:line="268" w:before="0" w:after="120"/>
        <w:jc w:val="both"/>
        <w:rPr>
          <w:rFonts w:ascii="Arial;sans-serif" w:hAnsi="Arial;sans-serif"/>
          <w:b/>
          <w:color w:val="000000"/>
          <w:sz w:val="18"/>
        </w:rPr>
      </w:pPr>
      <w:r>
        <w:rPr>
          <w:rFonts w:ascii="Arial;sans-serif" w:hAnsi="Arial;sans-serif"/>
          <w:b/>
          <w:color w:val="000000"/>
          <w:sz w:val="18"/>
        </w:rPr>
        <w:t>Reportable Segment Name Changes</w:t>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 xml:space="preserve">In the third quarter of Fiscal 2023, we changed the name of our “Towable” segment to “Towable RV” and our “Motorhome” segment to “Motorhome RV”. These name changes had no impact on the composition of our segments, or previously reported results of operations, financial position, cash flows or segment results. </w:t>
      </w:r>
    </w:p>
    <w:p>
      <w:pPr>
        <w:pStyle w:val="TextBody"/>
        <w:bidi w:val="0"/>
        <w:spacing w:before="0" w:after="0"/>
        <w:jc w:val="left"/>
        <w:rPr/>
      </w:pPr>
      <w:r>
        <w:rPr/>
      </w:r>
    </w:p>
    <w:p>
      <w:pPr>
        <w:pStyle w:val="TextBody"/>
        <w:bidi w:val="0"/>
        <w:spacing w:lineRule="auto" w:line="256" w:before="0" w:after="120"/>
        <w:jc w:val="left"/>
        <w:rPr>
          <w:rFonts w:ascii="Arial;sans-serif" w:hAnsi="Arial;sans-serif"/>
          <w:b/>
          <w:color w:val="000000"/>
          <w:sz w:val="18"/>
        </w:rPr>
      </w:pPr>
      <w:r>
        <w:rPr>
          <w:rFonts w:ascii="Arial;sans-serif" w:hAnsi="Arial;sans-serif"/>
          <w:b/>
          <w:color w:val="000000"/>
          <w:sz w:val="18"/>
        </w:rPr>
        <w:t xml:space="preserve">Known Trends and Uncertainties </w:t>
      </w:r>
    </w:p>
    <w:p>
      <w:pPr>
        <w:pStyle w:val="TextBody"/>
        <w:bidi w:val="0"/>
        <w:spacing w:lineRule="auto" w:line="256" w:before="0" w:after="120"/>
        <w:jc w:val="left"/>
        <w:rPr>
          <w:rFonts w:ascii="Arial;sans-serif" w:hAnsi="Arial;sans-serif"/>
          <w:b w:val="false"/>
          <w:color w:val="000000"/>
          <w:sz w:val="18"/>
        </w:rPr>
      </w:pPr>
      <w:r>
        <w:rPr>
          <w:rFonts w:ascii="Arial;sans-serif" w:hAnsi="Arial;sans-serif"/>
          <w:b w:val="false"/>
          <w:color w:val="000000"/>
          <w:sz w:val="18"/>
        </w:rPr>
        <w:t xml:space="preserve">Our business continues to be challenged by macroeconomic conditions impacting retail consumers, such as inflation and rising interest rates. These factors have contributed to lower consumer spending and reduced short-term demand for large discretionary products such as RVs and marine products. In response, we are working closely with dealer partners across all our segments to align field inventory levels to meet end consumer demand. We continue to produce and ship in accordance with dealer demand as evidenced and requested by dealer orders. </w:t>
      </w:r>
    </w:p>
    <w:p>
      <w:pPr>
        <w:pStyle w:val="TextBody"/>
        <w:bidi w:val="0"/>
        <w:spacing w:lineRule="auto" w:line="256" w:before="0" w:after="120"/>
        <w:jc w:val="left"/>
        <w:rPr>
          <w:rFonts w:ascii="Arial;sans-serif" w:hAnsi="Arial;sans-serif"/>
          <w:b w:val="false"/>
          <w:color w:val="000000"/>
          <w:sz w:val="18"/>
        </w:rPr>
      </w:pPr>
      <w:r>
        <w:rPr>
          <w:rFonts w:ascii="Arial;sans-serif" w:hAnsi="Arial;sans-serif"/>
          <w:b w:val="false"/>
          <w:color w:val="000000"/>
          <w:sz w:val="18"/>
        </w:rPr>
        <w:t xml:space="preserve">Despite the current economic slowdown, we still believe in the long-term health of consumer demand for RV and marine products. According to statistics published by Kampgrounds of America, Inc., the number of households in North America that own an RV increased by approximately 34% between 2019 and 2022. In addition, according to a recent study conducted by the National Marine Manufacturers Association, recreational boating saw a 36% increase in annual economic activity from 2018 to 2023. </w:t>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 xml:space="preserve">In the first quarter of Fiscal 2023, Mercedes-Benz AG issued a global recall related to an electronic parking brake defect affecting 2019 through 2022 Sprinter chassis. As a result, all retail sales and wholesale shipments of our products built on this chassis were temporarily suspended until a recall remedy was implemented. During the second quarter of Fiscal 2023, the recall remedy was implemented in cooperation with Mercedes-Benz AG.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Included in "Results of Operations" below for the three and nine months ended May 27, 2023 compared to the comparable prior year period is a reconciliation of EBITDA and Adjusted EBITDA from net income, the nearest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costs, litigation reserves, contingent consideration fair value adjustment, and non-operating income or loss.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used by management in their assessment of performance and in forecasting; (d) to evaluate potential acquisitions; and (e) to ensure compliance with covenants and restricted activities under the terms of our ABL Credit Facility and outstanding notes, as further described in Note 9 in the Notes to Consolidated Financial Statements included in Item 1 of Part I</w:t>
      </w:r>
      <w:r>
        <w:rPr>
          <w:color w:val="000000"/>
        </w:rPr>
        <w:t xml:space="preserve"> </w:t>
      </w:r>
      <w:r>
        <w:rPr>
          <w:rFonts w:ascii="Arial;sans-serif" w:hAnsi="Arial;sans-serif"/>
          <w:b w:val="false"/>
          <w:color w:val="000000"/>
          <w:sz w:val="18"/>
        </w:rPr>
        <w:t>of this Quarterly Report on Form 10-Q. We believe these non-GAAP financial measures are frequently used by securities analysts, investors and other interested parties to evaluate companies in the industry.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Results of Operations - Three Months Ended May 27, 2023 Compared to the Three Months Ended May 28, 2022</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Consolidated Performance Summary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changes in key items included in the Consolidated Statements of Income for the three months ended May 27, 2023 compared to the three months ended May 28, 2022:</w:t>
      </w:r>
    </w:p>
    <w:tbl>
      <w:tblPr>
        <w:tblW w:w="10205" w:type="dxa"/>
        <w:jc w:val="left"/>
        <w:tblInd w:w="0" w:type="dxa"/>
        <w:tblLayout w:type="fixed"/>
        <w:tblCellMar>
          <w:top w:w="28" w:type="dxa"/>
          <w:left w:w="28" w:type="dxa"/>
          <w:bottom w:w="28" w:type="dxa"/>
          <w:right w:w="28" w:type="dxa"/>
        </w:tblCellMar>
      </w:tblPr>
      <w:tblGrid>
        <w:gridCol w:w="966"/>
        <w:gridCol w:w="413"/>
        <w:gridCol w:w="415"/>
        <w:gridCol w:w="223"/>
        <w:gridCol w:w="653"/>
        <w:gridCol w:w="115"/>
        <w:gridCol w:w="109"/>
        <w:gridCol w:w="109"/>
        <w:gridCol w:w="109"/>
        <w:gridCol w:w="343"/>
        <w:gridCol w:w="286"/>
        <w:gridCol w:w="623"/>
        <w:gridCol w:w="109"/>
        <w:gridCol w:w="109"/>
        <w:gridCol w:w="109"/>
        <w:gridCol w:w="216"/>
        <w:gridCol w:w="785"/>
        <w:gridCol w:w="111"/>
        <w:gridCol w:w="109"/>
        <w:gridCol w:w="109"/>
        <w:gridCol w:w="109"/>
        <w:gridCol w:w="343"/>
        <w:gridCol w:w="286"/>
        <w:gridCol w:w="623"/>
        <w:gridCol w:w="109"/>
        <w:gridCol w:w="109"/>
        <w:gridCol w:w="109"/>
        <w:gridCol w:w="213"/>
        <w:gridCol w:w="657"/>
        <w:gridCol w:w="109"/>
        <w:gridCol w:w="109"/>
        <w:gridCol w:w="109"/>
        <w:gridCol w:w="109"/>
        <w:gridCol w:w="268"/>
        <w:gridCol w:w="268"/>
        <w:gridCol w:w="654"/>
      </w:tblGrid>
      <w:tr>
        <w:trPr/>
        <w:tc>
          <w:tcPr>
            <w:tcW w:w="9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 except per share data)</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Non-operating loss </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Amounts are calculated based on unrounded numbers and therefore may not recalculate using the rounded numbers provided. In addition, percentages may not add in total due to rounding.</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Net revenues decreased primarily due to lower unit sales related to retail market conditions and higher discounts and allowances compared to prior year, partially offset by carryover price increases.</w: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 as a percentage of revenue decreased primarily from deleverage and higher discounts and allowances compared to prior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Operating expenses decreased primarily due to lower incentive-based compensation related to operating performance, and lower amortization related to Barletta intangible assets, partially offset by strategic investments and Lithionics transaction costs.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Non-operating loss decreased due to a lower contingent consideration fair value adjustment related to the earnout from the acquisition of Barletta.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Our effective tax rate decreased primarily from the impact of favorable tax return to provision adjustments.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Non-GAAP Reconciliation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reconciles net income to consolidated EBITDA and Adjusted EBITDA for the three months ended May 27, 2023 and May 28, 2022:</w:t>
      </w:r>
    </w:p>
    <w:tbl>
      <w:tblPr>
        <w:tblW w:w="6746" w:type="dxa"/>
        <w:jc w:val="left"/>
        <w:tblInd w:w="0" w:type="dxa"/>
        <w:tblLayout w:type="fixed"/>
        <w:tblCellMar>
          <w:top w:w="28" w:type="dxa"/>
          <w:left w:w="28" w:type="dxa"/>
          <w:bottom w:w="28" w:type="dxa"/>
          <w:right w:w="28" w:type="dxa"/>
        </w:tblCellMar>
      </w:tblPr>
      <w:tblGrid>
        <w:gridCol w:w="1418"/>
        <w:gridCol w:w="1243"/>
        <w:gridCol w:w="1254"/>
        <w:gridCol w:w="312"/>
        <w:gridCol w:w="756"/>
        <w:gridCol w:w="161"/>
        <w:gridCol w:w="109"/>
        <w:gridCol w:w="109"/>
        <w:gridCol w:w="109"/>
        <w:gridCol w:w="274"/>
        <w:gridCol w:w="801"/>
        <w:gridCol w:w="200"/>
      </w:tblGrid>
      <w:tr>
        <w:trPr/>
        <w:tc>
          <w:tcPr>
            <w:tcW w:w="141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fair value adjustment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loss (income)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Reportable Segment Performance Summary</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Towable RV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Towable RV segment for the three months ended May 27, 2023 compared to the three months ended May 28, 2022:</w:t>
      </w:r>
    </w:p>
    <w:tbl>
      <w:tblPr>
        <w:tblW w:w="10205" w:type="dxa"/>
        <w:jc w:val="left"/>
        <w:tblInd w:w="0" w:type="dxa"/>
        <w:tblLayout w:type="fixed"/>
        <w:tblCellMar>
          <w:top w:w="28" w:type="dxa"/>
          <w:left w:w="28" w:type="dxa"/>
          <w:bottom w:w="28" w:type="dxa"/>
          <w:right w:w="28" w:type="dxa"/>
        </w:tblCellMar>
      </w:tblPr>
      <w:tblGrid>
        <w:gridCol w:w="669"/>
        <w:gridCol w:w="430"/>
        <w:gridCol w:w="432"/>
        <w:gridCol w:w="223"/>
        <w:gridCol w:w="764"/>
        <w:gridCol w:w="115"/>
        <w:gridCol w:w="109"/>
        <w:gridCol w:w="109"/>
        <w:gridCol w:w="109"/>
        <w:gridCol w:w="343"/>
        <w:gridCol w:w="296"/>
        <w:gridCol w:w="663"/>
        <w:gridCol w:w="109"/>
        <w:gridCol w:w="109"/>
        <w:gridCol w:w="109"/>
        <w:gridCol w:w="223"/>
        <w:gridCol w:w="764"/>
        <w:gridCol w:w="115"/>
        <w:gridCol w:w="109"/>
        <w:gridCol w:w="109"/>
        <w:gridCol w:w="109"/>
        <w:gridCol w:w="343"/>
        <w:gridCol w:w="296"/>
        <w:gridCol w:w="663"/>
        <w:gridCol w:w="109"/>
        <w:gridCol w:w="109"/>
        <w:gridCol w:w="109"/>
        <w:gridCol w:w="220"/>
        <w:gridCol w:w="690"/>
        <w:gridCol w:w="113"/>
        <w:gridCol w:w="109"/>
        <w:gridCol w:w="109"/>
        <w:gridCol w:w="109"/>
        <w:gridCol w:w="272"/>
        <w:gridCol w:w="272"/>
        <w:gridCol w:w="664"/>
      </w:tblGrid>
      <w:tr>
        <w:trPr/>
        <w:tc>
          <w:tcPr>
            <w:tcW w:w="66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Selling Price ("ASP")</w:t>
            </w:r>
            <w:r>
              <w:rPr>
                <w:rFonts w:ascii="Arial;sans-serif" w:hAnsi="Arial;sans-serif"/>
                <w:b w:val="false"/>
                <w:color w:val="000000"/>
                <w:sz w:val="12"/>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9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(8,960)</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decreased primarily due to a decline in unit volume associated with retail market conditions and higher discounts and allowances compared to prior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EBITDA decreased primarily due to lower revenues associated with volume declines related to retail market conditions, and higher discounts and allowances compared to prior year, partially offset by favorable warranty experience.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before="60" w:after="283"/>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Motorhome RV</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Motorhome RV segment for the three months ended May 27, 2023 compared to the three months ended May 28, 2022:</w:t>
      </w:r>
    </w:p>
    <w:tbl>
      <w:tblPr>
        <w:tblW w:w="10205" w:type="dxa"/>
        <w:jc w:val="left"/>
        <w:tblInd w:w="0" w:type="dxa"/>
        <w:tblLayout w:type="fixed"/>
        <w:tblCellMar>
          <w:top w:w="28" w:type="dxa"/>
          <w:left w:w="28" w:type="dxa"/>
          <w:bottom w:w="28" w:type="dxa"/>
          <w:right w:w="28" w:type="dxa"/>
        </w:tblCellMar>
      </w:tblPr>
      <w:tblGrid>
        <w:gridCol w:w="690"/>
        <w:gridCol w:w="369"/>
        <w:gridCol w:w="371"/>
        <w:gridCol w:w="214"/>
        <w:gridCol w:w="841"/>
        <w:gridCol w:w="110"/>
        <w:gridCol w:w="109"/>
        <w:gridCol w:w="109"/>
        <w:gridCol w:w="109"/>
        <w:gridCol w:w="343"/>
        <w:gridCol w:w="290"/>
        <w:gridCol w:w="639"/>
        <w:gridCol w:w="109"/>
        <w:gridCol w:w="109"/>
        <w:gridCol w:w="109"/>
        <w:gridCol w:w="214"/>
        <w:gridCol w:w="841"/>
        <w:gridCol w:w="110"/>
        <w:gridCol w:w="109"/>
        <w:gridCol w:w="109"/>
        <w:gridCol w:w="109"/>
        <w:gridCol w:w="343"/>
        <w:gridCol w:w="290"/>
        <w:gridCol w:w="639"/>
        <w:gridCol w:w="109"/>
        <w:gridCol w:w="109"/>
        <w:gridCol w:w="109"/>
        <w:gridCol w:w="216"/>
        <w:gridCol w:w="740"/>
        <w:gridCol w:w="111"/>
        <w:gridCol w:w="109"/>
        <w:gridCol w:w="109"/>
        <w:gridCol w:w="109"/>
        <w:gridCol w:w="270"/>
        <w:gridCol w:w="270"/>
        <w:gridCol w:w="659"/>
      </w:tblGrid>
      <w:tr>
        <w:trPr/>
        <w:tc>
          <w:tcPr>
            <w:tcW w:w="6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r>
      <w:tr>
        <w:trPr/>
        <w:tc>
          <w:tcPr>
            <w:tcW w:w="1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(1)</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10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decreased primarily due to unit volume decline and higher discounts and allowances compared to prior year, partially offset by price increases related to higher chassis costs.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Adjusted EBITDA decreased primarily due to lower revenues associated with volume declines, higher discounts and allowances compared to prior year, and productivity and operational efficiency challenges, primarily related to an ERP system implementation.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Marine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Marine segment for the three months ended May 27, 2023 compared to the three months ended May 28, 2022:</w:t>
      </w:r>
    </w:p>
    <w:tbl>
      <w:tblPr>
        <w:tblW w:w="10205" w:type="dxa"/>
        <w:jc w:val="left"/>
        <w:tblInd w:w="0" w:type="dxa"/>
        <w:tblLayout w:type="fixed"/>
        <w:tblCellMar>
          <w:top w:w="28" w:type="dxa"/>
          <w:left w:w="28" w:type="dxa"/>
          <w:bottom w:w="28" w:type="dxa"/>
          <w:right w:w="28" w:type="dxa"/>
        </w:tblCellMar>
      </w:tblPr>
      <w:tblGrid>
        <w:gridCol w:w="679"/>
        <w:gridCol w:w="452"/>
        <w:gridCol w:w="454"/>
        <w:gridCol w:w="225"/>
        <w:gridCol w:w="771"/>
        <w:gridCol w:w="116"/>
        <w:gridCol w:w="109"/>
        <w:gridCol w:w="109"/>
        <w:gridCol w:w="109"/>
        <w:gridCol w:w="306"/>
        <w:gridCol w:w="271"/>
        <w:gridCol w:w="679"/>
        <w:gridCol w:w="109"/>
        <w:gridCol w:w="109"/>
        <w:gridCol w:w="109"/>
        <w:gridCol w:w="225"/>
        <w:gridCol w:w="771"/>
        <w:gridCol w:w="116"/>
        <w:gridCol w:w="109"/>
        <w:gridCol w:w="109"/>
        <w:gridCol w:w="109"/>
        <w:gridCol w:w="306"/>
        <w:gridCol w:w="271"/>
        <w:gridCol w:w="679"/>
        <w:gridCol w:w="109"/>
        <w:gridCol w:w="109"/>
        <w:gridCol w:w="109"/>
        <w:gridCol w:w="232"/>
        <w:gridCol w:w="681"/>
        <w:gridCol w:w="121"/>
        <w:gridCol w:w="109"/>
        <w:gridCol w:w="109"/>
        <w:gridCol w:w="109"/>
        <w:gridCol w:w="274"/>
        <w:gridCol w:w="274"/>
        <w:gridCol w:w="667"/>
      </w:tblGrid>
      <w:tr>
        <w:trPr/>
        <w:tc>
          <w:tcPr>
            <w:tcW w:w="6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r>
      <w:tr>
        <w:trPr/>
        <w:tc>
          <w:tcPr>
            <w:tcW w:w="1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(1)</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Boats</w:t>
            </w:r>
          </w:p>
        </w:tc>
        <w:tc>
          <w:tcPr>
            <w:tcW w:w="9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increased primarily due to carryover price increases, partially offset by unit volume decline.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Adjusted EBITDA decreased primarily due to higher discounts and allowances compared to prior year.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Results of Operations - Nine Months Ended May 27, 2023 Compared to the Nine Months Ended May 28, 2022</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Consolidated Performance Summary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changes in key items included in the Consolidated Statements of Income for the nine months ended May 27, 2023 compared to the nine months ended May 28, 2022:</w:t>
      </w:r>
    </w:p>
    <w:tbl>
      <w:tblPr>
        <w:tblW w:w="10205" w:type="dxa"/>
        <w:jc w:val="left"/>
        <w:tblInd w:w="0" w:type="dxa"/>
        <w:tblLayout w:type="fixed"/>
        <w:tblCellMar>
          <w:top w:w="28" w:type="dxa"/>
          <w:left w:w="28" w:type="dxa"/>
          <w:bottom w:w="28" w:type="dxa"/>
          <w:right w:w="28" w:type="dxa"/>
        </w:tblCellMar>
      </w:tblPr>
      <w:tblGrid>
        <w:gridCol w:w="930"/>
        <w:gridCol w:w="345"/>
        <w:gridCol w:w="347"/>
        <w:gridCol w:w="214"/>
        <w:gridCol w:w="778"/>
        <w:gridCol w:w="110"/>
        <w:gridCol w:w="109"/>
        <w:gridCol w:w="109"/>
        <w:gridCol w:w="109"/>
        <w:gridCol w:w="343"/>
        <w:gridCol w:w="281"/>
        <w:gridCol w:w="603"/>
        <w:gridCol w:w="109"/>
        <w:gridCol w:w="109"/>
        <w:gridCol w:w="109"/>
        <w:gridCol w:w="214"/>
        <w:gridCol w:w="778"/>
        <w:gridCol w:w="110"/>
        <w:gridCol w:w="109"/>
        <w:gridCol w:w="109"/>
        <w:gridCol w:w="109"/>
        <w:gridCol w:w="343"/>
        <w:gridCol w:w="281"/>
        <w:gridCol w:w="603"/>
        <w:gridCol w:w="109"/>
        <w:gridCol w:w="109"/>
        <w:gridCol w:w="109"/>
        <w:gridCol w:w="211"/>
        <w:gridCol w:w="788"/>
        <w:gridCol w:w="109"/>
        <w:gridCol w:w="109"/>
        <w:gridCol w:w="109"/>
        <w:gridCol w:w="109"/>
        <w:gridCol w:w="266"/>
        <w:gridCol w:w="266"/>
        <w:gridCol w:w="650"/>
      </w:tblGrid>
      <w:tr>
        <w:trPr/>
        <w:tc>
          <w:tcPr>
            <w:tcW w:w="93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 except per share data)</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Non-operating loss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Amounts are calculated based on unrounded numbers and therefore may not recalculate using the rounded numbers provided. In addition, percentages may not add in total due to rounding.</w:t>
      </w:r>
    </w:p>
    <w:p>
      <w:pPr>
        <w:pStyle w:val="TextBody"/>
        <w:bidi w:val="0"/>
        <w:spacing w:before="60" w:after="283"/>
        <w:ind w:left="0" w:right="0" w:hanging="270"/>
        <w:jc w:val="left"/>
        <w:rPr/>
      </w:pPr>
      <w:r>
        <w:rPr/>
      </w:r>
    </w:p>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Net revenues decreased primarily due to lower unit sales related to retail market conditions, and higher discounts and allowances compared to prior year, partially offset by carryover price increases in all segments.</w: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 as a percentage of revenue decreased primarily due to deleverage and higher discounts and allowances compared to prior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Operating expenses decreased primarily due to lower incentive-based compensation related to operating performance, lower amortization related to Barletta intangible assets and lower legal settlement expenses, partially offset by strategic investments.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Non-operating loss decreased due to a lower contingent consideration fair value adjustment related to the earnout from the acquisition of Barletta.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Our effective tax rate decreased primarily from the impact of favorable tax return to provision adjustments in the current year and the impact of mostly consistent tax credits year-over-year over decreased income in the current year, offset by a net favorable benefit in the prior year related to stock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Non-GAAP Reconciliation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reconciles net income to consolidated EBITDA and Adjusted EBITDA for the nine months ended May 27, 2023 and May 28, 2022:</w:t>
      </w:r>
    </w:p>
    <w:tbl>
      <w:tblPr>
        <w:tblW w:w="6747" w:type="dxa"/>
        <w:jc w:val="left"/>
        <w:tblInd w:w="0" w:type="dxa"/>
        <w:tblLayout w:type="fixed"/>
        <w:tblCellMar>
          <w:top w:w="28" w:type="dxa"/>
          <w:left w:w="28" w:type="dxa"/>
          <w:bottom w:w="28" w:type="dxa"/>
          <w:right w:w="28" w:type="dxa"/>
        </w:tblCellMar>
      </w:tblPr>
      <w:tblGrid>
        <w:gridCol w:w="1418"/>
        <w:gridCol w:w="1243"/>
        <w:gridCol w:w="1254"/>
        <w:gridCol w:w="277"/>
        <w:gridCol w:w="810"/>
        <w:gridCol w:w="143"/>
        <w:gridCol w:w="109"/>
        <w:gridCol w:w="109"/>
        <w:gridCol w:w="109"/>
        <w:gridCol w:w="274"/>
        <w:gridCol w:w="801"/>
        <w:gridCol w:w="200"/>
      </w:tblGrid>
      <w:tr>
        <w:trPr/>
        <w:tc>
          <w:tcPr>
            <w:tcW w:w="141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476.5 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reserves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fair value adjustment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loss (income)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509.7 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Reportable Segment Performance Summary</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Towable RV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Towable RV segment for the nine months ended May 27, 2023 compared to the nine months ended May 28, 2022:</w:t>
      </w:r>
    </w:p>
    <w:tbl>
      <w:tblPr>
        <w:tblW w:w="10205" w:type="dxa"/>
        <w:jc w:val="left"/>
        <w:tblInd w:w="0" w:type="dxa"/>
        <w:tblLayout w:type="fixed"/>
        <w:tblCellMar>
          <w:top w:w="28" w:type="dxa"/>
          <w:left w:w="28" w:type="dxa"/>
          <w:bottom w:w="28" w:type="dxa"/>
          <w:right w:w="28" w:type="dxa"/>
        </w:tblCellMar>
      </w:tblPr>
      <w:tblGrid>
        <w:gridCol w:w="639"/>
        <w:gridCol w:w="393"/>
        <w:gridCol w:w="395"/>
        <w:gridCol w:w="219"/>
        <w:gridCol w:w="795"/>
        <w:gridCol w:w="113"/>
        <w:gridCol w:w="109"/>
        <w:gridCol w:w="109"/>
        <w:gridCol w:w="109"/>
        <w:gridCol w:w="343"/>
        <w:gridCol w:w="293"/>
        <w:gridCol w:w="651"/>
        <w:gridCol w:w="109"/>
        <w:gridCol w:w="109"/>
        <w:gridCol w:w="109"/>
        <w:gridCol w:w="219"/>
        <w:gridCol w:w="795"/>
        <w:gridCol w:w="113"/>
        <w:gridCol w:w="109"/>
        <w:gridCol w:w="109"/>
        <w:gridCol w:w="109"/>
        <w:gridCol w:w="343"/>
        <w:gridCol w:w="293"/>
        <w:gridCol w:w="651"/>
        <w:gridCol w:w="109"/>
        <w:gridCol w:w="109"/>
        <w:gridCol w:w="109"/>
        <w:gridCol w:w="211"/>
        <w:gridCol w:w="798"/>
        <w:gridCol w:w="109"/>
        <w:gridCol w:w="109"/>
        <w:gridCol w:w="109"/>
        <w:gridCol w:w="109"/>
        <w:gridCol w:w="271"/>
        <w:gridCol w:w="271"/>
        <w:gridCol w:w="655"/>
      </w:tblGrid>
      <w:tr>
        <w:trPr/>
        <w:tc>
          <w:tcPr>
            <w:tcW w:w="63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r>
      <w:tr>
        <w:trPr/>
        <w:tc>
          <w:tcPr>
            <w:tcW w:w="1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(1)</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Change</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r>
      <w:tr>
        <w:trPr/>
        <w:tc>
          <w:tcPr>
            <w:tcW w:w="1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Backlog</w:t>
            </w:r>
            <w:r>
              <w:rPr>
                <w:rFonts w:ascii="Arial;sans-serif" w:hAnsi="Arial;sans-serif"/>
                <w:b/>
                <w:color w:val="000000"/>
                <w:sz w:val="12"/>
              </w:rPr>
              <w:t>(4)</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Dollars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Dealer Inventory</w:t>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lineRule="auto" w:line="288" w:before="0" w:after="0"/>
        <w:ind w:left="0" w:right="0" w:hanging="270"/>
        <w:jc w:val="left"/>
        <w:rPr/>
      </w:pPr>
      <w:r>
        <w:rPr>
          <w:rFonts w:ascii="Arial;sans-serif" w:hAnsi="Arial;sans-serif"/>
          <w:b w:val="false"/>
          <w:color w:val="000000"/>
          <w:sz w:val="12"/>
        </w:rPr>
        <w:t>(4)</w:t>
      </w:r>
      <w:r>
        <w:rPr>
          <w:color w:val="000000"/>
        </w:rPr>
        <w:t>    </w:t>
      </w:r>
      <w:r>
        <w:rPr>
          <w:rFonts w:ascii="Arial;sans-serif" w:hAnsi="Arial;sans-serif"/>
          <w:b w:val="false"/>
          <w:color w:val="000000"/>
          <w:sz w:val="16"/>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decreased primarily due to a decline in unit volume related to retail market conditions and higher discounts and allowances compared to prior year, partially offset by carryover price increases.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EBITDA decreased primarily due to lower revenues associated with volume declines related to retail market conditions and higher discounts and allowances compared to prior year.</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Backlog decreased compared to the prior year when dealers were replenishing inventories.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Motorhome RV</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Motorhome RV segment for the nine months ended May 27, 2023 compared to the nine months ended May 28, 2022:</w:t>
      </w:r>
    </w:p>
    <w:tbl>
      <w:tblPr>
        <w:tblW w:w="10205" w:type="dxa"/>
        <w:jc w:val="left"/>
        <w:tblInd w:w="0" w:type="dxa"/>
        <w:tblLayout w:type="fixed"/>
        <w:tblCellMar>
          <w:top w:w="28" w:type="dxa"/>
          <w:left w:w="28" w:type="dxa"/>
          <w:bottom w:w="28" w:type="dxa"/>
          <w:right w:w="28" w:type="dxa"/>
        </w:tblCellMar>
      </w:tblPr>
      <w:tblGrid>
        <w:gridCol w:w="684"/>
        <w:gridCol w:w="359"/>
        <w:gridCol w:w="360"/>
        <w:gridCol w:w="214"/>
        <w:gridCol w:w="840"/>
        <w:gridCol w:w="110"/>
        <w:gridCol w:w="109"/>
        <w:gridCol w:w="109"/>
        <w:gridCol w:w="109"/>
        <w:gridCol w:w="343"/>
        <w:gridCol w:w="289"/>
        <w:gridCol w:w="634"/>
        <w:gridCol w:w="109"/>
        <w:gridCol w:w="109"/>
        <w:gridCol w:w="109"/>
        <w:gridCol w:w="214"/>
        <w:gridCol w:w="840"/>
        <w:gridCol w:w="110"/>
        <w:gridCol w:w="109"/>
        <w:gridCol w:w="109"/>
        <w:gridCol w:w="109"/>
        <w:gridCol w:w="343"/>
        <w:gridCol w:w="289"/>
        <w:gridCol w:w="634"/>
        <w:gridCol w:w="109"/>
        <w:gridCol w:w="109"/>
        <w:gridCol w:w="109"/>
        <w:gridCol w:w="211"/>
        <w:gridCol w:w="794"/>
        <w:gridCol w:w="109"/>
        <w:gridCol w:w="109"/>
        <w:gridCol w:w="109"/>
        <w:gridCol w:w="109"/>
        <w:gridCol w:w="269"/>
        <w:gridCol w:w="269"/>
        <w:gridCol w:w="655"/>
      </w:tblGrid>
      <w:tr>
        <w:trPr/>
        <w:tc>
          <w:tcPr>
            <w:tcW w:w="68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r>
      <w:tr>
        <w:trPr/>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(1)</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153,139 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Change</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r>
      <w:tr>
        <w:trPr/>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Backlog</w:t>
            </w:r>
            <w:r>
              <w:rPr>
                <w:rFonts w:ascii="Arial;sans-serif" w:hAnsi="Arial;sans-serif"/>
                <w:b/>
                <w:color w:val="000000"/>
                <w:sz w:val="12"/>
              </w:rPr>
              <w:t>(4)</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Dollars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Dealer Inventory</w:t>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lineRule="auto" w:line="288" w:before="0" w:after="0"/>
        <w:ind w:left="0" w:right="0" w:hanging="270"/>
        <w:jc w:val="left"/>
        <w:rPr/>
      </w:pPr>
      <w:r>
        <w:rPr>
          <w:rFonts w:ascii="Arial;sans-serif" w:hAnsi="Arial;sans-serif"/>
          <w:b w:val="false"/>
          <w:color w:val="000000"/>
          <w:sz w:val="12"/>
        </w:rPr>
        <w:t>(4)</w:t>
      </w:r>
      <w:r>
        <w:rPr>
          <w:color w:val="000000"/>
        </w:rPr>
        <w:t>    </w:t>
      </w:r>
      <w:r>
        <w:rPr>
          <w:rFonts w:ascii="Arial;sans-serif" w:hAnsi="Arial;sans-serif"/>
          <w:b w:val="false"/>
          <w:color w:val="000000"/>
          <w:sz w:val="16"/>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Net revenues decreased primarily due to unit volume decline, partially offset by price increases.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Adjusted EBITDA decreased due to lower revenues and productivity and operational efficiency challenges. </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Backlog decreased due to normalizing levels of dealer inventories.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Marine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Marine segment for the nine months ended May 27, 2023 compared to the nine months ended May 28, 2022:</w:t>
      </w:r>
    </w:p>
    <w:tbl>
      <w:tblPr>
        <w:tblW w:w="10205" w:type="dxa"/>
        <w:jc w:val="left"/>
        <w:tblInd w:w="0" w:type="dxa"/>
        <w:tblLayout w:type="fixed"/>
        <w:tblCellMar>
          <w:top w:w="28" w:type="dxa"/>
          <w:left w:w="28" w:type="dxa"/>
          <w:bottom w:w="28" w:type="dxa"/>
          <w:right w:w="28" w:type="dxa"/>
        </w:tblCellMar>
      </w:tblPr>
      <w:tblGrid>
        <w:gridCol w:w="687"/>
        <w:gridCol w:w="450"/>
        <w:gridCol w:w="452"/>
        <w:gridCol w:w="225"/>
        <w:gridCol w:w="771"/>
        <w:gridCol w:w="116"/>
        <w:gridCol w:w="109"/>
        <w:gridCol w:w="109"/>
        <w:gridCol w:w="109"/>
        <w:gridCol w:w="306"/>
        <w:gridCol w:w="271"/>
        <w:gridCol w:w="678"/>
        <w:gridCol w:w="109"/>
        <w:gridCol w:w="109"/>
        <w:gridCol w:w="109"/>
        <w:gridCol w:w="225"/>
        <w:gridCol w:w="771"/>
        <w:gridCol w:w="116"/>
        <w:gridCol w:w="109"/>
        <w:gridCol w:w="109"/>
        <w:gridCol w:w="109"/>
        <w:gridCol w:w="306"/>
        <w:gridCol w:w="271"/>
        <w:gridCol w:w="678"/>
        <w:gridCol w:w="109"/>
        <w:gridCol w:w="109"/>
        <w:gridCol w:w="109"/>
        <w:gridCol w:w="232"/>
        <w:gridCol w:w="681"/>
        <w:gridCol w:w="121"/>
        <w:gridCol w:w="109"/>
        <w:gridCol w:w="109"/>
        <w:gridCol w:w="109"/>
        <w:gridCol w:w="273"/>
        <w:gridCol w:w="275"/>
        <w:gridCol w:w="665"/>
      </w:tblGrid>
      <w:tr>
        <w:trPr/>
        <w:tc>
          <w:tcPr>
            <w:tcW w:w="68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r>
      <w:tr>
        <w:trPr/>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(1)</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Boats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Change</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(2)</w:t>
            </w:r>
          </w:p>
        </w:tc>
      </w:tr>
      <w:tr>
        <w:trPr/>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Backlog</w:t>
            </w:r>
            <w:r>
              <w:rPr>
                <w:rFonts w:ascii="Arial;sans-serif" w:hAnsi="Arial;sans-serif"/>
                <w:b/>
                <w:color w:val="000000"/>
                <w:sz w:val="12"/>
              </w:rPr>
              <w:t>(3)</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Dollars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(4)</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pStyle w:val="TextBody"/>
        <w:bidi w:val="0"/>
        <w:spacing w:lineRule="auto" w:line="268" w:before="0" w:after="0"/>
        <w:ind w:left="0" w:right="0" w:hanging="270"/>
        <w:jc w:val="left"/>
        <w:rPr/>
      </w:pPr>
      <w:r>
        <w:rPr>
          <w:rFonts w:ascii="Arial;sans-serif" w:hAnsi="Arial;sans-serif"/>
          <w:b w:val="false"/>
          <w:color w:val="000000"/>
          <w:sz w:val="12"/>
        </w:rPr>
        <w:t>(4)</w:t>
      </w:r>
      <w:r>
        <w:rPr>
          <w:color w:val="000000"/>
        </w:rPr>
        <w:t>    </w:t>
      </w:r>
      <w:r>
        <w:rPr>
          <w:rFonts w:ascii="Arial;sans-serif" w:hAnsi="Arial;sans-serif"/>
          <w:b w:val="false"/>
          <w:color w:val="000000"/>
          <w:sz w:val="16"/>
        </w:rPr>
        <w:t>Due to the nature of the Marine industry, this amount includes a higher proportion of retail sold units than our other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increased primarily due to unit growth and price increases.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Adjusted EBITDA increased primarily due to increased revenue, partially offset by higher discounts and allowances compared to prior year. </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Backlog decreased due to normalizing levels of dealer inventories.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Analysis of Financial Condition, Liquidity, and Resources</w:t>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Cash Flows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table summarizes our cash flows from operations:</w:t>
      </w:r>
    </w:p>
    <w:tbl>
      <w:tblPr>
        <w:tblW w:w="5948" w:type="dxa"/>
        <w:jc w:val="left"/>
        <w:tblInd w:w="0" w:type="dxa"/>
        <w:tblLayout w:type="fixed"/>
        <w:tblCellMar>
          <w:top w:w="28" w:type="dxa"/>
          <w:left w:w="28" w:type="dxa"/>
          <w:bottom w:w="28" w:type="dxa"/>
          <w:right w:w="28" w:type="dxa"/>
        </w:tblCellMar>
      </w:tblPr>
      <w:tblGrid>
        <w:gridCol w:w="1315"/>
        <w:gridCol w:w="1151"/>
        <w:gridCol w:w="1163"/>
        <w:gridCol w:w="211"/>
        <w:gridCol w:w="616"/>
        <w:gridCol w:w="109"/>
        <w:gridCol w:w="109"/>
        <w:gridCol w:w="109"/>
        <w:gridCol w:w="109"/>
        <w:gridCol w:w="211"/>
        <w:gridCol w:w="691"/>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27,</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May 28,</w:t>
              <w:br/>
              <w:t>2022</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provided by (used in):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During the nine months ended May 27, 2023, cash provided by operating activities was $156.4 million compared to $245.2 million in the same period last year. The decrease is primarily driven by lower profitability adjusted for non-cash items, partially offset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net favorable changes in operating assets and liabilities. The favorable impact of operating assets and liabilities is primarily due to changes in accounts receivable due to lower sales and timing of invoicing/collections, and changes in inventory due to elevated purchases in Fiscal 2022 to support customer demand, partially offset by a decrease in accounts payable due to lower purchasing requirements.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in investing activities decreased primarily due to our acquisition of Barletta during the first quarter of Fiscal 2022 compared to the acquisition of Lithionics during the third quarter of Fiscal 2023.</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Cash used in financing activities decreased primarily due to $24.9 million of stock repurchases in the first nine months of Fiscal 2023 compared to $134.2 million in the first nine months of Fiscal 2022. </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Debt and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maintain a $350.0 million asset-based revolving credit facility ("ABL Credit Facility") with a maturity date of July 15, 2027 subject to certain factors which may accelerate the maturity date. As of May 27, 2023, we had no borrowings against the ABL Credit Facility.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May 27, 2023, we had $225.9 million in cash and cash equivalents and $350.0 million in unused ABL Credit Facility. Our cash and cash equivalent balances consist of high quality, short-term money market instruments.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Convertible Notes, the Senior Secured Notes, and the ABL Credit Facility, and will continue to monitor counterparty risk on an on-going basis.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Working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Working capital at May 27, 2023 and August 27, 2022 was $574.7 million and $571.7 million, respectively. We currently expect cash on hand, funds generated from operations, and the borrowing available under our ABL Credit Facility to be sufficient to cover both short-term and long-term operating requirements.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 xml:space="preserve">Share Repurchases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17, 2022, our Board of Directors authorized a new share repurchase program in the amount of $350.0 million with no time restriction on the authorization, which took effect immediately and replaced the prior program. In the nine months ended May 27, 2023, we repurchased 346,860 shares of our own common stock at a cost of $20.0 million under this authorization, and 86,840 shares at a cost of $4.9 million to satisfy tax obligations on employee equity awards vested. We continually evaluate if share repurchases reflect a prudent use of our capital and, subject to compliance with our ABL Credit Facility and Senior Secured Notes, we may purchase shares in the future. As of May 27, 2023, we have $330.0 million remaining on our Board approved repurchase authorization.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May 17, 2023, our Board of Directors approved a quarterly cash dividend of $0.27 per share payable on June 28, 2023, to common stockholders of record at the close of business on June 14, 2023.</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Contractual Obligations and Commercial Commitments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have been no material changes in our contractual obligations since the end of Fiscal 2022. See our Annual Report on Form 10-K for the fiscal year ended August 27, 2022 for additional information regarding our contractual obligations and commercial commitments.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Critical Accounting Policies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describe our critical accounting policies in Note 1 in the Notes to Consolidated Financial Statements included in Item 8 of Part II of our Annual Report on Form 10-K for the fiscal year ended August 27, 2022. We discuss our critical accounting estimates in Item 7 of Part II of our Annual Report on Form 10-K for the fiscal year ended August 27, 2022. There have been no material changes to our critical accounting policies or critical accounting estimates since the end of Fiscal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Recently Issued Accounting Pronouncements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have been no new accounting pronouncements issued but not yet adopted or effective that we believe will have a significant impact on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Safe Harbor Statement Under the Private Securities Litigation Reform Act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27, 2022,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General economic uncertainty in key markets and a worsening of domestic and global economic conditions or low levels of economic growth.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Uncertainty surrounding the COVID-19 pandemic.</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Availability of financing for RV and marine dealers.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innovate and commercialize new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manage our inventory to meet demand.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Competition and new product introductions by competitors.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cyclicality and seasonality of our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independent dealers.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Significant increase in repurchase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Business or production disruptions.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Inadequate inventory and distribution channel management.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Ability to retain relationships with our suppliers and obtain components.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Increased material and component costs, including availability and price of fuel and other raw materials.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integrate mergers and acquisitions.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attract and retain qualified personnel and changes in market compensation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Exposure to warranty claims.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protect our information technology systems from data security, cyberattacks, and network disruption risks and the ability to successfully upgrade and evolve our information technology systems.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retain brand reputation and related exposure to product liability claims.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Governmental regulation, including for climate change.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Impairment of goodwill and trade names.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Risks related to our Convertible and Senior Secured Notes, including our ability to satisfy our obligations under these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caution that the foregoing list of important factors is not complete. Any forward-looking statements speak only as of the date they are made, and we assume no obligation to update any forward-looking statement that we may make.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3. Quantitative and Qualitative Disclosures About Market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assets we maintain to fund deferred compensation have market risk, but we maintain a corresponding liability for these assets. The market risk is therefore borne by the participants in the deferred compensation program.</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Interest rate risk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ABL Credit Facility, which is our only floating rate debt instrument, remains undrawn as of May 27,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4. Controls and Procedures</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Evaluation of Disclosure Controls and Procedures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were no changes in our internal control over financial reporting that occurred during the third quarter of Fiscal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 Legal Proceedings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 description of our legal proceedings, see Note 11 in the Notes to Consolidated Financial Statements included in Item 1 of Part I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1A. Risk Factors</w:t>
      </w:r>
    </w:p>
    <w:p>
      <w:pPr>
        <w:pStyle w:val="TextBody"/>
        <w:bidi w:val="0"/>
        <w:spacing w:lineRule="auto" w:line="288" w:before="0" w:after="0"/>
        <w:jc w:val="left"/>
        <w:rPr/>
      </w:pPr>
      <w:r>
        <w:rPr>
          <w:rFonts w:ascii="Arial;sans-serif" w:hAnsi="Arial;sans-serif"/>
          <w:b w:val="false"/>
          <w:color w:val="000000"/>
          <w:sz w:val="18"/>
        </w:rPr>
        <w:t xml:space="preserve">There have been no material changes from the risk factors previously disclosed in Part I, Item 1A, </w:t>
      </w:r>
      <w:r>
        <w:rPr>
          <w:rFonts w:ascii="Arial;sans-serif" w:hAnsi="Arial;sans-serif"/>
          <w:b w:val="false"/>
          <w:i/>
          <w:color w:val="000000"/>
          <w:sz w:val="18"/>
        </w:rPr>
        <w:t>Risk Factors</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of our Annual Report on Form 10-K for the fiscal year ended August 27, 2022, except for the risk factor updated below:</w:t>
      </w:r>
    </w:p>
    <w:p>
      <w:pPr>
        <w:pStyle w:val="TextBody"/>
        <w:bidi w:val="0"/>
        <w:spacing w:before="0" w:after="0"/>
        <w:jc w:val="left"/>
        <w:rPr/>
      </w:pPr>
      <w:r>
        <w:rPr/>
      </w:r>
    </w:p>
    <w:p>
      <w:pPr>
        <w:pStyle w:val="TextBody"/>
        <w:bidi w:val="0"/>
        <w:spacing w:lineRule="auto" w:line="256" w:before="0" w:after="0"/>
        <w:jc w:val="left"/>
        <w:rPr>
          <w:rFonts w:ascii="Arial;sans-serif" w:hAnsi="Arial;sans-serif"/>
          <w:b/>
          <w:color w:val="000000"/>
          <w:sz w:val="18"/>
        </w:rPr>
      </w:pPr>
      <w:r>
        <w:rPr>
          <w:rFonts w:ascii="Arial;sans-serif" w:hAnsi="Arial;sans-serif"/>
          <w:b/>
          <w:color w:val="000000"/>
          <w:sz w:val="18"/>
        </w:rPr>
        <w:t>For some of the components used in production, we depend on a small group of suppliers and the loss of any of these suppliers could affect our ability to obtain components timely or at competitive prices, which would decrease our results of operations, financial condition, and cash flows.</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Most of our RV and marine components are readily available from numerous sources. However, a few of our components are produced by a small group of suppliers. In the case of motorhome RV chassis, Mercedes-Benz (USA and Canada), Stellantis N.V., Freightliner Trucks, Ford Motor Company, and Spartan RV Chassis are our major suppliers. Our relationship with our chassis suppliers is similar to our other supplier relationships in that no specific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which could mean our larger competitors could receive more chassis in a time of scarcity. Sales of motorhome RVs rely on chassis supply and are affected by shortages, instability, or recalls from time to time. For example, in the first quarter of Fiscal 2023, the Mercedes-Benz Sprinter chassis became subject to a recall notice, which temporarily suspended all retail sales and wholesale shipments of our products built on this chassis until a recall remedy was implemented. The remedy was implemented in the second quarter of Fiscal 2023 in cooperation with Mercedes-Benz AG. Furthermore, decisions by our suppliers to decrease production, production delays or work stoppages by the employees of such suppliers, or price increases could have a material adverse effect on our ability to produce motorhome RVs and ultimately, on our results of operations, financial condition, and cash flows. In Fiscal 2022, one of our suppliers individually accounted for approximately 11% of our consolidated raw material purchases.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2. Unregistered Sales of Equity Securities and Use of Proceeds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 Stock Repurchases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Purchases of our common stock during each fiscal month of the third quarter of Fiscal 2023 are as follows:</w:t>
      </w:r>
    </w:p>
    <w:tbl>
      <w:tblPr>
        <w:tblW w:w="10205" w:type="dxa"/>
        <w:jc w:val="left"/>
        <w:tblInd w:w="0" w:type="dxa"/>
        <w:tblLayout w:type="fixed"/>
        <w:tblCellMar>
          <w:top w:w="28" w:type="dxa"/>
          <w:left w:w="28" w:type="dxa"/>
          <w:bottom w:w="28" w:type="dxa"/>
          <w:right w:w="28" w:type="dxa"/>
        </w:tblCellMar>
      </w:tblPr>
      <w:tblGrid>
        <w:gridCol w:w="309"/>
        <w:gridCol w:w="271"/>
        <w:gridCol w:w="272"/>
        <w:gridCol w:w="605"/>
        <w:gridCol w:w="521"/>
        <w:gridCol w:w="523"/>
        <w:gridCol w:w="109"/>
        <w:gridCol w:w="109"/>
        <w:gridCol w:w="109"/>
        <w:gridCol w:w="293"/>
        <w:gridCol w:w="856"/>
        <w:gridCol w:w="151"/>
        <w:gridCol w:w="109"/>
        <w:gridCol w:w="109"/>
        <w:gridCol w:w="109"/>
        <w:gridCol w:w="876"/>
        <w:gridCol w:w="793"/>
        <w:gridCol w:w="795"/>
        <w:gridCol w:w="109"/>
        <w:gridCol w:w="109"/>
        <w:gridCol w:w="109"/>
        <w:gridCol w:w="634"/>
        <w:gridCol w:w="1853"/>
        <w:gridCol w:w="472"/>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Period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Number of Shares Purchased as Part of Publicly Announced Plans or Programs</w:t>
            </w:r>
            <w:r>
              <w:rPr>
                <w:rFonts w:ascii="Arial;sans-serif" w:hAnsi="Arial;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Approximate Dollar Value of Shares That May Yet Be Purchased Under the Plans or Programs</w:t>
            </w:r>
            <w:r>
              <w:rPr>
                <w:rFonts w:ascii="Arial;sans-serif" w:hAnsi="Arial;sans-serif"/>
                <w:b/>
                <w:color w:val="000000"/>
                <w:sz w:val="12"/>
              </w:rPr>
              <w:t xml:space="preserve">(3) </w:t>
            </w:r>
            <w:r>
              <w:rPr>
                <w:rFonts w:ascii="Arial;sans-serif" w:hAnsi="Arial;sans-serif"/>
                <w:b w:val="false"/>
                <w:color w:val="000000"/>
                <w:sz w:val="16"/>
              </w:rPr>
              <w:t>(in millions)</w:t>
            </w:r>
          </w:p>
        </w:tc>
      </w:tr>
      <w:tr>
        <w:trPr/>
        <w:tc>
          <w:tcPr>
            <w:tcW w:w="8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2/26/23 - 4/1/23</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52,556 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52,556 </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4/2/23 - 4/29/23</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294,304 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294,304 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4/30/23 - 5/27/23</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346,973 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346,860 </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    </w:t>
      </w:r>
      <w:r>
        <w:rPr>
          <w:rFonts w:ascii="Arial;sans-serif" w:hAnsi="Arial;sans-serif"/>
          <w:b w:val="false"/>
          <w:color w:val="000000"/>
          <w:sz w:val="16"/>
        </w:rPr>
        <w:t>Number of shares in the table are shown in whole numbers.</w:t>
      </w:r>
    </w:p>
    <w:p>
      <w:pPr>
        <w:pStyle w:val="TextBody"/>
        <w:bidi w:val="0"/>
        <w:spacing w:lineRule="auto" w:line="288" w:before="0" w:after="0"/>
        <w:ind w:left="0" w:right="0" w:hanging="270"/>
        <w:jc w:val="left"/>
        <w:rPr/>
      </w:pPr>
      <w:r>
        <w:rPr>
          <w:rFonts w:ascii="Arial;sans-serif" w:hAnsi="Arial;sans-serif"/>
          <w:b w:val="false"/>
          <w:color w:val="000000"/>
          <w:sz w:val="12"/>
        </w:rPr>
        <w:t>(2)    </w:t>
      </w:r>
      <w:r>
        <w:rPr>
          <w:rFonts w:ascii="Arial;sans-serif" w:hAnsi="Arial;sans-serif"/>
          <w:b w:val="false"/>
          <w:color w:val="000000"/>
          <w:sz w:val="16"/>
        </w:rPr>
        <w:t>Shares not purchased as part of a publicly announced program were repurchased from employees who vested in Company shares and elected to pay their payroll tax via the value of shares delivered as opposed to cash.</w:t>
      </w:r>
      <w:r>
        <w:rPr>
          <w:color w:val="000000"/>
        </w:rPr>
        <w:t xml:space="preserve"> </w:t>
      </w:r>
    </w:p>
    <w:p>
      <w:pPr>
        <w:pStyle w:val="TextBody"/>
        <w:bidi w:val="0"/>
        <w:spacing w:lineRule="auto" w:line="288" w:before="0" w:after="0"/>
        <w:ind w:left="0" w:right="0" w:hanging="270"/>
        <w:jc w:val="left"/>
        <w:rPr/>
      </w:pPr>
      <w:r>
        <w:rPr>
          <w:rFonts w:ascii="Arial;sans-serif" w:hAnsi="Arial;sans-serif"/>
          <w:b w:val="false"/>
          <w:color w:val="000000"/>
          <w:sz w:val="12"/>
        </w:rPr>
        <w:t>(3)    </w:t>
      </w:r>
      <w:r>
        <w:rPr>
          <w:rFonts w:ascii="Arial;sans-serif" w:hAnsi="Arial;sans-serif"/>
          <w:b w:val="false"/>
          <w:color w:val="000000"/>
          <w:sz w:val="16"/>
        </w:rPr>
        <w:t>Pursuant to a $350.0 million share repurchase program authorized by our Board of Directors on August 17, 2022. There is no time restriction on the authorization.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Senior Secured Notes, as defined in Note 9 in the Notes to Consolidated Financial Statements included in Item 1 of Part I of this Quarterly Report on Form 10-Q, contain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275"/>
        <w:gridCol w:w="202"/>
        <w:gridCol w:w="176"/>
        <w:gridCol w:w="2893"/>
        <w:gridCol w:w="2758"/>
        <w:gridCol w:w="3901"/>
      </w:tblGrid>
      <w:tr>
        <w:trPr/>
        <w:tc>
          <w:tcPr>
            <w:tcW w:w="2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080"/>
              <w:jc w:val="center"/>
              <w:rPr/>
            </w:pPr>
            <w:hyperlink r:id="rId3">
              <w:r>
                <w:rPr>
                  <w:rStyle w:val="InternetLink"/>
                  <w:rFonts w:ascii="Arial;sans-serif" w:hAnsi="Arial;sans-serif"/>
                  <w:b w:val="false"/>
                  <w:color w:val="0000FF"/>
                  <w:sz w:val="18"/>
                  <w:u w:val="single"/>
                </w:rPr>
                <w:t>3.1</w:t>
              </w:r>
            </w:hyperlink>
          </w:p>
        </w:tc>
        <w:tc>
          <w:tcPr>
            <w:tcW w:w="9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 xml:space="preserve">Articles of Incorporation of Winnebago Industries, Inc., effective January 1, 2022 (incorporated by reference from Exhibit 3.1 to the Registrant’s Current Report on Form 8-K dated January 1, 2022). </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r:id="rId5">
              <w:r>
                <w:rPr>
                  <w:rStyle w:val="InternetLink"/>
                  <w:rFonts w:ascii="Arial;sans-serif" w:hAnsi="Arial;sans-serif"/>
                  <w:b w:val="false"/>
                  <w:color w:val="0000FF"/>
                  <w:sz w:val="18"/>
                  <w:u w:val="single"/>
                </w:rPr>
                <w:t>3.2</w:t>
              </w:r>
            </w:hyperlink>
          </w:p>
        </w:tc>
        <w:tc>
          <w:tcPr>
            <w:tcW w:w="9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By-Laws of the Registrant effective January 1, 2022 (incorporated by reference from Exhibit 3.2 to the Registrant’s Current Report on Form 8-K dated January 1, 2022).</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r:id="rId7">
              <w:r>
                <w:rPr>
                  <w:rStyle w:val="InternetLink"/>
                  <w:rFonts w:ascii="Arial;sans-serif" w:hAnsi="Arial;sans-serif"/>
                  <w:b w:val="false"/>
                  <w:color w:val="0000FF"/>
                  <w:sz w:val="18"/>
                  <w:u w:val="single"/>
                </w:rPr>
                <w:t>4.1</w:t>
              </w:r>
            </w:hyperlink>
          </w:p>
        </w:tc>
        <w:tc>
          <w:tcPr>
            <w:tcW w:w="9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Indenture, dated November 1, 2019, by and between Winnebago Industries, Inc. and U.S. Bank National Association (incorporated by reference from Exhibit 4.1 to the Registrant’s Current Report on Form 8-K dated October 29, 2019).</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r:id="rId9">
              <w:r>
                <w:rPr>
                  <w:rStyle w:val="InternetLink"/>
                  <w:rFonts w:ascii="Arial;sans-serif" w:hAnsi="Arial;sans-serif"/>
                  <w:b w:val="false"/>
                  <w:color w:val="0000FF"/>
                  <w:sz w:val="18"/>
                  <w:u w:val="single"/>
                </w:rPr>
                <w:t>4.2</w:t>
              </w:r>
            </w:hyperlink>
          </w:p>
        </w:tc>
        <w:tc>
          <w:tcPr>
            <w:tcW w:w="9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Form of 1.50% Convertible Senior Note due 2025 (included in Exhibit 4.1).</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080"/>
              <w:jc w:val="center"/>
              <w:rPr/>
            </w:pPr>
            <w:hyperlink r:id="rId11">
              <w:r>
                <w:rPr>
                  <w:rStyle w:val="InternetLink"/>
                  <w:rFonts w:ascii="Arial;sans-serif" w:hAnsi="Arial;sans-serif"/>
                  <w:b w:val="false"/>
                  <w:color w:val="0000FF"/>
                  <w:sz w:val="18"/>
                  <w:u w:val="single"/>
                </w:rPr>
                <w:t>4.3</w:t>
              </w:r>
            </w:hyperlink>
          </w:p>
        </w:tc>
        <w:tc>
          <w:tcPr>
            <w:tcW w:w="955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Arial;sans-serif" w:hAnsi="Arial;sans-serif"/>
                  <w:b w:val="false"/>
                  <w:color w:val="0000FF"/>
                  <w:sz w:val="18"/>
                  <w:u w:val="single"/>
                </w:rPr>
                <w:t>Indenture, dated as of July 8, 2020, by and among Winnebago Industries, Inc., the guarantors named therein and U.S. Bank National Association, as trustee (incorporated by reference from Exhibit 4.1 to the Registrant’s Current Report on Form 8-K dated July 8, 2020)</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r:id="rId13">
              <w:r>
                <w:rPr>
                  <w:rStyle w:val="InternetLink"/>
                  <w:rFonts w:ascii="Arial;sans-serif" w:hAnsi="Arial;sans-serif"/>
                  <w:b w:val="false"/>
                  <w:color w:val="0000FF"/>
                  <w:sz w:val="18"/>
                  <w:u w:val="single"/>
                </w:rPr>
                <w:t>4.4</w:t>
              </w:r>
            </w:hyperlink>
          </w:p>
        </w:tc>
        <w:tc>
          <w:tcPr>
            <w:tcW w:w="9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8"/>
                  <w:u w:val="single"/>
                </w:rPr>
                <w:t>Form of 6.250% Senior Secured Note due 2028 (included in Exhibit 4.3)</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w:anchor="a2023q3exh311.htm">
              <w:r>
                <w:rPr>
                  <w:rStyle w:val="InternetLink"/>
                  <w:rFonts w:ascii="Arial;sans-serif" w:hAnsi="Arial;sans-serif"/>
                  <w:b w:val="false"/>
                  <w:color w:val="0000FF"/>
                  <w:sz w:val="18"/>
                  <w:u w:val="single"/>
                </w:rPr>
                <w:t>31.1</w:t>
              </w:r>
            </w:hyperlink>
          </w:p>
        </w:tc>
        <w:tc>
          <w:tcPr>
            <w:tcW w:w="9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q3exh311.htm">
              <w:r>
                <w:rPr>
                  <w:rStyle w:val="InternetLink"/>
                  <w:rFonts w:ascii="Arial;sans-serif" w:hAnsi="Arial;sans-serif"/>
                  <w:b w:val="false"/>
                  <w:color w:val="0000FF"/>
                  <w:sz w:val="18"/>
                  <w:u w:val="single"/>
                </w:rPr>
                <w:t>Certification by the Chief Executive Officer pursuant to Section 302 of the Sarbanes-Oxley Act of 2002 (filed herewith)</w:t>
              </w:r>
            </w:hyperlink>
            <w:r>
              <w:rPr>
                <w:rFonts w:ascii="Arial;sans-serif" w:hAnsi="Arial;sans-serif"/>
                <w:b w:val="false"/>
                <w:color w:val="000000"/>
                <w:sz w:val="18"/>
              </w:rPr>
              <w:t>.</w:t>
            </w:r>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w:anchor="a2023q3exh312.htm">
              <w:r>
                <w:rPr>
                  <w:rStyle w:val="InternetLink"/>
                  <w:rFonts w:ascii="Arial;sans-serif" w:hAnsi="Arial;sans-serif"/>
                  <w:b w:val="false"/>
                  <w:color w:val="0000FF"/>
                  <w:sz w:val="18"/>
                  <w:u w:val="single"/>
                </w:rPr>
                <w:t>31.2</w:t>
              </w:r>
            </w:hyperlink>
          </w:p>
        </w:tc>
        <w:tc>
          <w:tcPr>
            <w:tcW w:w="9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q3exh312.htm">
              <w:r>
                <w:rPr>
                  <w:rStyle w:val="InternetLink"/>
                  <w:rFonts w:ascii="Arial;sans-serif" w:hAnsi="Arial;sans-serif"/>
                  <w:b w:val="false"/>
                  <w:color w:val="0000FF"/>
                  <w:sz w:val="18"/>
                  <w:u w:val="single"/>
                </w:rPr>
                <w:t>Certification by the Chief Financial Officer pursuant to Section 302 of the Sarbanes-Oxley Act of 2002 (filed herewith).</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w:anchor="a2023q3exh321.htm">
              <w:r>
                <w:rPr>
                  <w:rStyle w:val="InternetLink"/>
                  <w:rFonts w:ascii="Arial;sans-serif" w:hAnsi="Arial;sans-serif"/>
                  <w:b w:val="false"/>
                  <w:color w:val="0000FF"/>
                  <w:sz w:val="18"/>
                  <w:u w:val="single"/>
                </w:rPr>
                <w:t>32.1</w:t>
              </w:r>
            </w:hyperlink>
          </w:p>
        </w:tc>
        <w:tc>
          <w:tcPr>
            <w:tcW w:w="9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q3exh321.htm">
              <w:r>
                <w:rPr>
                  <w:rStyle w:val="InternetLink"/>
                  <w:rFonts w:ascii="Arial;sans-serif" w:hAnsi="Arial;sans-serif"/>
                  <w:b w:val="false"/>
                  <w:color w:val="0000FF"/>
                  <w:sz w:val="18"/>
                  <w:u w:val="single"/>
                </w:rPr>
                <w:t>Certification by the Chief Executive Officer pursuant to 18 U.S.C. Section 1350, as adopted pursuant to Section 906 of the Sarbanes-Oxley Act of 2002 (furnished herewith).</w:t>
              </w:r>
            </w:hyperlink>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080"/>
              <w:jc w:val="center"/>
              <w:rPr/>
            </w:pPr>
            <w:hyperlink w:anchor="a2023q3exh322.htm">
              <w:r>
                <w:rPr>
                  <w:rStyle w:val="InternetLink"/>
                  <w:rFonts w:ascii="Arial;sans-serif" w:hAnsi="Arial;sans-serif"/>
                  <w:b w:val="false"/>
                  <w:color w:val="0000FF"/>
                  <w:sz w:val="18"/>
                  <w:u w:val="single"/>
                </w:rPr>
                <w:t>32.2</w:t>
              </w:r>
            </w:hyperlink>
          </w:p>
        </w:tc>
        <w:tc>
          <w:tcPr>
            <w:tcW w:w="9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080"/>
              <w:jc w:val="left"/>
              <w:rPr/>
            </w:pPr>
            <w:hyperlink w:anchor="a2023q3exh322.htm">
              <w:r>
                <w:rPr>
                  <w:rStyle w:val="InternetLink"/>
                  <w:rFonts w:ascii="Arial;sans-serif" w:hAnsi="Arial;sans-serif"/>
                  <w:b w:val="false"/>
                  <w:color w:val="0000FF"/>
                  <w:sz w:val="18"/>
                  <w:u w:val="single"/>
                </w:rPr>
                <w:t>Certification by the Chief Financial Officer pursuant to 18 U.S.C. Section 1350, as adopted pursuant to Section 906 of the Sarbanes-Oxley Act of 2002 (furnished herewith).</w:t>
              </w:r>
            </w:hyperlink>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9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 (furnished herewith).</w:t>
            </w:r>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9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Extension Schema Document (furnished herewith).</w:t>
            </w:r>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9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Calculation Linkbase Document (furnished herewith).</w:t>
            </w:r>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9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 (furnished herewith).</w:t>
            </w:r>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9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Label Linkbase Document (furnished herewith).</w:t>
            </w:r>
          </w:p>
        </w:tc>
      </w:tr>
      <w:tr>
        <w:trPr/>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101.PRE</w:t>
            </w:r>
          </w:p>
        </w:tc>
        <w:tc>
          <w:tcPr>
            <w:tcW w:w="9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Presentation Linkbase Document (furnished herewith).</w:t>
            </w:r>
          </w:p>
        </w:tc>
      </w:tr>
      <w:tr>
        <w:trPr/>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rFonts w:ascii="Arial;sans-serif" w:hAnsi="Arial;sans-serif"/>
                <w:b w:val="false"/>
                <w:color w:val="000000"/>
                <w:sz w:val="18"/>
              </w:rPr>
            </w:pPr>
            <w:r>
              <w:rPr>
                <w:rFonts w:ascii="Arial;sans-serif" w:hAnsi="Arial;sans-serif"/>
                <w:b w:val="false"/>
                <w:color w:val="000000"/>
                <w:sz w:val="18"/>
              </w:rPr>
              <w:t>104</w:t>
            </w:r>
          </w:p>
        </w:tc>
        <w:tc>
          <w:tcPr>
            <w:tcW w:w="9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in Inline XBRL and contained in Exhibit 101) (furnished herewith).</w:t>
            </w:r>
          </w:p>
        </w:tc>
      </w:tr>
    </w:tbl>
    <w:p>
      <w:pPr>
        <w:pStyle w:val="TextBody"/>
        <w:bidi w:val="0"/>
        <w:spacing w:before="0" w:after="18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0654cf0bcb5c4d60b0c0c349a2aa0d10_7">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7678" w:type="dxa"/>
        <w:jc w:val="left"/>
        <w:tblInd w:w="0" w:type="dxa"/>
        <w:tblLayout w:type="fixed"/>
        <w:tblCellMar>
          <w:top w:w="28" w:type="dxa"/>
          <w:left w:w="28" w:type="dxa"/>
          <w:bottom w:w="28" w:type="dxa"/>
          <w:right w:w="28" w:type="dxa"/>
        </w:tblCellMar>
      </w:tblPr>
      <w:tblGrid>
        <w:gridCol w:w="201"/>
        <w:gridCol w:w="176"/>
        <w:gridCol w:w="178"/>
        <w:gridCol w:w="424"/>
        <w:gridCol w:w="424"/>
        <w:gridCol w:w="426"/>
        <w:gridCol w:w="466"/>
        <w:gridCol w:w="466"/>
        <w:gridCol w:w="466"/>
        <w:gridCol w:w="1351"/>
        <w:gridCol w:w="1351"/>
        <w:gridCol w:w="1377"/>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INDUSTRIES,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21, 2023</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Michael J. Happe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21, 2023</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CERTIFICATION BY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302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Michael J. Happe, Chief Executive Officer of Winnebago Industries,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Winnebago Industries,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021" w:type="dxa"/>
        <w:jc w:val="left"/>
        <w:tblInd w:w="0" w:type="dxa"/>
        <w:tblLayout w:type="fixed"/>
        <w:tblCellMar>
          <w:top w:w="28" w:type="dxa"/>
          <w:left w:w="28" w:type="dxa"/>
          <w:bottom w:w="28" w:type="dxa"/>
          <w:right w:w="28" w:type="dxa"/>
        </w:tblCellMar>
      </w:tblPr>
      <w:tblGrid>
        <w:gridCol w:w="201"/>
        <w:gridCol w:w="176"/>
        <w:gridCol w:w="178"/>
        <w:gridCol w:w="424"/>
        <w:gridCol w:w="424"/>
        <w:gridCol w:w="426"/>
        <w:gridCol w:w="109"/>
        <w:gridCol w:w="109"/>
        <w:gridCol w:w="109"/>
        <w:gridCol w:w="836"/>
        <w:gridCol w:w="836"/>
        <w:gridCol w:w="119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21,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BY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302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Bryan L. Hughes, Chief Financial Officer of Winnebago Industries,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Winnebago Industries,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966" w:type="dxa"/>
        <w:jc w:val="center"/>
        <w:tblInd w:w="0" w:type="dxa"/>
        <w:tblLayout w:type="fixed"/>
        <w:tblCellMar>
          <w:top w:w="28" w:type="dxa"/>
          <w:left w:w="28" w:type="dxa"/>
          <w:bottom w:w="28" w:type="dxa"/>
          <w:right w:w="28" w:type="dxa"/>
        </w:tblCellMar>
      </w:tblPr>
      <w:tblGrid>
        <w:gridCol w:w="201"/>
        <w:gridCol w:w="176"/>
        <w:gridCol w:w="178"/>
        <w:gridCol w:w="424"/>
        <w:gridCol w:w="424"/>
        <w:gridCol w:w="426"/>
        <w:gridCol w:w="109"/>
        <w:gridCol w:w="109"/>
        <w:gridCol w:w="109"/>
        <w:gridCol w:w="670"/>
        <w:gridCol w:w="670"/>
        <w:gridCol w:w="247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21,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CERTIFICATION BY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18 U.S.C. Section 1350, as adopted pursuant to Section 906 of the Sarbanes-Oxley Act of 2002, I, Michael J. Happe, Chief Executive Officer of Winnebago Industries, Inc. (the "Company"), hereby certify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Quarterly Report on Form 10-Q for the fiscal quarter ended May 27, 2023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information contained in this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020" w:type="dxa"/>
        <w:jc w:val="left"/>
        <w:tblInd w:w="0" w:type="dxa"/>
        <w:tblLayout w:type="fixed"/>
        <w:tblCellMar>
          <w:top w:w="28" w:type="dxa"/>
          <w:left w:w="28" w:type="dxa"/>
          <w:bottom w:w="28" w:type="dxa"/>
          <w:right w:w="28" w:type="dxa"/>
        </w:tblCellMar>
      </w:tblPr>
      <w:tblGrid>
        <w:gridCol w:w="201"/>
        <w:gridCol w:w="176"/>
        <w:gridCol w:w="178"/>
        <w:gridCol w:w="424"/>
        <w:gridCol w:w="424"/>
        <w:gridCol w:w="426"/>
        <w:gridCol w:w="109"/>
        <w:gridCol w:w="109"/>
        <w:gridCol w:w="109"/>
        <w:gridCol w:w="587"/>
        <w:gridCol w:w="587"/>
        <w:gridCol w:w="169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21,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CERTIFICATION BY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18 U.S.C. Section 1350, as adopted pursuant to Section 906 of the Sarbanes-Oxley Act of 2002, I, Bryan L. Hughes, Chief Financial Officer of Winnebago Industries, Inc. (the "Company"), hereby certify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Quarterly Report on Form 10-Q for the fiscal quarter ended May 27, 2023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information contained in this Report fairly presents, in all material respects, the financial condition and results of operations of the Company.</w:t>
      </w:r>
    </w:p>
    <w:p>
      <w:pPr>
        <w:pStyle w:val="TextBody"/>
        <w:bidi w:val="0"/>
        <w:spacing w:before="0" w:after="0"/>
        <w:jc w:val="left"/>
        <w:rPr/>
      </w:pPr>
      <w:r>
        <w:rPr/>
      </w:r>
    </w:p>
    <w:tbl>
      <w:tblPr>
        <w:tblW w:w="5965" w:type="dxa"/>
        <w:jc w:val="center"/>
        <w:tblInd w:w="0" w:type="dxa"/>
        <w:tblLayout w:type="fixed"/>
        <w:tblCellMar>
          <w:top w:w="28" w:type="dxa"/>
          <w:left w:w="28" w:type="dxa"/>
          <w:bottom w:w="28" w:type="dxa"/>
          <w:right w:w="28" w:type="dxa"/>
        </w:tblCellMar>
      </w:tblPr>
      <w:tblGrid>
        <w:gridCol w:w="201"/>
        <w:gridCol w:w="176"/>
        <w:gridCol w:w="178"/>
        <w:gridCol w:w="424"/>
        <w:gridCol w:w="424"/>
        <w:gridCol w:w="426"/>
        <w:gridCol w:w="109"/>
        <w:gridCol w:w="109"/>
        <w:gridCol w:w="109"/>
        <w:gridCol w:w="667"/>
        <w:gridCol w:w="667"/>
        <w:gridCol w:w="2475"/>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21,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270"/>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7687/000010768722000004/wgo-mnarticlesreincorporat.htm" TargetMode="External"/><Relationship Id="rId4" Type="http://schemas.openxmlformats.org/officeDocument/2006/relationships/hyperlink" Target="https://www.sec.gov/Archives/edgar/data/107687/000010768722000004/wgo-mnarticlesreincorporat.htm" TargetMode="External"/><Relationship Id="rId5" Type="http://schemas.openxmlformats.org/officeDocument/2006/relationships/hyperlink" Target="https://www.sec.gov/Archives/edgar/data/107687/000010768722000004/wgo-mnbylawsreincorporatio.htm" TargetMode="External"/><Relationship Id="rId6" Type="http://schemas.openxmlformats.org/officeDocument/2006/relationships/hyperlink" Target="https://www.sec.gov/Archives/edgar/data/107687/000010768722000004/wgo-mnbylawsreincorporatio.htm" TargetMode="External"/><Relationship Id="rId7" Type="http://schemas.openxmlformats.org/officeDocument/2006/relationships/hyperlink" Target="http://www.sec.gov/Archives/edgar/data/107687/000110465919059604/a19-21005_2ex4d1.htm" TargetMode="External"/><Relationship Id="rId8" Type="http://schemas.openxmlformats.org/officeDocument/2006/relationships/hyperlink" Target="http://www.sec.gov/Archives/edgar/data/107687/000110465919059604/a19-21005_2ex4d1.htm" TargetMode="External"/><Relationship Id="rId9" Type="http://schemas.openxmlformats.org/officeDocument/2006/relationships/hyperlink" Target="http://www.sec.gov/Archives/edgar/data/107687/000110465919059604/a19-21005_2ex4d1.htm" TargetMode="External"/><Relationship Id="rId10" Type="http://schemas.openxmlformats.org/officeDocument/2006/relationships/hyperlink" Target="http://www.sec.gov/Archives/edgar/data/107687/000110465919059604/a19-21005_2ex4d1.htm" TargetMode="External"/><Relationship Id="rId11" Type="http://schemas.openxmlformats.org/officeDocument/2006/relationships/hyperlink" Target="https://www.sec.gov/Archives/edgar/data/0000107687/000110465920082433/tm2024371d1_ex4-1.htm" TargetMode="External"/><Relationship Id="rId12" Type="http://schemas.openxmlformats.org/officeDocument/2006/relationships/hyperlink" Target="https://www.sec.gov/Archives/edgar/data/0000107687/000110465920082433/tm2024371d1_ex4-1.htm" TargetMode="External"/><Relationship Id="rId13" Type="http://schemas.openxmlformats.org/officeDocument/2006/relationships/hyperlink" Target="https://www.sec.gov/Archives/edgar/data/107687/000110465920082433/tm2024371d1_ex4-1.htm" TargetMode="External"/><Relationship Id="rId14" Type="http://schemas.openxmlformats.org/officeDocument/2006/relationships/hyperlink" Target="https://www.sec.gov/Archives/edgar/data/107687/000110465920082433/tm2024371d1_ex4-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17143</Words>
  <Characters>92767</Characters>
  <CharactersWithSpaces>108404</CharactersWithSpaces>
  <Paragraphs>3168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