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25, 2012;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208"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51"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color w:val="auto"/>
        </w:rPr>
        <w:t>o</w:t>
      </w:r>
      <w:r>
        <w:rPr>
          <w:sz w:val="20"/>
          <w:szCs w:val="20"/>
          <w:color w:val="auto"/>
        </w:rPr>
        <w:tab/>
      </w:r>
      <w:r>
        <w:rPr>
          <w:rFonts w:ascii="Arial" w:cs="Arial" w:eastAsia="Arial" w:hAnsi="Arial"/>
          <w:sz w:val="15"/>
          <w:szCs w:val="15"/>
          <w:color w:val="auto"/>
        </w:rPr>
        <w:t xml:space="preserve">No </w:t>
      </w:r>
      <w:r>
        <w:rPr>
          <w:rFonts w:ascii="Arial" w:cs="Arial" w:eastAsia="Arial" w:hAnsi="Arial"/>
          <w:sz w:val="17"/>
          <w:szCs w:val="17"/>
          <w:color w:val="auto"/>
        </w:rPr>
        <w:t>x</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not required to file reports pursuant to Section 13 or Section 15(d) of the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201" w:lineRule="exact"/>
        <w:rPr>
          <w:sz w:val="24"/>
          <w:szCs w:val="24"/>
          <w:color w:val="auto"/>
        </w:rPr>
      </w:pPr>
    </w:p>
    <w:p>
      <w:pPr>
        <w:jc w:val="both"/>
        <w:ind w:right="120"/>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52" w:lineRule="exact"/>
        <w:rPr>
          <w:sz w:val="24"/>
          <w:szCs w:val="24"/>
          <w:color w:val="auto"/>
        </w:rPr>
      </w:pPr>
    </w:p>
    <w:p>
      <w:pPr>
        <w:jc w:val="both"/>
        <w:ind w:right="60"/>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Arial" w:cs="Arial" w:eastAsia="Arial" w:hAnsi="Arial"/>
          <w:sz w:val="18"/>
          <w:szCs w:val="18"/>
          <w:color w:val="auto"/>
        </w:rPr>
        <w:t>o</w:t>
      </w:r>
    </w:p>
    <w:p>
      <w:pPr>
        <w:spacing w:after="0" w:line="152" w:lineRule="exact"/>
        <w:rPr>
          <w:sz w:val="24"/>
          <w:szCs w:val="24"/>
          <w:color w:val="auto"/>
        </w:rPr>
      </w:pPr>
    </w:p>
    <w:p>
      <w:pPr>
        <w:jc w:val="both"/>
        <w:ind w:right="160"/>
        <w:spacing w:after="0" w:line="275"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8"/>
          <w:szCs w:val="18"/>
          <w:color w:val="auto"/>
        </w:rPr>
        <w:t>o</w:t>
      </w:r>
      <w:r>
        <w:rPr>
          <w:rFonts w:ascii="Arial" w:cs="Arial" w:eastAsia="Arial" w:hAnsi="Arial"/>
          <w:sz w:val="16"/>
          <w:szCs w:val="16"/>
          <w:color w:val="auto"/>
        </w:rPr>
        <w:t>.</w:t>
      </w:r>
    </w:p>
    <w:p>
      <w:pPr>
        <w:spacing w:after="0" w:line="138"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right="3220"/>
        <w:spacing w:after="0" w:line="438" w:lineRule="auto"/>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rFonts w:ascii="Arial" w:cs="Arial" w:eastAsia="Arial" w:hAnsi="Arial"/>
          <w:sz w:val="16"/>
          <w:szCs w:val="16"/>
          <w:color w:val="auto"/>
        </w:rPr>
        <w:t xml:space="preserve"> Accelerated Filer </w:t>
      </w:r>
      <w:r>
        <w:rPr>
          <w:rFonts w:ascii="Arial" w:cs="Arial" w:eastAsia="Arial" w:hAnsi="Arial"/>
          <w:sz w:val="18"/>
          <w:szCs w:val="18"/>
          <w:color w:val="auto"/>
        </w:rPr>
        <w:t>x</w:t>
      </w:r>
      <w:r>
        <w:rPr>
          <w:rFonts w:ascii="Arial" w:cs="Arial" w:eastAsia="Arial" w:hAnsi="Arial"/>
          <w:sz w:val="16"/>
          <w:szCs w:val="16"/>
          <w:color w:val="auto"/>
        </w:rPr>
        <w:t xml:space="preserve"> Non-accelerated filer </w:t>
      </w:r>
      <w:r>
        <w:rPr>
          <w:rFonts w:ascii="Arial" w:cs="Arial" w:eastAsia="Arial" w:hAnsi="Arial"/>
          <w:sz w:val="18"/>
          <w:szCs w:val="18"/>
          <w:color w:val="auto"/>
        </w:rPr>
        <w:t>o</w:t>
      </w:r>
      <w:r>
        <w:rPr>
          <w:rFonts w:ascii="Arial" w:cs="Arial" w:eastAsia="Arial" w:hAnsi="Arial"/>
          <w:sz w:val="16"/>
          <w:szCs w:val="16"/>
          <w:color w:val="auto"/>
        </w:rPr>
        <w:t xml:space="preserve"> Smaller Reporting Company </w:t>
      </w:r>
      <w:r>
        <w:rPr>
          <w:rFonts w:ascii="Arial" w:cs="Arial" w:eastAsia="Arial" w:hAnsi="Arial"/>
          <w:sz w:val="18"/>
          <w:szCs w:val="18"/>
          <w:color w:val="auto"/>
        </w:rPr>
        <w:t>o</w:t>
      </w:r>
      <w:r>
        <w:rPr>
          <w:rFonts w:ascii="Arial" w:cs="Arial" w:eastAsia="Arial" w:hAnsi="Arial"/>
          <w:sz w:val="16"/>
          <w:szCs w:val="16"/>
          <w:color w:val="auto"/>
        </w:rPr>
        <w:t xml:space="preserve"> Indicate by check mark whether the registrant is a shell company (as defined in Rule 12b-2 of the Act). Yes </w:t>
      </w:r>
      <w:r>
        <w:rPr>
          <w:rFonts w:ascii="Arial" w:cs="Arial" w:eastAsia="Arial" w:hAnsi="Arial"/>
          <w:sz w:val="18"/>
          <w:szCs w:val="18"/>
          <w:color w:val="auto"/>
        </w:rPr>
        <w:t>o</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1" w:lineRule="exact"/>
        <w:rPr>
          <w:sz w:val="24"/>
          <w:szCs w:val="24"/>
          <w:color w:val="auto"/>
        </w:rPr>
      </w:pPr>
    </w:p>
    <w:p>
      <w:pPr>
        <w:ind w:right="280"/>
        <w:spacing w:after="0" w:line="260" w:lineRule="auto"/>
        <w:rPr>
          <w:sz w:val="20"/>
          <w:szCs w:val="20"/>
          <w:color w:val="auto"/>
        </w:rPr>
      </w:pPr>
      <w:r>
        <w:rPr>
          <w:rFonts w:ascii="Arial" w:cs="Arial" w:eastAsia="Arial" w:hAnsi="Arial"/>
          <w:sz w:val="16"/>
          <w:szCs w:val="16"/>
          <w:color w:val="auto"/>
        </w:rPr>
        <w:t>Aggregate market value of the common stock held by non-affiliates of the registrant: $265,927,566 (28,170,293 shares at the closing price on the New York Stock Exchange of $9.44 on February 24, 2012).</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Common stock outstanding on October 9, 2012: 28,339,894 shares.</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2012 Annual Meeting of Shareholders, scheduled to be held December 18, 2012,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77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920" w:type="dxa"/>
            <w:vAlign w:val="bottom"/>
            <w:gridSpan w:val="7"/>
          </w:tcPr>
          <w:p>
            <w:pPr>
              <w:jc w:val="center"/>
              <w:ind w:right="2100"/>
              <w:spacing w:after="0"/>
              <w:rPr>
                <w:sz w:val="20"/>
                <w:szCs w:val="20"/>
                <w:color w:val="auto"/>
              </w:rPr>
            </w:pPr>
            <w:r>
              <w:rPr>
                <w:rFonts w:ascii="Arial" w:cs="Arial" w:eastAsia="Arial" w:hAnsi="Arial"/>
                <w:sz w:val="22"/>
                <w:szCs w:val="22"/>
                <w:b w:val="1"/>
                <w:bCs w:val="1"/>
                <w:color w:val="auto"/>
                <w:w w:val="97"/>
              </w:rPr>
              <w:t>Winnebago Industries, Inc.</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380" w:type="dxa"/>
            <w:vAlign w:val="bottom"/>
            <w:gridSpan w:val="8"/>
          </w:tcPr>
          <w:p>
            <w:pPr>
              <w:jc w:val="center"/>
              <w:ind w:right="1620"/>
              <w:spacing w:after="0"/>
              <w:rPr>
                <w:sz w:val="20"/>
                <w:szCs w:val="20"/>
                <w:color w:val="auto"/>
              </w:rPr>
            </w:pPr>
            <w:r>
              <w:rPr>
                <w:rFonts w:ascii="Arial" w:cs="Arial" w:eastAsia="Arial" w:hAnsi="Arial"/>
                <w:sz w:val="22"/>
                <w:szCs w:val="22"/>
                <w:b w:val="1"/>
                <w:bCs w:val="1"/>
                <w:color w:val="auto"/>
                <w:w w:val="98"/>
              </w:rPr>
              <w:t>2012 Form 10-K Annual Report</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7"/>
          </w:tcPr>
          <w:p>
            <w:pPr>
              <w:jc w:val="center"/>
              <w:ind w:right="2100"/>
              <w:spacing w:after="0"/>
              <w:rPr>
                <w:sz w:val="20"/>
                <w:szCs w:val="20"/>
                <w:color w:val="auto"/>
              </w:rPr>
            </w:pPr>
            <w:r>
              <w:rPr>
                <w:rFonts w:ascii="Arial" w:cs="Arial" w:eastAsia="Arial" w:hAnsi="Arial"/>
                <w:sz w:val="22"/>
                <w:szCs w:val="22"/>
                <w:b w:val="1"/>
                <w:bCs w:val="1"/>
                <w:color w:val="auto"/>
                <w:w w:val="97"/>
              </w:rPr>
              <w:t>Table of Contents</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FF"/>
            </w:tcBorders>
            <w:gridSpan w:val="5"/>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Glossary</w:t>
              </w:r>
            </w:hyperlink>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74"/>
              </w:rPr>
            </w:pPr>
            <w:hyperlink w:anchor="page2">
              <w:r>
                <w:rPr>
                  <w:rFonts w:ascii="Arial" w:cs="Arial" w:eastAsia="Arial" w:hAnsi="Arial"/>
                  <w:sz w:val="16"/>
                  <w:szCs w:val="16"/>
                  <w:color w:val="0000FF"/>
                  <w:w w:val="74"/>
                </w:rPr>
                <w:t>iii</w:t>
              </w:r>
            </w:hyperlink>
          </w:p>
        </w:tc>
      </w:tr>
      <w:tr>
        <w:trPr>
          <w:trHeight w:val="547"/>
        </w:trPr>
        <w:tc>
          <w:tcPr>
            <w:tcW w:w="520" w:type="dxa"/>
            <w:vAlign w:val="bottom"/>
            <w:tcBorders>
              <w:bottom w:val="single" w:sz="8" w:color="0000FF"/>
            </w:tcBorders>
          </w:tcPr>
          <w:p>
            <w:pPr>
              <w:spacing w:after="0"/>
              <w:rPr>
                <w:rFonts w:ascii="Arial" w:cs="Arial" w:eastAsia="Arial" w:hAnsi="Arial"/>
                <w:sz w:val="16"/>
                <w:szCs w:val="16"/>
                <w:b w:val="1"/>
                <w:bCs w:val="1"/>
                <w:color w:val="0000FF"/>
                <w:w w:val="95"/>
              </w:rPr>
            </w:pPr>
            <w:hyperlink w:anchor="page3">
              <w:r>
                <w:rPr>
                  <w:rFonts w:ascii="Arial" w:cs="Arial" w:eastAsia="Arial" w:hAnsi="Arial"/>
                  <w:sz w:val="16"/>
                  <w:szCs w:val="16"/>
                  <w:b w:val="1"/>
                  <w:bCs w:val="1"/>
                  <w:color w:val="0000FF"/>
                  <w:w w:val="95"/>
                </w:rPr>
                <w:t>PART I</w:t>
              </w:r>
            </w:hyperlink>
          </w:p>
        </w:tc>
        <w:tc>
          <w:tcPr>
            <w:tcW w:w="12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19"/>
                <w:szCs w:val="19"/>
                <w:color w:val="auto"/>
              </w:rPr>
            </w:pPr>
          </w:p>
        </w:tc>
        <w:tc>
          <w:tcPr>
            <w:tcW w:w="660" w:type="dxa"/>
            <w:vAlign w:val="bottom"/>
            <w:tcBorders>
              <w:bottom w:val="single" w:sz="8" w:color="0000FF"/>
            </w:tcBorders>
          </w:tcPr>
          <w:p>
            <w:pPr>
              <w:spacing w:after="0"/>
              <w:rPr>
                <w:rFonts w:ascii="Arial" w:cs="Arial" w:eastAsia="Arial" w:hAnsi="Arial"/>
                <w:sz w:val="16"/>
                <w:szCs w:val="16"/>
                <w:color w:val="0000FF"/>
                <w:w w:val="98"/>
              </w:rPr>
            </w:pPr>
            <w:hyperlink w:anchor="page4">
              <w:r>
                <w:rPr>
                  <w:rFonts w:ascii="Arial" w:cs="Arial" w:eastAsia="Arial" w:hAnsi="Arial"/>
                  <w:sz w:val="16"/>
                  <w:szCs w:val="16"/>
                  <w:color w:val="0000FF"/>
                  <w:w w:val="98"/>
                </w:rPr>
                <w:t>Business</w:t>
              </w:r>
            </w:hyperlink>
          </w:p>
        </w:tc>
        <w:tc>
          <w:tcPr>
            <w:tcW w:w="7600" w:type="dxa"/>
            <w:vAlign w:val="bottom"/>
            <w:gridSpan w:val="17"/>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8">
              <w:r>
                <w:rPr>
                  <w:rFonts w:ascii="Arial" w:cs="Arial" w:eastAsia="Arial" w:hAnsi="Arial"/>
                  <w:sz w:val="16"/>
                  <w:szCs w:val="16"/>
                  <w:color w:val="0000FF"/>
                  <w:w w:val="98"/>
                </w:rPr>
                <w:t>Risk Factors</w:t>
              </w:r>
            </w:hyperlink>
          </w:p>
        </w:tc>
        <w:tc>
          <w:tcPr>
            <w:tcW w:w="7360" w:type="dxa"/>
            <w:vAlign w:val="bottom"/>
            <w:gridSpan w:val="15"/>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6</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280" w:type="dxa"/>
            <w:vAlign w:val="bottom"/>
          </w:tcPr>
          <w:p>
            <w:pPr>
              <w:spacing w:after="0"/>
              <w:rPr>
                <w:sz w:val="19"/>
                <w:szCs w:val="19"/>
                <w:color w:val="auto"/>
              </w:rPr>
            </w:pPr>
          </w:p>
        </w:tc>
        <w:tc>
          <w:tcPr>
            <w:tcW w:w="2020" w:type="dxa"/>
            <w:vAlign w:val="bottom"/>
            <w:tcBorders>
              <w:bottom w:val="single" w:sz="8" w:color="0000FF"/>
            </w:tcBorders>
            <w:gridSpan w:val="9"/>
          </w:tcPr>
          <w:p>
            <w:pPr>
              <w:spacing w:after="0"/>
              <w:rPr>
                <w:rFonts w:ascii="Arial" w:cs="Arial" w:eastAsia="Arial" w:hAnsi="Arial"/>
                <w:sz w:val="16"/>
                <w:szCs w:val="16"/>
                <w:color w:val="0000FF"/>
                <w:w w:val="99"/>
              </w:rPr>
            </w:pPr>
            <w:hyperlink w:anchor="page11">
              <w:r>
                <w:rPr>
                  <w:rFonts w:ascii="Arial" w:cs="Arial" w:eastAsia="Arial" w:hAnsi="Arial"/>
                  <w:sz w:val="16"/>
                  <w:szCs w:val="16"/>
                  <w:color w:val="0000FF"/>
                  <w:w w:val="99"/>
                </w:rPr>
                <w:t>Unresolved Staff Comments</w:t>
              </w:r>
            </w:hyperlink>
          </w:p>
        </w:tc>
        <w:tc>
          <w:tcPr>
            <w:tcW w:w="6240" w:type="dxa"/>
            <w:vAlign w:val="bottom"/>
            <w:gridSpan w:val="9"/>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74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11">
              <w:r>
                <w:rPr>
                  <w:rFonts w:ascii="Arial" w:cs="Arial" w:eastAsia="Arial" w:hAnsi="Arial"/>
                  <w:sz w:val="16"/>
                  <w:szCs w:val="16"/>
                  <w:color w:val="0000FF"/>
                  <w:w w:val="98"/>
                </w:rPr>
                <w:t>Properties</w:t>
              </w:r>
            </w:hyperlink>
          </w:p>
        </w:tc>
        <w:tc>
          <w:tcPr>
            <w:tcW w:w="7520" w:type="dxa"/>
            <w:vAlign w:val="bottom"/>
            <w:gridSpan w:val="16"/>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1">
              <w:r>
                <w:rPr>
                  <w:rFonts w:ascii="Arial" w:cs="Arial" w:eastAsia="Arial" w:hAnsi="Arial"/>
                  <w:sz w:val="16"/>
                  <w:szCs w:val="16"/>
                  <w:color w:val="0000FF"/>
                  <w:w w:val="89"/>
                </w:rPr>
                <w:t>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12">
              <w:r>
                <w:rPr>
                  <w:rFonts w:ascii="Arial" w:cs="Arial" w:eastAsia="Arial" w:hAnsi="Arial"/>
                  <w:sz w:val="16"/>
                  <w:szCs w:val="16"/>
                  <w:color w:val="0000FF"/>
                  <w:w w:val="99"/>
                </w:rPr>
                <w:t>Legal Proceedings</w:t>
              </w:r>
            </w:hyperlink>
          </w:p>
        </w:tc>
        <w:tc>
          <w:tcPr>
            <w:tcW w:w="6920" w:type="dxa"/>
            <w:vAlign w:val="bottom"/>
            <w:gridSpan w:val="13"/>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Mine Safety Disclosures</w:t>
              </w:r>
            </w:hyperlink>
          </w:p>
        </w:tc>
        <w:tc>
          <w:tcPr>
            <w:tcW w:w="2180" w:type="dxa"/>
            <w:vAlign w:val="bottom"/>
            <w:gridSpan w:val="2"/>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9</w:t>
              </w:r>
            </w:hyperlink>
          </w:p>
        </w:tc>
      </w:tr>
      <w:tr>
        <w:trPr>
          <w:trHeight w:val="520"/>
        </w:trPr>
        <w:tc>
          <w:tcPr>
            <w:tcW w:w="560" w:type="dxa"/>
            <w:vAlign w:val="bottom"/>
            <w:tcBorders>
              <w:bottom w:val="single" w:sz="8" w:color="0000FF"/>
            </w:tcBorders>
            <w:gridSpan w:val="2"/>
          </w:tcPr>
          <w:p>
            <w:pPr>
              <w:spacing w:after="0"/>
              <w:rPr>
                <w:rFonts w:ascii="Arial" w:cs="Arial" w:eastAsia="Arial" w:hAnsi="Arial"/>
                <w:sz w:val="16"/>
                <w:szCs w:val="16"/>
                <w:b w:val="1"/>
                <w:bCs w:val="1"/>
                <w:color w:val="0000FF"/>
                <w:w w:val="94"/>
              </w:rPr>
            </w:pPr>
            <w:hyperlink w:anchor="page12">
              <w:r>
                <w:rPr>
                  <w:rFonts w:ascii="Arial" w:cs="Arial" w:eastAsia="Arial" w:hAnsi="Arial"/>
                  <w:sz w:val="16"/>
                  <w:szCs w:val="16"/>
                  <w:b w:val="1"/>
                  <w:bCs w:val="1"/>
                  <w:color w:val="0000FF"/>
                  <w:w w:val="94"/>
                </w:rPr>
                <w:t>PART II</w:t>
              </w:r>
            </w:hyperlink>
          </w:p>
        </w:tc>
        <w:tc>
          <w:tcPr>
            <w:tcW w:w="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280" w:type="dxa"/>
            <w:vAlign w:val="bottom"/>
          </w:tcPr>
          <w:p>
            <w:pPr>
              <w:spacing w:after="0"/>
              <w:rPr>
                <w:sz w:val="21"/>
                <w:szCs w:val="21"/>
                <w:color w:val="auto"/>
              </w:rPr>
            </w:pPr>
          </w:p>
        </w:tc>
        <w:tc>
          <w:tcPr>
            <w:tcW w:w="8260" w:type="dxa"/>
            <w:vAlign w:val="bottom"/>
            <w:tcBorders>
              <w:bottom w:val="single" w:sz="8" w:color="0000FF"/>
            </w:tcBorders>
            <w:gridSpan w:val="18"/>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Market for the Registrant's Common Equity, Related Stockholder Matters and Issuer Purchases of Equity Securities</w:t>
              </w:r>
            </w:hyperlink>
          </w:p>
        </w:tc>
        <w:tc>
          <w:tcPr>
            <w:tcW w:w="20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Selected Financial Data</w:t>
              </w:r>
            </w:hyperlink>
          </w:p>
        </w:tc>
        <w:tc>
          <w:tcPr>
            <w:tcW w:w="2180" w:type="dxa"/>
            <w:vAlign w:val="bottom"/>
            <w:gridSpan w:val="2"/>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11</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Management's Discussion and Analysis of Financial Condition and Results of Operations</w:t>
              </w:r>
            </w:hyperlink>
          </w:p>
        </w:tc>
        <w:tc>
          <w:tcPr>
            <w:tcW w:w="2180" w:type="dxa"/>
            <w:vAlign w:val="bottom"/>
            <w:gridSpan w:val="2"/>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12</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280" w:type="dxa"/>
            <w:vAlign w:val="bottom"/>
          </w:tcPr>
          <w:p>
            <w:pPr>
              <w:spacing w:after="0"/>
              <w:rPr>
                <w:sz w:val="19"/>
                <w:szCs w:val="19"/>
                <w:color w:val="auto"/>
              </w:rPr>
            </w:pPr>
          </w:p>
        </w:tc>
        <w:tc>
          <w:tcPr>
            <w:tcW w:w="4240" w:type="dxa"/>
            <w:vAlign w:val="bottom"/>
            <w:gridSpan w:val="1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Quantitative and Qualitative Disclosures About Market Risk</w:t>
              </w:r>
            </w:hyperlink>
          </w:p>
        </w:tc>
        <w:tc>
          <w:tcPr>
            <w:tcW w:w="2120" w:type="dxa"/>
            <w:vAlign w:val="bottom"/>
            <w:gridSpan w:val="2"/>
          </w:tcPr>
          <w:p>
            <w:pPr>
              <w:spacing w:after="0"/>
              <w:rPr>
                <w:sz w:val="19"/>
                <w:szCs w:val="19"/>
                <w:color w:val="auto"/>
              </w:rPr>
            </w:pPr>
          </w:p>
        </w:tc>
        <w:tc>
          <w:tcPr>
            <w:tcW w:w="1900" w:type="dxa"/>
            <w:vAlign w:val="bottom"/>
            <w:gridSpan w:val="3"/>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280" w:type="dxa"/>
            <w:vAlign w:val="bottom"/>
          </w:tcPr>
          <w:p>
            <w:pPr>
              <w:spacing w:after="0"/>
              <w:rPr>
                <w:sz w:val="19"/>
                <w:szCs w:val="19"/>
                <w:color w:val="auto"/>
              </w:rPr>
            </w:pPr>
          </w:p>
        </w:tc>
        <w:tc>
          <w:tcPr>
            <w:tcW w:w="4240" w:type="dxa"/>
            <w:vAlign w:val="bottom"/>
            <w:gridSpan w:val="1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Financial Statements and Supplementary Data</w:t>
              </w:r>
            </w:hyperlink>
          </w:p>
        </w:tc>
        <w:tc>
          <w:tcPr>
            <w:tcW w:w="4020" w:type="dxa"/>
            <w:vAlign w:val="bottom"/>
            <w:gridSpan w:val="5"/>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280" w:type="dxa"/>
            <w:vAlign w:val="bottom"/>
          </w:tcPr>
          <w:p>
            <w:pPr>
              <w:spacing w:after="0"/>
              <w:rPr>
                <w:sz w:val="19"/>
                <w:szCs w:val="19"/>
                <w:color w:val="auto"/>
              </w:rPr>
            </w:pPr>
          </w:p>
        </w:tc>
        <w:tc>
          <w:tcPr>
            <w:tcW w:w="6420" w:type="dxa"/>
            <w:vAlign w:val="bottom"/>
            <w:gridSpan w:val="16"/>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Changes in and Disagreements with Accountants on Accounting and Financial Disclosure</w:t>
              </w:r>
            </w:hyperlink>
          </w:p>
        </w:tc>
        <w:tc>
          <w:tcPr>
            <w:tcW w:w="1840" w:type="dxa"/>
            <w:vAlign w:val="bottom"/>
            <w:gridSpan w:val="2"/>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51</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280" w:type="dxa"/>
            <w:vAlign w:val="bottom"/>
          </w:tcPr>
          <w:p>
            <w:pPr>
              <w:spacing w:after="0"/>
              <w:rPr>
                <w:sz w:val="19"/>
                <w:szCs w:val="19"/>
                <w:color w:val="auto"/>
              </w:rPr>
            </w:pPr>
          </w:p>
        </w:tc>
        <w:tc>
          <w:tcPr>
            <w:tcW w:w="6420" w:type="dxa"/>
            <w:vAlign w:val="bottom"/>
            <w:gridSpan w:val="16"/>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Controls and Procedures</w:t>
              </w:r>
            </w:hyperlink>
          </w:p>
        </w:tc>
        <w:tc>
          <w:tcPr>
            <w:tcW w:w="1840" w:type="dxa"/>
            <w:vAlign w:val="bottom"/>
            <w:gridSpan w:val="2"/>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280" w:type="dxa"/>
            <w:vAlign w:val="bottom"/>
          </w:tcPr>
          <w:p>
            <w:pPr>
              <w:spacing w:after="0"/>
              <w:rPr>
                <w:sz w:val="19"/>
                <w:szCs w:val="19"/>
                <w:color w:val="auto"/>
              </w:rPr>
            </w:pPr>
          </w:p>
        </w:tc>
        <w:tc>
          <w:tcPr>
            <w:tcW w:w="1780" w:type="dxa"/>
            <w:vAlign w:val="bottom"/>
            <w:gridSpan w:val="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Other Information</w:t>
              </w:r>
            </w:hyperlink>
          </w:p>
        </w:tc>
        <w:tc>
          <w:tcPr>
            <w:tcW w:w="6480" w:type="dxa"/>
            <w:vAlign w:val="bottom"/>
            <w:gridSpan w:val="10"/>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520"/>
        </w:trPr>
        <w:tc>
          <w:tcPr>
            <w:tcW w:w="640" w:type="dxa"/>
            <w:vAlign w:val="bottom"/>
            <w:gridSpan w:val="5"/>
          </w:tcPr>
          <w:p>
            <w:pPr>
              <w:spacing w:after="0"/>
              <w:rPr>
                <w:rFonts w:ascii="Arial" w:cs="Arial" w:eastAsia="Arial" w:hAnsi="Arial"/>
                <w:sz w:val="16"/>
                <w:szCs w:val="16"/>
                <w:b w:val="1"/>
                <w:bCs w:val="1"/>
                <w:color w:val="0000FF"/>
              </w:rPr>
            </w:pPr>
            <w:hyperlink w:anchor="page54">
              <w:r>
                <w:rPr>
                  <w:rFonts w:ascii="Arial" w:cs="Arial" w:eastAsia="Arial" w:hAnsi="Arial"/>
                  <w:sz w:val="16"/>
                  <w:szCs w:val="16"/>
                  <w:b w:val="1"/>
                  <w:bCs w:val="1"/>
                  <w:color w:val="0000FF"/>
                </w:rPr>
                <w:t>PART III</w:t>
              </w:r>
            </w:hyperlink>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82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Directors, Executive Officers and Corporate Governance</w:t>
              </w:r>
            </w:hyperlink>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280" w:type="dxa"/>
            <w:vAlign w:val="bottom"/>
          </w:tcPr>
          <w:p>
            <w:pPr>
              <w:spacing w:after="0"/>
              <w:rPr>
                <w:sz w:val="19"/>
                <w:szCs w:val="19"/>
                <w:color w:val="auto"/>
              </w:rPr>
            </w:pPr>
          </w:p>
        </w:tc>
        <w:tc>
          <w:tcPr>
            <w:tcW w:w="4040" w:type="dxa"/>
            <w:vAlign w:val="bottom"/>
            <w:gridSpan w:val="12"/>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Executive Compensation</w:t>
              </w:r>
            </w:hyperlink>
          </w:p>
        </w:tc>
        <w:tc>
          <w:tcPr>
            <w:tcW w:w="4220" w:type="dxa"/>
            <w:vAlign w:val="bottom"/>
            <w:gridSpan w:val="6"/>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28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Security Ownership of Certain Beneficial Owners and Management and Related Stockholder Matters</w:t>
              </w:r>
            </w:hyperlink>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280" w:type="dxa"/>
            <w:vAlign w:val="bottom"/>
          </w:tcPr>
          <w:p>
            <w:pPr>
              <w:spacing w:after="0"/>
              <w:rPr>
                <w:sz w:val="19"/>
                <w:szCs w:val="19"/>
                <w:color w:val="auto"/>
              </w:rPr>
            </w:pPr>
          </w:p>
        </w:tc>
        <w:tc>
          <w:tcPr>
            <w:tcW w:w="5420" w:type="dxa"/>
            <w:vAlign w:val="bottom"/>
            <w:gridSpan w:val="14"/>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Certain Relationships and Related Transactions and Director Independence</w:t>
              </w:r>
            </w:hyperlink>
          </w:p>
        </w:tc>
        <w:tc>
          <w:tcPr>
            <w:tcW w:w="1780" w:type="dxa"/>
            <w:vAlign w:val="bottom"/>
            <w:gridSpan w:val="3"/>
          </w:tcPr>
          <w:p>
            <w:pPr>
              <w:spacing w:after="0"/>
              <w:rPr>
                <w:sz w:val="19"/>
                <w:szCs w:val="19"/>
                <w:color w:val="auto"/>
              </w:rPr>
            </w:pPr>
          </w:p>
        </w:tc>
        <w:tc>
          <w:tcPr>
            <w:tcW w:w="1060" w:type="dxa"/>
            <w:vAlign w:val="bottom"/>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52</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80" w:type="dxa"/>
            <w:vAlign w:val="bottom"/>
            <w:tcBorders>
              <w:right w:val="single" w:sz="8" w:color="0000FF"/>
            </w:tcBorders>
            <w:gridSpan w:val="10"/>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280" w:type="dxa"/>
            <w:vAlign w:val="bottom"/>
          </w:tcPr>
          <w:p>
            <w:pPr>
              <w:spacing w:after="0"/>
              <w:rPr>
                <w:sz w:val="19"/>
                <w:szCs w:val="19"/>
                <w:color w:val="auto"/>
              </w:rPr>
            </w:pPr>
          </w:p>
        </w:tc>
        <w:tc>
          <w:tcPr>
            <w:tcW w:w="5420" w:type="dxa"/>
            <w:vAlign w:val="bottom"/>
            <w:gridSpan w:val="14"/>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Principal Accounting Fees and Services</w:t>
              </w:r>
            </w:hyperlink>
          </w:p>
        </w:tc>
        <w:tc>
          <w:tcPr>
            <w:tcW w:w="2840" w:type="dxa"/>
            <w:vAlign w:val="bottom"/>
            <w:gridSpan w:val="4"/>
          </w:tcPr>
          <w:p>
            <w:pPr>
              <w:spacing w:after="0"/>
              <w:rPr>
                <w:sz w:val="19"/>
                <w:szCs w:val="19"/>
                <w:color w:val="auto"/>
              </w:rPr>
            </w:pPr>
          </w:p>
        </w:tc>
        <w:tc>
          <w:tcPr>
            <w:tcW w:w="2180" w:type="dxa"/>
            <w:vAlign w:val="bottom"/>
            <w:gridSpan w:val="2"/>
          </w:tcPr>
          <w:p>
            <w:pPr>
              <w:jc w:val="right"/>
              <w:spacing w:after="0"/>
              <w:rPr>
                <w:rFonts w:ascii="Arial" w:cs="Arial" w:eastAsia="Arial" w:hAnsi="Arial"/>
                <w:sz w:val="16"/>
                <w:szCs w:val="16"/>
                <w:color w:val="0000FF"/>
              </w:rPr>
            </w:pPr>
            <w:hyperlink w:anchor="page55">
              <w:r>
                <w:rPr>
                  <w:rFonts w:ascii="Arial" w:cs="Arial" w:eastAsia="Arial" w:hAnsi="Arial"/>
                  <w:sz w:val="16"/>
                  <w:szCs w:val="16"/>
                  <w:color w:val="0000FF"/>
                </w:rPr>
                <w:t>52</w:t>
              </w:r>
            </w:hyperlink>
          </w:p>
        </w:tc>
      </w:tr>
      <w:tr>
        <w:trPr>
          <w:trHeight w:val="520"/>
        </w:trPr>
        <w:tc>
          <w:tcPr>
            <w:tcW w:w="640" w:type="dxa"/>
            <w:vAlign w:val="bottom"/>
            <w:gridSpan w:val="5"/>
          </w:tcPr>
          <w:p>
            <w:pPr>
              <w:spacing w:after="0"/>
              <w:rPr>
                <w:rFonts w:ascii="Arial" w:cs="Arial" w:eastAsia="Arial" w:hAnsi="Arial"/>
                <w:sz w:val="16"/>
                <w:szCs w:val="16"/>
                <w:b w:val="1"/>
                <w:bCs w:val="1"/>
                <w:color w:val="0000FF"/>
                <w:w w:val="98"/>
              </w:rPr>
            </w:pPr>
            <w:hyperlink w:anchor="page55">
              <w:r>
                <w:rPr>
                  <w:rFonts w:ascii="Arial" w:cs="Arial" w:eastAsia="Arial" w:hAnsi="Arial"/>
                  <w:sz w:val="16"/>
                  <w:szCs w:val="16"/>
                  <w:b w:val="1"/>
                  <w:bCs w:val="1"/>
                  <w:color w:val="0000FF"/>
                  <w:w w:val="98"/>
                </w:rPr>
                <w:t>PART IV</w:t>
              </w:r>
            </w:hyperlink>
          </w:p>
        </w:tc>
        <w:tc>
          <w:tcPr>
            <w:tcW w:w="2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50"/>
        </w:trPr>
        <w:tc>
          <w:tcPr>
            <w:tcW w:w="6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60" w:type="dxa"/>
            <w:vAlign w:val="bottom"/>
            <w:gridSpan w:val="18"/>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Exhibits, Financial Statement Schedules</w:t>
              </w:r>
            </w:hyperlink>
          </w:p>
        </w:tc>
        <w:tc>
          <w:tcPr>
            <w:tcW w:w="2180" w:type="dxa"/>
            <w:vAlign w:val="bottom"/>
            <w:gridSpan w:val="2"/>
          </w:tcPr>
          <w:p>
            <w:pPr>
              <w:jc w:val="right"/>
              <w:spacing w:after="0"/>
              <w:rPr>
                <w:rFonts w:ascii="Arial" w:cs="Arial" w:eastAsia="Arial" w:hAnsi="Arial"/>
                <w:sz w:val="16"/>
                <w:szCs w:val="16"/>
                <w:color w:val="0000FF"/>
              </w:rPr>
            </w:pPr>
            <w:hyperlink w:anchor="page55">
              <w:r>
                <w:rPr>
                  <w:rFonts w:ascii="Arial" w:cs="Arial" w:eastAsia="Arial" w:hAnsi="Arial"/>
                  <w:sz w:val="16"/>
                  <w:szCs w:val="16"/>
                  <w:color w:val="0000FF"/>
                </w:rPr>
                <w:t>52</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ASC</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ASU</w:t>
            </w:r>
          </w:p>
        </w:tc>
        <w:tc>
          <w:tcPr>
            <w:tcW w:w="9680" w:type="dxa"/>
            <w:vAlign w:val="bottom"/>
          </w:tcPr>
          <w:p>
            <w:pPr>
              <w:ind w:left="52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CCMF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Charles City Manufacturing Facility</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COLI</w:t>
            </w:r>
          </w:p>
        </w:tc>
        <w:tc>
          <w:tcPr>
            <w:tcW w:w="9680" w:type="dxa"/>
            <w:vAlign w:val="bottom"/>
          </w:tcPr>
          <w:p>
            <w:pPr>
              <w:ind w:left="52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EBITDA</w:t>
            </w:r>
          </w:p>
        </w:tc>
        <w:tc>
          <w:tcPr>
            <w:tcW w:w="9680" w:type="dxa"/>
            <w:vAlign w:val="bottom"/>
          </w:tcPr>
          <w:p>
            <w:pPr>
              <w:ind w:left="52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FASB</w:t>
            </w:r>
          </w:p>
        </w:tc>
        <w:tc>
          <w:tcPr>
            <w:tcW w:w="9680" w:type="dxa"/>
            <w:vAlign w:val="bottom"/>
          </w:tcPr>
          <w:p>
            <w:pPr>
              <w:ind w:left="52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GAAP</w:t>
            </w:r>
          </w:p>
        </w:tc>
        <w:tc>
          <w:tcPr>
            <w:tcW w:w="9680" w:type="dxa"/>
            <w:vAlign w:val="bottom"/>
          </w:tcPr>
          <w:p>
            <w:pPr>
              <w:ind w:left="52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LIBOR</w:t>
            </w:r>
          </w:p>
        </w:tc>
        <w:tc>
          <w:tcPr>
            <w:tcW w:w="9680" w:type="dxa"/>
            <w:vAlign w:val="bottom"/>
          </w:tcPr>
          <w:p>
            <w:pPr>
              <w:ind w:left="52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218"/>
        </w:trPr>
        <w:tc>
          <w:tcPr>
            <w:tcW w:w="1740" w:type="dxa"/>
            <w:vAlign w:val="bottom"/>
          </w:tcPr>
          <w:p>
            <w:pPr>
              <w:ind w:left="40"/>
              <w:spacing w:after="0"/>
              <w:rPr>
                <w:sz w:val="20"/>
                <w:szCs w:val="20"/>
                <w:color w:val="auto"/>
              </w:rPr>
            </w:pPr>
            <w:r>
              <w:rPr>
                <w:rFonts w:ascii="Arial" w:cs="Arial" w:eastAsia="Arial" w:hAnsi="Arial"/>
                <w:sz w:val="16"/>
                <w:szCs w:val="16"/>
                <w:color w:val="auto"/>
              </w:rPr>
              <w:t>Loan Agreement</w:t>
            </w:r>
          </w:p>
        </w:tc>
        <w:tc>
          <w:tcPr>
            <w:tcW w:w="9680" w:type="dxa"/>
            <w:vAlign w:val="bottom"/>
          </w:tcPr>
          <w:p>
            <w:pPr>
              <w:ind w:left="520"/>
              <w:spacing w:after="0"/>
              <w:rPr>
                <w:sz w:val="20"/>
                <w:szCs w:val="20"/>
                <w:color w:val="auto"/>
              </w:rPr>
            </w:pPr>
            <w:r>
              <w:rPr>
                <w:rFonts w:ascii="Arial" w:cs="Arial" w:eastAsia="Arial" w:hAnsi="Arial"/>
                <w:sz w:val="16"/>
                <w:szCs w:val="16"/>
                <w:color w:val="auto"/>
              </w:rPr>
              <w:t>Loan and Security Agreement dated October 13, 2009 by and between Winnebago Industries, Inc. and Wells Fargo Bank,</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17"/>
                <w:szCs w:val="17"/>
                <w:color w:val="auto"/>
              </w:rPr>
            </w:pPr>
          </w:p>
        </w:tc>
        <w:tc>
          <w:tcPr>
            <w:tcW w:w="9680" w:type="dxa"/>
            <w:vAlign w:val="bottom"/>
          </w:tcPr>
          <w:p>
            <w:pPr>
              <w:ind w:left="520"/>
              <w:spacing w:after="0"/>
              <w:rPr>
                <w:sz w:val="20"/>
                <w:szCs w:val="20"/>
                <w:color w:val="auto"/>
              </w:rPr>
            </w:pPr>
            <w:r>
              <w:rPr>
                <w:rFonts w:ascii="Arial" w:cs="Arial" w:eastAsia="Arial" w:hAnsi="Arial"/>
                <w:sz w:val="16"/>
                <w:szCs w:val="16"/>
                <w:color w:val="auto"/>
              </w:rPr>
              <w:t>National Association, as successor to Burdale Capital Finance, Inc., as Agent</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MVA</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NMF</w:t>
            </w:r>
          </w:p>
        </w:tc>
        <w:tc>
          <w:tcPr>
            <w:tcW w:w="9680" w:type="dxa"/>
            <w:vAlign w:val="bottom"/>
          </w:tcPr>
          <w:p>
            <w:pPr>
              <w:ind w:left="52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NOL</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NYSE</w:t>
            </w:r>
          </w:p>
        </w:tc>
        <w:tc>
          <w:tcPr>
            <w:tcW w:w="9680" w:type="dxa"/>
            <w:vAlign w:val="bottom"/>
          </w:tcPr>
          <w:p>
            <w:pPr>
              <w:ind w:left="52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OEM</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Original Equipment Manufacturing</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OSHA</w:t>
            </w:r>
          </w:p>
        </w:tc>
        <w:tc>
          <w:tcPr>
            <w:tcW w:w="9680" w:type="dxa"/>
            <w:vAlign w:val="bottom"/>
          </w:tcPr>
          <w:p>
            <w:pPr>
              <w:ind w:left="52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ROE</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ROIC</w:t>
            </w:r>
          </w:p>
        </w:tc>
        <w:tc>
          <w:tcPr>
            <w:tcW w:w="9680" w:type="dxa"/>
            <w:vAlign w:val="bottom"/>
          </w:tcPr>
          <w:p>
            <w:pPr>
              <w:ind w:left="520"/>
              <w:spacing w:after="0"/>
              <w:rPr>
                <w:sz w:val="20"/>
                <w:szCs w:val="20"/>
                <w:color w:val="auto"/>
              </w:rPr>
            </w:pPr>
            <w:r>
              <w:rPr>
                <w:rFonts w:ascii="Arial" w:cs="Arial" w:eastAsia="Arial" w:hAnsi="Arial"/>
                <w:sz w:val="16"/>
                <w:szCs w:val="16"/>
                <w:color w:val="auto"/>
              </w:rPr>
              <w:t>Return on Invested Capital</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RVIA</w:t>
            </w:r>
          </w:p>
        </w:tc>
        <w:tc>
          <w:tcPr>
            <w:tcW w:w="9680" w:type="dxa"/>
            <w:vAlign w:val="bottom"/>
          </w:tcPr>
          <w:p>
            <w:pPr>
              <w:ind w:left="52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SERP</w:t>
            </w:r>
          </w:p>
        </w:tc>
        <w:tc>
          <w:tcPr>
            <w:tcW w:w="9680" w:type="dxa"/>
            <w:vAlign w:val="bottom"/>
          </w:tcPr>
          <w:p>
            <w:pPr>
              <w:ind w:left="52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SIR</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680" w:type="dxa"/>
            <w:vAlign w:val="bottom"/>
          </w:tcPr>
          <w:p>
            <w:pPr>
              <w:ind w:left="52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SunnyBrook</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233"/>
        </w:trPr>
        <w:tc>
          <w:tcPr>
            <w:tcW w:w="1740" w:type="dxa"/>
            <w:vAlign w:val="bottom"/>
          </w:tcPr>
          <w:p>
            <w:pPr>
              <w:ind w:left="40"/>
              <w:spacing w:after="0"/>
              <w:rPr>
                <w:sz w:val="20"/>
                <w:szCs w:val="20"/>
                <w:color w:val="auto"/>
              </w:rPr>
            </w:pPr>
            <w:r>
              <w:rPr>
                <w:rFonts w:ascii="Arial" w:cs="Arial" w:eastAsia="Arial" w:hAnsi="Arial"/>
                <w:sz w:val="16"/>
                <w:szCs w:val="16"/>
                <w:color w:val="auto"/>
              </w:rPr>
              <w:t>Towables</w:t>
            </w:r>
          </w:p>
        </w:tc>
        <w:tc>
          <w:tcPr>
            <w:tcW w:w="9680" w:type="dxa"/>
            <w:vAlign w:val="bottom"/>
          </w:tcPr>
          <w:p>
            <w:pPr>
              <w:ind w:left="52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24"/>
        </w:trPr>
        <w:tc>
          <w:tcPr>
            <w:tcW w:w="1740" w:type="dxa"/>
            <w:vAlign w:val="bottom"/>
            <w:vMerge w:val="restart"/>
          </w:tcPr>
          <w:p>
            <w:pPr>
              <w:ind w:left="40"/>
              <w:spacing w:after="0"/>
              <w:rPr>
                <w:sz w:val="20"/>
                <w:szCs w:val="20"/>
                <w:color w:val="auto"/>
              </w:rPr>
            </w:pPr>
            <w:r>
              <w:rPr>
                <w:rFonts w:ascii="Arial" w:cs="Arial" w:eastAsia="Arial" w:hAnsi="Arial"/>
                <w:sz w:val="16"/>
                <w:szCs w:val="16"/>
                <w:color w:val="auto"/>
              </w:rPr>
              <w:t>Wells Fargo</w:t>
            </w:r>
          </w:p>
        </w:tc>
        <w:tc>
          <w:tcPr>
            <w:tcW w:w="9680" w:type="dxa"/>
            <w:vAlign w:val="bottom"/>
          </w:tcPr>
          <w:p>
            <w:pPr>
              <w:ind w:left="520"/>
              <w:spacing w:after="0"/>
              <w:rPr>
                <w:sz w:val="20"/>
                <w:szCs w:val="20"/>
                <w:color w:val="auto"/>
              </w:rPr>
            </w:pPr>
            <w:r>
              <w:rPr>
                <w:rFonts w:ascii="Arial" w:cs="Arial" w:eastAsia="Arial" w:hAnsi="Arial"/>
                <w:sz w:val="16"/>
                <w:szCs w:val="16"/>
                <w:color w:val="auto"/>
              </w:rPr>
              <w:t>Wells Fargo Bank, National Association</w:t>
            </w:r>
          </w:p>
        </w:tc>
        <w:tc>
          <w:tcPr>
            <w:tcW w:w="0" w:type="dxa"/>
            <w:vAlign w:val="bottom"/>
          </w:tcPr>
          <w:p>
            <w:pPr>
              <w:spacing w:after="0"/>
              <w:rPr>
                <w:sz w:val="1"/>
                <w:szCs w:val="1"/>
                <w:color w:val="auto"/>
              </w:rPr>
            </w:pPr>
          </w:p>
        </w:tc>
      </w:tr>
      <w:tr>
        <w:trPr>
          <w:trHeight w:val="172"/>
        </w:trPr>
        <w:tc>
          <w:tcPr>
            <w:tcW w:w="1740" w:type="dxa"/>
            <w:vAlign w:val="bottom"/>
            <w:vMerge w:val="continue"/>
          </w:tcPr>
          <w:p>
            <w:pPr>
              <w:spacing w:after="0"/>
              <w:rPr>
                <w:sz w:val="14"/>
                <w:szCs w:val="14"/>
                <w:color w:val="auto"/>
              </w:rPr>
            </w:pPr>
          </w:p>
        </w:tc>
        <w:tc>
          <w:tcPr>
            <w:tcW w:w="9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845"/>
        </w:trPr>
        <w:tc>
          <w:tcPr>
            <w:tcW w:w="1740" w:type="dxa"/>
            <w:vAlign w:val="bottom"/>
          </w:tcPr>
          <w:p>
            <w:pPr>
              <w:spacing w:after="0"/>
              <w:rPr>
                <w:sz w:val="24"/>
                <w:szCs w:val="24"/>
                <w:color w:val="auto"/>
              </w:rPr>
            </w:pPr>
          </w:p>
        </w:tc>
        <w:tc>
          <w:tcPr>
            <w:tcW w:w="9680" w:type="dxa"/>
            <w:vAlign w:val="bottom"/>
          </w:tcPr>
          <w:p>
            <w:pPr>
              <w:ind w:left="3920"/>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Report for the Fiscal Year Ended August 25, 2012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 We sell motor homes through independent dealers under the Winnebago, Itasca and Era brand names.</w:t>
      </w:r>
    </w:p>
    <w:p>
      <w:pPr>
        <w:spacing w:after="0" w:line="14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December 29, 2010 we purchased substantially all of the assets of SunnyBrook, a manufacturer of travel trailers and fifth wheel RVs. The aggregate consideration paid was $4.7 million, net of cash acquired, including the repayment of $3.3 million of SunnyBrook commercial and shareholder debt on the closing date. Also on December 29, 2010, we entered into a five-year operating lease agreement for the SunnyBrook facilities. The operations of Towables are included in our consolidated operating results from the date of its acquisition. Towables will continue to manufacture products under the SunnyBrook brands. In addition, Towables has begun to diversify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growth.</w:t>
      </w:r>
    </w:p>
    <w:p>
      <w:pPr>
        <w:spacing w:after="0" w:line="15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Other products manufactured by us consist primarily of OEM parts, including extruded aluminum and other component products for other manufacturers and commercial vehicles.</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Our website, located at www.winnebagoind.com,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Net revenues by major product classes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August 25, 2012</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August 27, 2011</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August 28, 2010</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August 29, 2009</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August 30, 2008</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483,532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443,232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415,277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178,619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555,671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70"/>
        </w:trPr>
        <w:tc>
          <w:tcPr>
            <w:tcW w:w="174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56,784</w:t>
            </w:r>
          </w:p>
        </w:tc>
        <w:tc>
          <w:tcPr>
            <w:tcW w:w="820" w:type="dxa"/>
            <w:vAlign w:val="bottom"/>
          </w:tcPr>
          <w:p>
            <w:pPr>
              <w:jc w:val="right"/>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16,712</w:t>
            </w: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23"/>
                <w:szCs w:val="23"/>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4"/>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12,661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13,105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13,655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12,559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8"/>
        </w:trPr>
        <w:tc>
          <w:tcPr>
            <w:tcW w:w="1740" w:type="dxa"/>
            <w:vAlign w:val="bottom"/>
          </w:tcPr>
          <w:p>
            <w:pPr>
              <w:ind w:left="40"/>
              <w:spacing w:after="0"/>
              <w:rPr>
                <w:sz w:val="20"/>
                <w:szCs w:val="20"/>
                <w:color w:val="auto"/>
              </w:rPr>
            </w:pPr>
            <w:r>
              <w:rPr>
                <w:rFonts w:ascii="Arial" w:cs="Arial" w:eastAsia="Arial" w:hAnsi="Arial"/>
                <w:sz w:val="16"/>
                <w:szCs w:val="16"/>
                <w:color w:val="auto"/>
              </w:rPr>
              <w:t>Other manufactured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1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28,702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23,369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20,552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20,341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31,758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67"/>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581,679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496,418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449,484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211,519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604,352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8890</wp:posOffset>
            </wp:positionV>
            <wp:extent cx="6148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ind w:left="260" w:hanging="238"/>
        <w:spacing w:after="0" w:line="224"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Motor home unit revenue less discounts, sales promotions and incentives, and accrued loss on repurchase adjustments.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Motor Homes</w:t>
      </w:r>
      <w:r>
        <w:rPr>
          <w:rFonts w:ascii="Arial" w:cs="Arial" w:eastAsia="Arial" w:hAnsi="Arial"/>
          <w:sz w:val="16"/>
          <w:szCs w:val="16"/>
          <w:color w:val="auto"/>
        </w:rPr>
        <w:t>. A motor home is a self-propelled mobile dwelling used primarily as temporary living quarters during vacation and camping trips, or to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some other active lifestyle. The RVIA classifies motor homes into three types which are defined as follows:</w:t>
      </w:r>
    </w:p>
    <w:p>
      <w:pPr>
        <w:spacing w:after="0" w:line="122" w:lineRule="exact"/>
        <w:rPr>
          <w:sz w:val="20"/>
          <w:szCs w:val="20"/>
          <w:color w:val="auto"/>
        </w:rPr>
      </w:pPr>
    </w:p>
    <w:p>
      <w:pPr>
        <w:ind w:left="340" w:right="360" w:hanging="332"/>
        <w:spacing w:after="0" w:line="25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47" w:lineRule="exact"/>
        <w:rPr>
          <w:rFonts w:ascii="Arial" w:cs="Arial" w:eastAsia="Arial" w:hAnsi="Arial"/>
          <w:sz w:val="16"/>
          <w:szCs w:val="16"/>
          <w:color w:val="auto"/>
        </w:rPr>
      </w:pPr>
    </w:p>
    <w:p>
      <w:pPr>
        <w:ind w:left="340" w:right="18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B models are panel-type vans to which sleeping, kitchen, and/or toilet facilities are added. These models may also have a top extension to provide more headroom. We manufacture Class B motor homes with diesel engines.</w:t>
      </w:r>
    </w:p>
    <w:p>
      <w:pPr>
        <w:spacing w:after="0" w:line="141"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Class C models are motor homes built on van-type chassis onto which the motor home manufacturer constructs a living area with access to the driver's compartment. We manufacture Class C motor homes with gas and diesel engines.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manufacture and sell Class A and C motor homes under the Winnebago and Itasca brand names and Class B motor homes under the Era brand name.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product offerings for the 2013 model year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454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Winnebago</w:t>
            </w:r>
          </w:p>
        </w:tc>
        <w:tc>
          <w:tcPr>
            <w:tcW w:w="3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Itasca</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Era</w:t>
            </w: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45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Vista, Sightseer, Adventurer</w:t>
            </w: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Sunstar, Sunova, Suncruiser</w:t>
            </w: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1920" w:type="dxa"/>
            <w:vAlign w:val="bottom"/>
          </w:tcPr>
          <w:p>
            <w:pPr>
              <w:ind w:left="40"/>
              <w:spacing w:after="0"/>
              <w:rPr>
                <w:sz w:val="20"/>
                <w:szCs w:val="20"/>
                <w:color w:val="auto"/>
              </w:rPr>
            </w:pPr>
            <w:r>
              <w:rPr>
                <w:rFonts w:ascii="Arial" w:cs="Arial" w:eastAsia="Arial" w:hAnsi="Arial"/>
                <w:sz w:val="16"/>
                <w:szCs w:val="16"/>
                <w:color w:val="auto"/>
              </w:rPr>
              <w:t>Class A (diesel)</w:t>
            </w:r>
          </w:p>
        </w:tc>
        <w:tc>
          <w:tcPr>
            <w:tcW w:w="4540" w:type="dxa"/>
            <w:vAlign w:val="bottom"/>
          </w:tcPr>
          <w:p>
            <w:pPr>
              <w:ind w:left="740"/>
              <w:spacing w:after="0"/>
              <w:rPr>
                <w:sz w:val="20"/>
                <w:szCs w:val="20"/>
                <w:color w:val="auto"/>
              </w:rPr>
            </w:pPr>
            <w:r>
              <w:rPr>
                <w:rFonts w:ascii="Arial" w:cs="Arial" w:eastAsia="Arial" w:hAnsi="Arial"/>
                <w:sz w:val="16"/>
                <w:szCs w:val="16"/>
                <w:color w:val="auto"/>
              </w:rPr>
              <w:t>Via, Journey, Tour</w:t>
            </w:r>
          </w:p>
        </w:tc>
        <w:tc>
          <w:tcPr>
            <w:tcW w:w="3900" w:type="dxa"/>
            <w:vAlign w:val="bottom"/>
          </w:tcPr>
          <w:p>
            <w:pPr>
              <w:ind w:left="80"/>
              <w:spacing w:after="0"/>
              <w:rPr>
                <w:sz w:val="20"/>
                <w:szCs w:val="20"/>
                <w:color w:val="auto"/>
              </w:rPr>
            </w:pPr>
            <w:r>
              <w:rPr>
                <w:rFonts w:ascii="Arial" w:cs="Arial" w:eastAsia="Arial" w:hAnsi="Arial"/>
                <w:sz w:val="16"/>
                <w:szCs w:val="16"/>
                <w:color w:val="auto"/>
              </w:rPr>
              <w:t>Reyo, Meridian, Ellipse</w:t>
            </w:r>
          </w:p>
        </w:tc>
        <w:tc>
          <w:tcPr>
            <w:tcW w:w="1060" w:type="dxa"/>
            <w:vAlign w:val="bottom"/>
          </w:tcPr>
          <w:p>
            <w:pPr>
              <w:spacing w:after="0"/>
              <w:rPr>
                <w:sz w:val="19"/>
                <w:szCs w:val="19"/>
                <w:color w:val="auto"/>
              </w:rPr>
            </w:pPr>
          </w:p>
        </w:tc>
      </w:tr>
      <w:tr>
        <w:trPr>
          <w:trHeight w:val="47"/>
        </w:trPr>
        <w:tc>
          <w:tcPr>
            <w:tcW w:w="19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9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454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Era</w:t>
            </w:r>
          </w:p>
        </w:tc>
      </w:tr>
      <w:tr>
        <w:trPr>
          <w:trHeight w:val="224"/>
        </w:trPr>
        <w:tc>
          <w:tcPr>
            <w:tcW w:w="1920" w:type="dxa"/>
            <w:vAlign w:val="bottom"/>
          </w:tcPr>
          <w:p>
            <w:pPr>
              <w:ind w:left="40"/>
              <w:spacing w:after="0"/>
              <w:rPr>
                <w:sz w:val="20"/>
                <w:szCs w:val="20"/>
                <w:color w:val="auto"/>
              </w:rPr>
            </w:pPr>
            <w:r>
              <w:rPr>
                <w:rFonts w:ascii="Arial" w:cs="Arial" w:eastAsia="Arial" w:hAnsi="Arial"/>
                <w:sz w:val="16"/>
                <w:szCs w:val="16"/>
                <w:color w:val="auto"/>
              </w:rPr>
              <w:t>Class C</w:t>
            </w:r>
          </w:p>
        </w:tc>
        <w:tc>
          <w:tcPr>
            <w:tcW w:w="4540" w:type="dxa"/>
            <w:vAlign w:val="bottom"/>
          </w:tcPr>
          <w:p>
            <w:pPr>
              <w:ind w:left="740"/>
              <w:spacing w:after="0"/>
              <w:rPr>
                <w:sz w:val="20"/>
                <w:szCs w:val="20"/>
                <w:color w:val="auto"/>
              </w:rPr>
            </w:pPr>
            <w:r>
              <w:rPr>
                <w:rFonts w:ascii="Arial" w:cs="Arial" w:eastAsia="Arial" w:hAnsi="Arial"/>
                <w:sz w:val="16"/>
                <w:szCs w:val="16"/>
                <w:color w:val="auto"/>
              </w:rPr>
              <w:t>Access, Access Premier, Aspect, View, View Profile</w:t>
            </w:r>
          </w:p>
        </w:tc>
        <w:tc>
          <w:tcPr>
            <w:tcW w:w="3900" w:type="dxa"/>
            <w:vAlign w:val="bottom"/>
          </w:tcPr>
          <w:p>
            <w:pPr>
              <w:ind w:left="80"/>
              <w:spacing w:after="0"/>
              <w:rPr>
                <w:sz w:val="20"/>
                <w:szCs w:val="20"/>
                <w:color w:val="auto"/>
              </w:rPr>
            </w:pPr>
            <w:r>
              <w:rPr>
                <w:rFonts w:ascii="Arial" w:cs="Arial" w:eastAsia="Arial" w:hAnsi="Arial"/>
                <w:sz w:val="16"/>
                <w:szCs w:val="16"/>
                <w:color w:val="auto"/>
              </w:rPr>
              <w:t>Impulse, Impulse Silver, Cambria, Navion, Navion iQ</w:t>
            </w:r>
          </w:p>
        </w:tc>
        <w:tc>
          <w:tcPr>
            <w:tcW w:w="1060" w:type="dxa"/>
            <w:vAlign w:val="bottom"/>
          </w:tcPr>
          <w:p>
            <w:pPr>
              <w:spacing w:after="0"/>
              <w:rPr>
                <w:sz w:val="19"/>
                <w:szCs w:val="19"/>
                <w:color w:val="auto"/>
              </w:rPr>
            </w:pPr>
          </w:p>
        </w:tc>
      </w:tr>
    </w:tbl>
    <w:p>
      <w:pPr>
        <w:spacing w:after="0" w:line="210"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 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 home, we offer a comprehensive 12-month/15,000-mile warranty on the coach and, for Class A and C motor homes, a 3-year/36,000-mile structural warranty on sidewalls and floors.</w:t>
      </w:r>
    </w:p>
    <w:p>
      <w:pPr>
        <w:spacing w:after="0" w:line="15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Class A, B and C motor homes are sold by dealers in the retail market with manufacturer's suggested retail prices ranging from approximately $70,000 to $366,000, depending on size and model, plus optional equipment and delivery charges. Our motor homes range in length from 24 to 42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 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w:t>
            </w:r>
          </w:p>
        </w:tc>
        <w:tc>
          <w:tcPr>
            <w:tcW w:w="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57"/>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Units</w:t>
            </w:r>
          </w:p>
        </w:tc>
        <w:tc>
          <w:tcPr>
            <w:tcW w:w="19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August 25, 2012</w:t>
            </w:r>
          </w:p>
        </w:tc>
        <w:tc>
          <w:tcPr>
            <w:tcW w:w="18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August 27, 2011</w:t>
            </w: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August 28, 2010</w:t>
            </w:r>
          </w:p>
        </w:tc>
        <w:tc>
          <w:tcPr>
            <w:tcW w:w="186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August 29, 2009</w:t>
            </w:r>
          </w:p>
        </w:tc>
        <w:tc>
          <w:tcPr>
            <w:tcW w:w="16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August 30, 2008</w:t>
            </w: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2,579</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55.6%</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2,436</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55.4%</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2,452</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55.3%</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822</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37.4%</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60"/>
        </w:trPr>
        <w:tc>
          <w:tcPr>
            <w:tcW w:w="2280" w:type="dxa"/>
            <w:vAlign w:val="bottom"/>
          </w:tcPr>
          <w:p>
            <w:pPr>
              <w:ind w:left="40"/>
              <w:spacing w:after="0"/>
              <w:rPr>
                <w:sz w:val="20"/>
                <w:szCs w:val="20"/>
                <w:color w:val="auto"/>
              </w:rPr>
            </w:pPr>
            <w:r>
              <w:rPr>
                <w:rFonts w:ascii="Arial" w:cs="Arial" w:eastAsia="Arial" w:hAnsi="Arial"/>
                <w:sz w:val="16"/>
                <w:szCs w:val="16"/>
                <w:color w:val="auto"/>
              </w:rPr>
              <w:t>Class B</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319</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236</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149</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3"/>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1,744</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37.6%</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42.2%</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1,745</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39.4%</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1,225</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55.8%</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r>
      <w:tr>
        <w:trPr>
          <w:trHeight w:val="264"/>
        </w:trPr>
        <w:tc>
          <w:tcPr>
            <w:tcW w:w="2280" w:type="dxa"/>
            <w:vAlign w:val="bottom"/>
          </w:tcPr>
          <w:p>
            <w:pPr>
              <w:ind w:left="40"/>
              <w:spacing w:after="0"/>
              <w:rPr>
                <w:sz w:val="20"/>
                <w:szCs w:val="20"/>
                <w:color w:val="auto"/>
              </w:rPr>
            </w:pPr>
            <w:r>
              <w:rPr>
                <w:rFonts w:ascii="Arial" w:cs="Arial" w:eastAsia="Arial" w:hAnsi="Arial"/>
                <w:sz w:val="16"/>
                <w:szCs w:val="16"/>
                <w:color w:val="auto"/>
              </w:rPr>
              <w:t>Total motor homes</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4,642</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4,395</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4,433</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2,196</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6,407</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3810</wp:posOffset>
            </wp:positionV>
            <wp:extent cx="5805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20955</wp:posOffset>
            </wp:positionV>
            <wp:extent cx="5805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ind w:left="260" w:hanging="238"/>
        <w:spacing w:after="0"/>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30, 2008 contained 53 weeks; all other fiscal years contained 52 weeks.</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color w:val="auto"/>
        </w:rPr>
        <w:t xml:space="preserve">Towable RVs. </w:t>
      </w:r>
      <w:r>
        <w:rPr>
          <w:rFonts w:ascii="Arial" w:cs="Arial" w:eastAsia="Arial" w:hAnsi="Arial"/>
          <w:sz w:val="16"/>
          <w:szCs w:val="16"/>
          <w:color w:val="auto"/>
        </w:rPr>
        <w:t>A towable is a non-motorized vehicle that connects to a ball hitch mounted on the tow vehicle and is used as temporary living quarters for</w:t>
      </w:r>
      <w:r>
        <w:rPr>
          <w:rFonts w:ascii="Arial" w:cs="Arial" w:eastAsia="Arial" w:hAnsi="Arial"/>
          <w:sz w:val="16"/>
          <w:szCs w:val="16"/>
          <w:b w:val="1"/>
          <w:bCs w:val="1"/>
          <w:color w:val="auto"/>
        </w:rPr>
        <w:t xml:space="preserve"> </w:t>
      </w:r>
      <w:r>
        <w:rPr>
          <w:rFonts w:ascii="Arial" w:cs="Arial" w:eastAsia="Arial" w:hAnsi="Arial"/>
          <w:sz w:val="16"/>
          <w:szCs w:val="16"/>
          <w:color w:val="auto"/>
        </w:rPr>
        <w:t>recreational travel. We manufacture and sell conventional travel trailers which are towed by means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 hitch attached to the frame of the towing vehicle and fifth wheel trailers which are constructed with a raised forward section that is connected to the vehicle with a special fifth wheel hitch.</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towable product offerings for the 2013 model year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49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Sunnybrook</w:t>
            </w:r>
          </w:p>
        </w:tc>
        <w:tc>
          <w:tcPr>
            <w:tcW w:w="464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Winnebago</w:t>
            </w:r>
          </w:p>
        </w:tc>
      </w:tr>
      <w:tr>
        <w:trPr>
          <w:trHeight w:val="218"/>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49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Sunset Creek Sport, Raven, Remington</w:t>
            </w:r>
          </w:p>
        </w:tc>
        <w:tc>
          <w:tcPr>
            <w:tcW w:w="464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Winnebago One, Winnebago Minnie,</w:t>
            </w:r>
          </w:p>
        </w:tc>
      </w:tr>
      <w:tr>
        <w:trPr>
          <w:trHeight w:val="214"/>
        </w:trPr>
        <w:tc>
          <w:tcPr>
            <w:tcW w:w="180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64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Winnebago Ultra</w:t>
            </w:r>
          </w:p>
        </w:tc>
      </w:tr>
      <w:tr>
        <w:trPr>
          <w:trHeight w:val="224"/>
        </w:trPr>
        <w:tc>
          <w:tcPr>
            <w:tcW w:w="180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4980" w:type="dxa"/>
            <w:vAlign w:val="bottom"/>
          </w:tcPr>
          <w:p>
            <w:pPr>
              <w:ind w:left="860"/>
              <w:spacing w:after="0"/>
              <w:rPr>
                <w:sz w:val="20"/>
                <w:szCs w:val="20"/>
                <w:color w:val="auto"/>
              </w:rPr>
            </w:pPr>
            <w:r>
              <w:rPr>
                <w:rFonts w:ascii="Arial" w:cs="Arial" w:eastAsia="Arial" w:hAnsi="Arial"/>
                <w:sz w:val="16"/>
                <w:szCs w:val="16"/>
                <w:color w:val="auto"/>
              </w:rPr>
              <w:t>Raven, Remington</w:t>
            </w:r>
          </w:p>
        </w:tc>
        <w:tc>
          <w:tcPr>
            <w:tcW w:w="4640" w:type="dxa"/>
            <w:vAlign w:val="bottom"/>
          </w:tcPr>
          <w:p>
            <w:pPr>
              <w:ind w:left="1260"/>
              <w:spacing w:after="0"/>
              <w:rPr>
                <w:sz w:val="20"/>
                <w:szCs w:val="20"/>
                <w:color w:val="auto"/>
              </w:rPr>
            </w:pPr>
            <w:r>
              <w:rPr>
                <w:rFonts w:ascii="Arial" w:cs="Arial" w:eastAsia="Arial" w:hAnsi="Arial"/>
                <w:sz w:val="16"/>
                <w:szCs w:val="16"/>
                <w:color w:val="auto"/>
              </w:rPr>
              <w:t>Winnebago Lite Five</w:t>
            </w:r>
          </w:p>
        </w:tc>
      </w:tr>
    </w:tbl>
    <w:p>
      <w:pPr>
        <w:spacing w:after="0" w:line="183"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Our travel trailers and fifth wheels are sold by dealers in the retail market with manufacturer's suggested retail prices ranging from approximately $16,000 to $48,000, depending on size and model, plus optional equipment and delivery charges. Our towables range in length from 18 to 37 feet. All new units purchased receive a comprehensive 12-month warranty. Unit sales of our towables were 1,372 travel trailers and 966 fifth wheels for Fiscal 2012 and 575 travel trailers and 194 fifth wheels for Fiscal 2011.</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Motor Home Parts and Services</w:t>
      </w:r>
      <w:r>
        <w:rPr>
          <w:rFonts w:ascii="Arial" w:cs="Arial" w:eastAsia="Arial" w:hAnsi="Arial"/>
          <w:sz w:val="16"/>
          <w:szCs w:val="16"/>
          <w:color w:val="auto"/>
        </w:rPr>
        <w:t>. Motor home parts and service activities represent revenues generated by service work we perform for retail customers at</w:t>
      </w:r>
      <w:r>
        <w:rPr>
          <w:rFonts w:ascii="Arial" w:cs="Arial" w:eastAsia="Arial" w:hAnsi="Arial"/>
          <w:sz w:val="16"/>
          <w:szCs w:val="16"/>
          <w:b w:val="1"/>
          <w:bCs w:val="1"/>
          <w:color w:val="auto"/>
        </w:rPr>
        <w:t xml:space="preserve"> </w:t>
      </w:r>
      <w:r>
        <w:rPr>
          <w:rFonts w:ascii="Arial" w:cs="Arial" w:eastAsia="Arial" w:hAnsi="Arial"/>
          <w:sz w:val="16"/>
          <w:szCs w:val="16"/>
          <w:color w:val="auto"/>
        </w:rPr>
        <w:t>our Forest City, Iowa facility and parts we sell to our dealers. As of August 25, 2012, our parts inventory was approximately $2.4 million and is located in a 450,000-square foot warehouse with what we believe to be the most sophisticated distribution and tracking system in the industry. Our competitive strategy is to provide proprietary manufactured parts through our dealer network, which we believe increases customer satisfaction and the value of our motor homes.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We manufacture aluminum extrusions which are sold to approximately 80 customers. To a limited extent, we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component parts sold to outside manufacturers. We also manufacture commercial vehicles which are motor home shells, primarily custom designed for the buyer's special needs and requirements, such as law enforcement command centers and mobile medical and dental clinics. These commercial vehicles are sold through our dealer network.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 homes and towables to order from dealers. We have the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motor homes are produced in the state of Iowa at two different campuses. Our Forest City facilities have been designed to provide vertically integrated production line manufacturing. We also operate an assembly plant and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exceptions being chassis, engines, generators and appliances.</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 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and Mercedes-Benz Canada. In Fiscal 2012, only three vendors, Ford Motor Company, Freightliner Custom Chassis Corporation and Mercedes-Benz (USA and Canada combined) individually accounted for more than 10% of our raw material purchases and approximating 42%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As of August 25, 2012, we had a backlog for our motor homes of 1,473 units with an approximate revenue value of $163.7 million. In comparison as of August 27, 2011, our backlog was 681 units with an approximate revenue value of $74.7 million. As of August 25, 2012, we had a backlog for our towables of 411 units with an approximate revenue value of $8.8 million. In comparison as of August 27, 2011, our backlog was 293 units with an approximate revenue value of $6.7 million. A more detailed description of our motor home and towable order backlog is included in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organization located throughout the US and, to a limited extent, in Canada. Foreign sales, including Canada, were 10% or less of net revenues during each of the past three fiscal years. See Note 15 to our Financial Statements of this Annual Report on Form 10-K.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As of August 25, 2012 and August 27, 2011, our motor home dealer organization in the US and Canada included approximately 235 and 225 dealer locations, respectively. We have a number of dealers that carry our Winnebago, Itasca and Era brands; we count each motor home dealer location only once regardless of how many of our brands are offered at each such dealer location. Our towable dealer organization consisted of 232 and 172 dealer locations as of August 25, 2012 and August 27, 2011, respectively, across the US and Canada. Many of our towable dealerships also carry more than one of the towable product lines, but each dealership is counted only once in the number of towable dealer locations. One of our dealer organizations, FreedomRoads, LLC, accounted for 26% of our net revenue for Fiscal 2012, as they sold our products in 62 of their dealership locations across 26 US states.</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sales and service agreements with dealers which generally have a term of ten years but are subject to annual review. Many of the dealers are also engaged in other areas of business, including the sale of automobiles, trailers or boats, and many dealers carry one or more competitive lines of recreation vehicles. We continue to place high emphasis on the capability of our dealers to provide complete service for our recreation vehicles. Dealers are obligated to provide full service for owners of our recreation vehicles or, in lieu thereof, to secure such service from other authorized providers.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financing. See Note 11.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them additional purchasing power. Also, some of our competitors went through Chapter 11 bankruptcy protection during calendar 2009 and their assets were purchased without many of their liabilities (e.g. warranty, product liability, workers' compensation), which we believe reduced their cost structure as compared to ours. The competition in the RV industry is based upon design, price, quality and service of the products. We believe our principal competitive advantages are our brand strength, product quality and our service after the sale. We also believe that our motor home products have historically commanded a price premium as a result of these competitive advantages.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Our sales of RVs are generally influenced by this pattern in retail sales, but can also be affected by the level of dealer inventory. Our products are generally manufactured against orders from dealers.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Trademarks and Patents</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RVs to certify that the RVIA standards have been met. We believe that our products and facilities comply in all material respects with the applicable vehicle safety, consumer protection, RVIA and OSHA regulations and standards.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We believe that we currently are in compliance with applicable environmental laws and regulations in all material aspects.</w:t>
      </w:r>
    </w:p>
    <w:p>
      <w:pPr>
        <w:spacing w:after="0" w:line="14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have several registered trademarks associated with our motor homes which include: Access, Adventurer, Aspect, Cambria, Chalet, Destination, Ellipse, Era, Impulse, Itasca, Journey, Latitude, Meridian, Navion, Outlook, Reyo, Rialta, Sightseer, Spirit, Suncruiser, Sundancer, Sunova, Sunrise, Sunstar, Tour, Vectra, Via, View, Vista, Voyage, and Winnebago. Winnebago of Indiana, LLC also has several registered trademarks associated with their towable products which include: Bristol Bay, Brookside, Sunnybrook, Sunset Creek, West Pointe, and Raven. We believe that our trademarks and trade names are significant to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business and we will vigorously protect them against infringement. We are not dependent upon any patents or technology licenses of others for the conduct of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2012, 2011 and 2010, we spent approximately $3.4 million, $3.3 million and $3.2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2012, 2011 and 2010, we employed approximately 2,380, 2,130 and 1,950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5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64"/>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5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Office (Year First Elected an Officer)</w:t>
            </w:r>
          </w:p>
        </w:tc>
        <w:tc>
          <w:tcPr>
            <w:tcW w:w="184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b w:val="1"/>
                <w:bCs w:val="1"/>
                <w:color w:val="auto"/>
              </w:rPr>
              <w:t>Age</w:t>
            </w:r>
          </w:p>
        </w:tc>
      </w:tr>
      <w:tr>
        <w:trPr>
          <w:trHeight w:val="24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(1)</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Chairman of the Board, Chief Executive Officer and President (2006)</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53</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Steven Scott Degnan</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Sales and Product Management (2012)</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47</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General Counsel &amp; Secretary (2012)</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50</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Administration (1998)</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61</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Manufacturing (2010)</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49</w:t>
            </w:r>
          </w:p>
        </w:tc>
      </w:tr>
      <w:tr>
        <w:trPr>
          <w:trHeight w:val="233"/>
        </w:trPr>
        <w:tc>
          <w:tcPr>
            <w:tcW w:w="30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520" w:type="dxa"/>
            <w:vAlign w:val="bottom"/>
          </w:tcPr>
          <w:p>
            <w:pPr>
              <w:ind w:left="300"/>
              <w:spacing w:after="0"/>
              <w:rPr>
                <w:sz w:val="20"/>
                <w:szCs w:val="20"/>
                <w:color w:val="auto"/>
              </w:rPr>
            </w:pPr>
            <w:r>
              <w:rPr>
                <w:rFonts w:ascii="Arial" w:cs="Arial" w:eastAsia="Arial" w:hAnsi="Arial"/>
                <w:sz w:val="16"/>
                <w:szCs w:val="16"/>
                <w:color w:val="auto"/>
              </w:rPr>
              <w:t>Vice President, Chief Financial Officer (2005)</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39</w:t>
            </w:r>
          </w:p>
        </w:tc>
      </w:tr>
      <w:tr>
        <w:trPr>
          <w:trHeight w:val="253"/>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6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Vice President, Product Development (2001)</w:t>
            </w:r>
          </w:p>
        </w:tc>
        <w:tc>
          <w:tcPr>
            <w:tcW w:w="18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63</w:t>
            </w:r>
          </w:p>
        </w:tc>
      </w:tr>
      <w:tr>
        <w:trPr>
          <w:trHeight w:val="224"/>
        </w:trPr>
        <w:tc>
          <w:tcPr>
            <w:tcW w:w="3060" w:type="dxa"/>
            <w:vAlign w:val="bottom"/>
          </w:tcPr>
          <w:p>
            <w:pPr>
              <w:ind w:left="40"/>
              <w:spacing w:after="0"/>
              <w:rPr>
                <w:sz w:val="20"/>
                <w:szCs w:val="20"/>
                <w:color w:val="auto"/>
              </w:rPr>
            </w:pPr>
            <w:r>
              <w:rPr>
                <w:rFonts w:ascii="Arial" w:cs="Arial" w:eastAsia="Arial" w:hAnsi="Arial"/>
                <w:sz w:val="16"/>
                <w:szCs w:val="16"/>
                <w:color w:val="auto"/>
              </w:rPr>
              <w:t>Donald L. Heidemann</w:t>
            </w:r>
          </w:p>
        </w:tc>
        <w:tc>
          <w:tcPr>
            <w:tcW w:w="6520" w:type="dxa"/>
            <w:vAlign w:val="bottom"/>
          </w:tcPr>
          <w:p>
            <w:pPr>
              <w:ind w:left="300"/>
              <w:spacing w:after="0"/>
              <w:rPr>
                <w:sz w:val="20"/>
                <w:szCs w:val="20"/>
                <w:color w:val="auto"/>
              </w:rPr>
            </w:pPr>
            <w:r>
              <w:rPr>
                <w:rFonts w:ascii="Arial" w:cs="Arial" w:eastAsia="Arial" w:hAnsi="Arial"/>
                <w:sz w:val="16"/>
                <w:szCs w:val="16"/>
                <w:color w:val="auto"/>
              </w:rPr>
              <w:t>Treasurer and Director of Finance (2007)</w:t>
            </w:r>
          </w:p>
        </w:tc>
        <w:tc>
          <w:tcPr>
            <w:tcW w:w="1840" w:type="dxa"/>
            <w:vAlign w:val="bottom"/>
          </w:tcPr>
          <w:p>
            <w:pPr>
              <w:jc w:val="center"/>
              <w:ind w:left="979"/>
              <w:spacing w:after="0"/>
              <w:rPr>
                <w:sz w:val="20"/>
                <w:szCs w:val="20"/>
                <w:color w:val="auto"/>
              </w:rPr>
            </w:pPr>
            <w:r>
              <w:rPr>
                <w:rFonts w:ascii="Arial" w:cs="Arial" w:eastAsia="Arial" w:hAnsi="Arial"/>
                <w:sz w:val="16"/>
                <w:szCs w:val="16"/>
                <w:color w:val="auto"/>
              </w:rPr>
              <w:t>40</w:t>
            </w:r>
          </w:p>
        </w:tc>
      </w:tr>
      <w:tr>
        <w:trPr>
          <w:trHeight w:val="293"/>
        </w:trPr>
        <w:tc>
          <w:tcPr>
            <w:tcW w:w="30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Director</w:t>
            </w:r>
          </w:p>
        </w:tc>
        <w:tc>
          <w:tcPr>
            <w:tcW w:w="65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80"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Mr. Potts has over 29 years of experience with Winnebago Industries. He has been Chairman of the Board since January 2012, Chief Executive Officer since June 2011, and President since January 2011. Prior to that time, he served as Senior Vice President, Strategic Planning from November 2009 to June 2011, Vice President, Manufacturing from October 2006 to November 2009, Director of Manufacturing from February 2006 to October 2006 and as General Manager of Manufacturing Services from November 2000 to February 2006.</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Prior to joining Winnebago Industries,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7" w:lineRule="exact"/>
        <w:rPr>
          <w:sz w:val="20"/>
          <w:szCs w:val="20"/>
          <w:color w:val="auto"/>
        </w:rPr>
      </w:pPr>
    </w:p>
    <w:p>
      <w:pPr>
        <w:jc w:val="both"/>
        <w:ind w:right="120"/>
        <w:spacing w:after="0" w:line="191" w:lineRule="exact"/>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Industries, Mr. Folkers was employed as in</w:t>
      </w:r>
      <w:r>
        <w:rPr>
          <w:rFonts w:ascii="MS PGothic" w:cs="MS PGothic" w:eastAsia="MS PGothic" w:hAnsi="MS PGothic"/>
          <w:sz w:val="16"/>
          <w:szCs w:val="16"/>
          <w:color w:val="auto"/>
        </w:rPr>
        <w:t>‑</w:t>
      </w:r>
      <w:r>
        <w:rPr>
          <w:rFonts w:ascii="Arial" w:cs="Arial" w:eastAsia="Arial" w:hAnsi="Arial"/>
          <w:sz w:val="16"/>
          <w:szCs w:val="16"/>
          <w:color w:val="auto"/>
        </w:rPr>
        <w:t>house counsel for John Morrell &amp; Co., in Sioux Falls, SD from 1998 to 2010. Mr. Folkers is a member of the Iowa Bar Association.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13 years of experience with Winnebago Industries. He has been Vice President, Administration since joining the Company in 1998.</w:t>
      </w:r>
    </w:p>
    <w:p>
      <w:pPr>
        <w:spacing w:after="0" w:line="16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Krieger has over 28 years of experience with Winnebago Industries. He has been Vice President, Manufacturing since May 2010. Prior to that time, he served as Director of Manufacturing from November 2009 to May 2010 and General Manager - Fabrication from February 2002 to November 2009.</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Ms. Nielsen has seven years of experience with Winnebago Industries. She has been Vice President and Chief Financial Officer since November 2005. Ms. Nielsen joined the Company in August 2005 as Director of Special Projects and Training. Prior to joining Winnebago Industries, she was employed as a senior audit manager at Deloitte &amp; Touche LLP, where she worked from 1995 to 2005. Ms. Nielsen is a Certified Public Accountant.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Mr. O'Leary has over 40 years of experience with Winnebago Industries. He has been Vice President, Product Development since 2001.</w:t>
      </w:r>
    </w:p>
    <w:p>
      <w:pPr>
        <w:spacing w:after="0" w:line="11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Mr. Heidemann has five years of experience with Winnebago Industries. He was elected to the position of Treasurer in August 2007 and added Director of Finance responsibilities in August 2011. Prior to joining Winnebago Industries, Mr. Heidemann served in various treasury positions for Select Comfort Corporation from 2003 to July 2007 and served in various treasury positions for Rent-A-Center Incorporated from 1998 to 2003.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 Some of our competitors are much larger than us, most notably in the towable recreation vehicle market, which may provide them additional purchasing power. Also, some of our competitors went through Chapter 11 bankruptcy proceedings and their assets were purchased without many of their liabilities (e.g. warranty, product liability, workers' compensation) which we believe lowered their cost structure as compared to ours. These competitive pressures may continue to have a material adverse effect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87" w:lineRule="exact"/>
        <w:rPr>
          <w:sz w:val="20"/>
          <w:szCs w:val="20"/>
          <w:color w:val="auto"/>
        </w:rPr>
      </w:pPr>
    </w:p>
    <w:p>
      <w:pPr>
        <w:ind w:right="440"/>
        <w:spacing w:after="0" w:line="246" w:lineRule="auto"/>
        <w:rPr>
          <w:sz w:val="20"/>
          <w:szCs w:val="20"/>
          <w:color w:val="auto"/>
        </w:rPr>
      </w:pPr>
      <w:r>
        <w:rPr>
          <w:rFonts w:ascii="Arial" w:cs="Arial" w:eastAsia="Arial" w:hAnsi="Arial"/>
          <w:sz w:val="16"/>
          <w:szCs w:val="16"/>
          <w:color w:val="auto"/>
        </w:rPr>
        <w:t>Companies within the recreation vehicle industry are subject to volatility in operating results due primarily to general economic conditions. Specific factors affecting the recreation vehicle industry include:</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Availability and Interest Rates to Dealers and Retail Purchasers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business is affected by the availability and terms of the financing to dealers. Generally, recreation vehicle dealers finance their purchases of inventory with financing provided by lending institutions. Two financial flooring institutions held 80% of our total financed dealer inventory dollars that were outstanding at August 25, 2012. In the event that either or both of these lending institutions limit or discontinue dealer financing, we could experience a material adverse effect on our results of operations. Our business is also affected by the availability and terms of financing to retail purchasers. Retail buyers purchasing a motor 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Maintaining Adequate Liquidity and Capital Resources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historically generated revenues from our operations to pay operating expenses, buy back stock and, prior to Fiscal 2009, pay cash dividends. We have taken a number of steps, as discussed in “Item 7 - Management's Discussion and Analysis of Financial Condition and Results of Operations - Analysis of Financial Condition, Liquidity and Resources” below, to maintain our cash position and ensure liquidity. However, challenging market conditions that reduce demand for our products could weaken our liquidity position and materially adversely affect net revenues available for anticipated cash needs. To the extent the initiatives we undertake are not successful or we are unable to successfully implement alternative actions, our ability to cover both short-term and long-term operation requirements would be significantly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recreation vehicle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Integration of Acquisitions</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Fiscal 2011 we made an acquisition of a towable manufacturer. The integration and introduction of new models of recreation vehicles is important to our future growth. We may incur unexpected expenses and the acceptance of a new product line is uncertain. We may not be able to obtain efficiencies of scale in back office processes or obtain expected purchasing efficiencies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via increased volume from mutual suppliers.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One of our dealer organizations, FreedomRoads, LLC, accounted for 26% of our net revenue for Fiscal 2012, as they sold our products in 62 of their dealership locations across 26 US states.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8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RVs in the future, this would increase our costs and could have a material adverse effect on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recreation vehicles. There can be no assurance that the supply of these petroleum products will continue uninterrupted or that the price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quality suppliers. In the case of motor home chassis, Ford Motor Company, Freightliner Custom Chassis Corporation and Mercedes-Benz (USA and Canada)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Decisions by our suppliers to decrease production, production delays, or work stoppages by the employees of such suppliers could have a material adverse effect on our ability to produce motor homes and ultimately, on the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recreation vehicle industry. We have an insurance policy covering product liability, however, we are self-insured for a portion of product liability claims.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It may also increase the amounts we pay in punitive damages, not all of which are covered by our insurance. In addition, if these claims rise to a level of frequency or size that are significantly higher than similar claims made against our competitors, our reputation and business may be harmed.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187"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MVA, and the safety standards for recreation vehicles and components which have been established under the Motor Vehicle Act by the Department of Transportation. The MVA authorizes the National Highway Traffic Safety Administration to require a manufacturer to recall and repair vehicles which contain certain hazards or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manufacturing, purchasing, operating or selling our products and could have a material adverse effect on our results of operations. In addition, our failure to comply with present or future regulations could result in fines being imposed on us, potential civil and criminal liability, suspension of sales or production or cessation of operations.</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4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25, 2012: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Square</w:t>
            </w:r>
          </w:p>
        </w:tc>
      </w:tr>
      <w:tr>
        <w:trPr>
          <w:trHeight w:val="22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5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Facility Type/Use</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of Buildings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maintenance, service and office</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500" w:type="dxa"/>
            <w:vAlign w:val="bottom"/>
          </w:tcPr>
          <w:p>
            <w:pPr>
              <w:ind w:left="740"/>
              <w:spacing w:after="0"/>
              <w:rPr>
                <w:sz w:val="20"/>
                <w:szCs w:val="20"/>
                <w:color w:val="auto"/>
              </w:rPr>
            </w:pPr>
            <w:r>
              <w:rPr>
                <w:rFonts w:ascii="Arial" w:cs="Arial" w:eastAsia="Arial" w:hAnsi="Arial"/>
                <w:sz w:val="16"/>
                <w:szCs w:val="16"/>
                <w:color w:val="auto"/>
              </w:rPr>
              <w:t>Warehouse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702,000</w:t>
            </w:r>
          </w:p>
        </w:tc>
      </w:tr>
      <w:tr>
        <w:trPr>
          <w:trHeight w:val="25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161,000</w:t>
            </w:r>
          </w:p>
        </w:tc>
      </w:tr>
      <w:tr>
        <w:trPr>
          <w:trHeight w:val="233"/>
        </w:trPr>
        <w:tc>
          <w:tcPr>
            <w:tcW w:w="2160" w:type="dxa"/>
            <w:vAlign w:val="bottom"/>
          </w:tcPr>
          <w:p>
            <w:pPr>
              <w:ind w:left="40"/>
              <w:spacing w:after="0"/>
              <w:rPr>
                <w:sz w:val="20"/>
                <w:szCs w:val="20"/>
                <w:color w:val="auto"/>
              </w:rPr>
            </w:pPr>
            <w:r>
              <w:rPr>
                <w:rFonts w:ascii="Arial" w:cs="Arial" w:eastAsia="Arial" w:hAnsi="Arial"/>
                <w:sz w:val="16"/>
                <w:szCs w:val="16"/>
                <w:color w:val="auto"/>
              </w:rPr>
              <w:t>Hampton, Iowa</w:t>
            </w:r>
          </w:p>
        </w:tc>
        <w:tc>
          <w:tcPr>
            <w:tcW w:w="5500" w:type="dxa"/>
            <w:vAlign w:val="bottom"/>
          </w:tcPr>
          <w:p>
            <w:pPr>
              <w:ind w:left="740"/>
              <w:spacing w:after="0"/>
              <w:rPr>
                <w:sz w:val="20"/>
                <w:szCs w:val="20"/>
                <w:color w:val="auto"/>
              </w:rPr>
            </w:pPr>
            <w:r>
              <w:rPr>
                <w:rFonts w:ascii="Arial" w:cs="Arial" w:eastAsia="Arial" w:hAnsi="Arial"/>
                <w:sz w:val="16"/>
                <w:szCs w:val="16"/>
                <w:color w:val="auto"/>
              </w:rPr>
              <w:t>Assets Held for Sale (Manufacturing)</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center"/>
              <w:spacing w:after="0"/>
              <w:rPr>
                <w:sz w:val="20"/>
                <w:szCs w:val="20"/>
                <w:color w:val="auto"/>
              </w:rPr>
            </w:pPr>
            <w:r>
              <w:rPr>
                <w:rFonts w:ascii="Arial" w:cs="Arial" w:eastAsia="Arial" w:hAnsi="Arial"/>
                <w:sz w:val="16"/>
                <w:szCs w:val="16"/>
                <w:color w:val="auto"/>
              </w:rPr>
              <w:t>Owned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135,000</w:t>
            </w:r>
          </w:p>
        </w:tc>
      </w:tr>
      <w:tr>
        <w:trPr>
          <w:trHeight w:val="246"/>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Middlebury, Indiana</w:t>
            </w:r>
          </w:p>
        </w:tc>
        <w:tc>
          <w:tcPr>
            <w:tcW w:w="55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and office</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Leased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277,000</w:t>
            </w:r>
          </w:p>
        </w:tc>
      </w:tr>
      <w:tr>
        <w:trPr>
          <w:trHeight w:val="237"/>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240" w:type="dxa"/>
            <w:vAlign w:val="bottom"/>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2,833,000</w:t>
            </w:r>
          </w:p>
        </w:tc>
      </w:tr>
      <w:tr>
        <w:trPr>
          <w:trHeight w:val="20"/>
        </w:trPr>
        <w:tc>
          <w:tcPr>
            <w:tcW w:w="2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80"/>
        <w:spacing w:after="0" w:line="191" w:lineRule="exact"/>
        <w:rPr>
          <w:sz w:val="20"/>
          <w:szCs w:val="20"/>
          <w:color w:val="auto"/>
        </w:rPr>
      </w:pPr>
      <w:r>
        <w:rPr>
          <w:rFonts w:ascii="Arial" w:cs="Arial" w:eastAsia="Arial" w:hAnsi="Arial"/>
          <w:sz w:val="16"/>
          <w:szCs w:val="16"/>
          <w:color w:val="auto"/>
        </w:rPr>
        <w:t>The facilities that we own in Forest City, Charles City and Hampton are located on approximately 500 acres of land. We lease 244,000 square feet of our warehouse facilities in Forest City to others.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Subsequent to August 25, 2012, on August 30, 2012, the Hampton facility held for sale was sold, as further described in Note 6.</w:t>
      </w:r>
    </w:p>
    <w:p>
      <w:pPr>
        <w:spacing w:after="0" w:line="16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January 2011, we entered into a five-year lease agreement with FFT Land Management for real property consisting of four buildings and approximately 30 acres of land located in Middlebury, Indiana. The buildings are being utilized to manufacture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towable trailers. See further discussion in Note 19.</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8, we have encumbered substantially all of our real property for the benefit of the lender under such facility.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2012 and Fiscal 2011: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2012</w:t>
            </w:r>
          </w:p>
        </w:tc>
        <w:tc>
          <w:tcPr>
            <w:tcW w:w="9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Close</w:t>
            </w:r>
          </w:p>
        </w:tc>
        <w:tc>
          <w:tcPr>
            <w:tcW w:w="1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Fiscal 2011</w:t>
            </w: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Close</w:t>
            </w: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6.07</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First Quarter</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r>
      <w:tr>
        <w:trPr>
          <w:trHeight w:val="260"/>
        </w:trPr>
        <w:tc>
          <w:tcPr>
            <w:tcW w:w="192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10.51</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9.44</w:t>
            </w:r>
          </w:p>
        </w:tc>
        <w:tc>
          <w:tcPr>
            <w:tcW w:w="1940" w:type="dxa"/>
            <w:vAlign w:val="bottom"/>
          </w:tcPr>
          <w:p>
            <w:pPr>
              <w:ind w:left="180"/>
              <w:spacing w:after="0"/>
              <w:rPr>
                <w:sz w:val="20"/>
                <w:szCs w:val="20"/>
                <w:color w:val="auto"/>
              </w:rPr>
            </w:pPr>
            <w:r>
              <w:rPr>
                <w:rFonts w:ascii="Arial" w:cs="Arial" w:eastAsia="Arial" w:hAnsi="Arial"/>
                <w:sz w:val="16"/>
                <w:szCs w:val="16"/>
                <w:color w:val="auto"/>
              </w:rPr>
              <w:t>Second Quarter</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16.60</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2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14.22</w:t>
            </w:r>
          </w:p>
        </w:tc>
      </w:tr>
      <w:tr>
        <w:trPr>
          <w:trHeight w:val="280"/>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9.08</w:t>
            </w:r>
          </w:p>
        </w:tc>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Third Quarter</w:t>
            </w: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r>
      <w:tr>
        <w:trPr>
          <w:trHeight w:val="251"/>
        </w:trPr>
        <w:tc>
          <w:tcPr>
            <w:tcW w:w="192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11.46</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8.50</w:t>
            </w:r>
          </w:p>
        </w:tc>
        <w:tc>
          <w:tcPr>
            <w:tcW w:w="26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11.01</w:t>
            </w:r>
          </w:p>
        </w:tc>
        <w:tc>
          <w:tcPr>
            <w:tcW w:w="1940" w:type="dxa"/>
            <w:vAlign w:val="bottom"/>
          </w:tcPr>
          <w:p>
            <w:pPr>
              <w:ind w:left="180"/>
              <w:spacing w:after="0"/>
              <w:rPr>
                <w:sz w:val="20"/>
                <w:szCs w:val="20"/>
                <w:color w:val="auto"/>
              </w:rPr>
            </w:pPr>
            <w:r>
              <w:rPr>
                <w:rFonts w:ascii="Arial" w:cs="Arial" w:eastAsia="Arial" w:hAnsi="Arial"/>
                <w:sz w:val="16"/>
                <w:szCs w:val="16"/>
                <w:color w:val="auto"/>
              </w:rPr>
              <w:t>Fourth Quarter</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6.31</w:t>
            </w:r>
          </w:p>
        </w:tc>
        <w:tc>
          <w:tcPr>
            <w:tcW w:w="24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9, 2012: 3,343</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15, 2008, our Board of Directors suspended future cash dividend payments in order to conserve capital and to maintain liquidity. No dividends have been paid since the first quarter of Fiscal 2009.</w:t>
      </w:r>
    </w:p>
    <w:p>
      <w:pPr>
        <w:spacing w:after="0" w:line="14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Our credit facility, as further described in Note 8, also contained covenants that limited our ability, among other things, to pay cash dividends without the consent of Wells Fargo, as Agent and the lenders thereunder, in their sole discretion.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Our credit facility, as further described in Note 8, contained covenants that limited our ability, among other things, except for limited purchases of our common stock from employees, to make distributions or payments with respect to or purchases of our common stock without consent. On July 2, 2012, we obtained a letter of consent from our former lender Wells Fargo, waiving the restriction on repurchasing common stock and allowing repurchases up to $35.0 million.</w:t>
      </w:r>
    </w:p>
    <w:p>
      <w:pPr>
        <w:spacing w:after="0" w:line="14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2012, approximately 628,000 shares were repurchased under the authorization, at an aggregate cost of approximately $6.6 million. Approximately 38,000 of these shares were repurchased from employees who vested in Winnebago Industries shares during the fiscal year and elected to pay their payroll tax via shares as opposed to cash. As of August 25, 2012, there was approximately $52.6 million remaining under this authorization.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6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2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auto"/>
              </w:rPr>
              <w:t>Average Price</w:t>
            </w:r>
          </w:p>
        </w:tc>
        <w:tc>
          <w:tcPr>
            <w:tcW w:w="212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0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per Share</w:t>
            </w:r>
          </w:p>
        </w:tc>
        <w:tc>
          <w:tcPr>
            <w:tcW w:w="21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5/27/12 - 06/30/12</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54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58,888,000</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07/01/12 - 07/28/12</w:t>
            </w:r>
          </w:p>
        </w:tc>
        <w:tc>
          <w:tcPr>
            <w:tcW w:w="1800" w:type="dxa"/>
            <w:vAlign w:val="bottom"/>
          </w:tcPr>
          <w:p>
            <w:pPr>
              <w:jc w:val="right"/>
              <w:spacing w:after="0"/>
              <w:rPr>
                <w:sz w:val="20"/>
                <w:szCs w:val="20"/>
                <w:color w:val="auto"/>
              </w:rPr>
            </w:pPr>
            <w:r>
              <w:rPr>
                <w:rFonts w:ascii="Arial" w:cs="Arial" w:eastAsia="Arial" w:hAnsi="Arial"/>
                <w:sz w:val="16"/>
                <w:szCs w:val="16"/>
                <w:color w:val="auto"/>
              </w:rPr>
              <w:t>279,418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10.40</w:t>
            </w:r>
          </w:p>
        </w:tc>
        <w:tc>
          <w:tcPr>
            <w:tcW w:w="1580" w:type="dxa"/>
            <w:vAlign w:val="bottom"/>
          </w:tcPr>
          <w:p>
            <w:pPr>
              <w:jc w:val="right"/>
              <w:spacing w:after="0"/>
              <w:rPr>
                <w:sz w:val="20"/>
                <w:szCs w:val="20"/>
                <w:color w:val="auto"/>
              </w:rPr>
            </w:pPr>
            <w:r>
              <w:rPr>
                <w:rFonts w:ascii="Arial" w:cs="Arial" w:eastAsia="Arial" w:hAnsi="Arial"/>
                <w:sz w:val="16"/>
                <w:szCs w:val="16"/>
                <w:color w:val="auto"/>
              </w:rPr>
              <w:t>279,418</w:t>
            </w:r>
          </w:p>
        </w:tc>
        <w:tc>
          <w:tcPr>
            <w:tcW w:w="5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359"/>
              <w:spacing w:after="0"/>
              <w:rPr>
                <w:sz w:val="20"/>
                <w:szCs w:val="20"/>
                <w:color w:val="auto"/>
              </w:rPr>
            </w:pPr>
            <w:r>
              <w:rPr>
                <w:rFonts w:ascii="Arial" w:cs="Arial" w:eastAsia="Arial" w:hAnsi="Arial"/>
                <w:sz w:val="16"/>
                <w:szCs w:val="16"/>
                <w:color w:val="auto"/>
              </w:rPr>
              <w:t>55,983,000</w:t>
            </w:r>
          </w:p>
        </w:tc>
      </w:tr>
      <w:tr>
        <w:trPr>
          <w:trHeight w:val="273"/>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07/29/12 - 08/25/12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311,143</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10.74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311,143</w:t>
            </w:r>
          </w:p>
        </w:tc>
        <w:tc>
          <w:tcPr>
            <w:tcW w:w="5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52,640,000</w:t>
            </w:r>
          </w:p>
        </w:tc>
      </w:tr>
      <w:tr>
        <w:trPr>
          <w:trHeight w:val="267"/>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592,184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592,184</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52,640,000</w:t>
            </w: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25, 2012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w:t>
            </w:r>
          </w:p>
        </w:tc>
        <w:tc>
          <w:tcPr>
            <w:tcW w:w="6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w w:val="97"/>
              </w:rPr>
              <w:t>(b)</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(c)</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gridSpan w:val="2"/>
          </w:tcPr>
          <w:p>
            <w:pPr>
              <w:jc w:val="center"/>
              <w:ind w:right="6"/>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1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be Issued Upon</w:t>
            </w:r>
          </w:p>
        </w:tc>
        <w:tc>
          <w:tcPr>
            <w:tcW w:w="620" w:type="dxa"/>
            <w:vAlign w:val="bottom"/>
          </w:tcPr>
          <w:p>
            <w:pPr>
              <w:spacing w:after="0"/>
              <w:rPr>
                <w:sz w:val="16"/>
                <w:szCs w:val="16"/>
                <w:color w:val="auto"/>
              </w:rPr>
            </w:pPr>
          </w:p>
        </w:tc>
        <w:tc>
          <w:tcPr>
            <w:tcW w:w="242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Weighted Average</w:t>
            </w:r>
          </w:p>
        </w:tc>
        <w:tc>
          <w:tcPr>
            <w:tcW w:w="274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for the 2-for-1 Stock</w:t>
            </w: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Exercise of</w:t>
            </w:r>
          </w:p>
        </w:tc>
        <w:tc>
          <w:tcPr>
            <w:tcW w:w="620" w:type="dxa"/>
            <w:vAlign w:val="bottom"/>
          </w:tcPr>
          <w:p>
            <w:pPr>
              <w:spacing w:after="0"/>
              <w:rPr>
                <w:sz w:val="16"/>
                <w:szCs w:val="16"/>
                <w:color w:val="auto"/>
              </w:rPr>
            </w:pPr>
          </w:p>
        </w:tc>
        <w:tc>
          <w:tcPr>
            <w:tcW w:w="1800" w:type="dxa"/>
            <w:vAlign w:val="bottom"/>
          </w:tcPr>
          <w:p>
            <w:pPr>
              <w:jc w:val="center"/>
              <w:ind w:left="399"/>
              <w:spacing w:after="0"/>
              <w:rPr>
                <w:sz w:val="20"/>
                <w:szCs w:val="20"/>
                <w:color w:val="auto"/>
              </w:rPr>
            </w:pPr>
            <w:r>
              <w:rPr>
                <w:rFonts w:ascii="Arial" w:cs="Arial" w:eastAsia="Arial" w:hAnsi="Arial"/>
                <w:sz w:val="16"/>
                <w:szCs w:val="16"/>
                <w:b w:val="1"/>
                <w:bCs w:val="1"/>
                <w:color w:val="auto"/>
              </w:rPr>
              <w:t>Exercise Price of</w:t>
            </w: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Split on March 5, 2004)</w:t>
            </w: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Outstanding Options,</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0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rPr>
              <w:t>Reflected in (a))</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06"/>
              <w:spacing w:after="0"/>
              <w:rPr>
                <w:sz w:val="20"/>
                <w:szCs w:val="20"/>
                <w:color w:val="auto"/>
              </w:rPr>
            </w:pPr>
            <w:r>
              <w:rPr>
                <w:rFonts w:ascii="Arial" w:cs="Arial" w:eastAsia="Arial" w:hAnsi="Arial"/>
                <w:sz w:val="11"/>
                <w:szCs w:val="11"/>
                <w:color w:val="auto"/>
              </w:rPr>
              <w:t>(1)</w:t>
            </w: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w:t>
            </w:r>
          </w:p>
        </w:tc>
        <w:tc>
          <w:tcPr>
            <w:tcW w:w="1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727,664</w:t>
            </w:r>
          </w:p>
        </w:tc>
        <w:tc>
          <w:tcPr>
            <w:tcW w:w="620" w:type="dxa"/>
            <w:vAlign w:val="bottom"/>
            <w:vMerge w:val="continue"/>
            <w:shd w:val="clear" w:color="auto" w:fill="CCEEFF"/>
          </w:tcPr>
          <w:p>
            <w:pPr>
              <w:spacing w:after="0"/>
              <w:rPr>
                <w:sz w:val="18"/>
                <w:szCs w:val="18"/>
                <w:color w:val="auto"/>
              </w:rPr>
            </w:pPr>
          </w:p>
        </w:tc>
        <w:tc>
          <w:tcPr>
            <w:tcW w:w="180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29.08</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3,008,232</w:t>
            </w: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(3)</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117,535</w:t>
            </w:r>
          </w:p>
        </w:tc>
        <w:tc>
          <w:tcPr>
            <w:tcW w:w="6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(4)</w:t>
            </w:r>
          </w:p>
        </w:tc>
        <w:tc>
          <w:tcPr>
            <w:tcW w:w="1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12.38</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845,199</w:t>
            </w:r>
          </w:p>
        </w:tc>
        <w:tc>
          <w:tcPr>
            <w:tcW w:w="6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26.75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3,008,232</w:t>
            </w: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right="8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includes 568,126 stock options granted under the 2004 Incentive Compensation Plan, as amended (the "Plan"). Also included are 159,538 options granted under the 1997 Stock Option Plan.</w:t>
      </w:r>
    </w:p>
    <w:p>
      <w:pPr>
        <w:ind w:left="260" w:right="220" w:hanging="238"/>
        <w:spacing w:after="0" w:line="220"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Plan as of August 25, 2012. The Plan replaced the 1997 Stock Option Plan effective January 1, 2004. No new grants may be made under the 1997 Stock Option Plan. Any stock options previously granted under the 1997 Stock Option Plan will continue to be exercisable in accordance with their original terms and conditions.</w:t>
      </w:r>
    </w:p>
    <w:p>
      <w:pPr>
        <w:spacing w:after="0" w:line="1" w:lineRule="exact"/>
        <w:rPr>
          <w:rFonts w:ascii="Arial" w:cs="Arial" w:eastAsia="Arial" w:hAnsi="Arial"/>
          <w:sz w:val="18"/>
          <w:szCs w:val="18"/>
          <w:color w:val="auto"/>
          <w:vertAlign w:val="superscript"/>
        </w:rPr>
      </w:pPr>
    </w:p>
    <w:p>
      <w:pPr>
        <w:ind w:left="260" w:right="60" w:hanging="238"/>
        <w:spacing w:after="0" w:line="225"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18, 2012 under the caption "Director Compensation," which information is incorporated by reference herein.</w:t>
      </w:r>
    </w:p>
    <w:p>
      <w:pPr>
        <w:spacing w:after="0" w:line="1" w:lineRule="exact"/>
        <w:rPr>
          <w:rFonts w:ascii="Arial" w:cs="Arial" w:eastAsia="Arial" w:hAnsi="Arial"/>
          <w:sz w:val="18"/>
          <w:szCs w:val="18"/>
          <w:color w:val="auto"/>
          <w:vertAlign w:val="superscript"/>
        </w:rPr>
      </w:pPr>
    </w:p>
    <w:p>
      <w:pPr>
        <w:ind w:left="260" w:right="16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25, 2012 under the Directors' Deferred Compensation Plan.</w:t>
      </w:r>
    </w:p>
    <w:p>
      <w:pPr>
        <w:ind w:left="260" w:right="60" w:hanging="238"/>
        <w:spacing w:after="0" w:line="225"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26, 2006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-7620</wp:posOffset>
            </wp:positionV>
            <wp:extent cx="5969000" cy="3550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0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1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Base Period</w:t>
            </w: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8/25/07</w:t>
            </w: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8/30/08</w:t>
            </w: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8/29/09</w:t>
            </w: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8/28/10</w:t>
            </w: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8/27/11</w:t>
            </w: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8/25/12</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11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100.00</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42.57</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44.03</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34.29</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27.06</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43.01</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180" w:type="dxa"/>
            <w:vAlign w:val="bottom"/>
          </w:tcPr>
          <w:p>
            <w:pPr>
              <w:jc w:val="right"/>
              <w:ind w:right="183"/>
              <w:spacing w:after="0"/>
              <w:rPr>
                <w:sz w:val="20"/>
                <w:szCs w:val="20"/>
                <w:color w:val="auto"/>
              </w:rPr>
            </w:pPr>
            <w:r>
              <w:rPr>
                <w:rFonts w:ascii="Arial" w:cs="Arial" w:eastAsia="Arial" w:hAnsi="Arial"/>
                <w:sz w:val="16"/>
                <w:szCs w:val="16"/>
                <w:color w:val="auto"/>
              </w:rPr>
              <w:t>100.00</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88.57</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72.99</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77.05</w:t>
            </w:r>
          </w:p>
        </w:tc>
        <w:tc>
          <w:tcPr>
            <w:tcW w:w="1120" w:type="dxa"/>
            <w:vAlign w:val="bottom"/>
          </w:tcPr>
          <w:p>
            <w:pPr>
              <w:jc w:val="right"/>
              <w:ind w:right="161"/>
              <w:spacing w:after="0"/>
              <w:rPr>
                <w:sz w:val="20"/>
                <w:szCs w:val="20"/>
                <w:color w:val="auto"/>
              </w:rPr>
            </w:pPr>
            <w:r>
              <w:rPr>
                <w:rFonts w:ascii="Arial" w:cs="Arial" w:eastAsia="Arial" w:hAnsi="Arial"/>
                <w:sz w:val="16"/>
                <w:szCs w:val="16"/>
                <w:color w:val="auto"/>
              </w:rPr>
              <w:t>86.86</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106.38</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11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100.00</w:t>
            </w:r>
          </w:p>
        </w:tc>
        <w:tc>
          <w:tcPr>
            <w:tcW w:w="11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65.93</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61.03</w:t>
            </w:r>
          </w:p>
        </w:tc>
        <w:tc>
          <w:tcPr>
            <w:tcW w:w="11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75.09</w:t>
            </w:r>
          </w:p>
        </w:tc>
        <w:tc>
          <w:tcPr>
            <w:tcW w:w="11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103.08</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156.62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 (See pages 63 and 64)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Executive Overview</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Industry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Company Outlook</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Results of Operations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Analysis of Financial Condition, Liquidity and Capital Resources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Contractual Obligations and Commercial Commitments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Critical Accounting Policies</w:t>
        </w:r>
      </w:hyperlink>
    </w:p>
    <w:p>
      <w:pPr>
        <w:spacing w:after="0" w:line="5" w:lineRule="exact"/>
        <w:rPr>
          <w:rFonts w:ascii="Arial" w:cs="Arial" w:eastAsia="Arial" w:hAnsi="Arial"/>
          <w:sz w:val="16"/>
          <w:szCs w:val="16"/>
          <w:u w:val="single" w:color="auto"/>
          <w:color w:val="0000FF"/>
        </w:rPr>
      </w:pPr>
    </w:p>
    <w:p>
      <w:pPr>
        <w:ind w:left="340" w:hanging="332"/>
        <w:spacing w:after="0"/>
        <w:tabs>
          <w:tab w:leader="none" w:pos="340" w:val="left"/>
        </w:tabs>
        <w:numPr>
          <w:ilvl w:val="0"/>
          <w:numId w:val="6"/>
        </w:numPr>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jc w:val="both"/>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 homes in vertically integrated manufacturing facilities in Iowa and we produce all travel trailer and fifth wheels ("towables") in Indiana. We distribute our products primarily through independent dealers throughout the US and Canada, who then retail the products to the end consumer.</w:t>
      </w:r>
    </w:p>
    <w:p>
      <w:pPr>
        <w:spacing w:after="0" w:line="8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Our retail unit market share, as reported by Stat Surveys, is as follows:</w:t>
      </w:r>
    </w:p>
    <w:p>
      <w:pPr>
        <w:spacing w:after="0" w:line="22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Through August 31</w:t>
            </w:r>
          </w:p>
        </w:tc>
        <w:tc>
          <w:tcPr>
            <w:tcW w:w="1300" w:type="dxa"/>
            <w:vAlign w:val="bottom"/>
          </w:tcPr>
          <w:p>
            <w:pPr>
              <w:spacing w:after="0"/>
              <w:rPr>
                <w:sz w:val="17"/>
                <w:szCs w:val="17"/>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2009</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22.9%</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22.3%</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22.2%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23.7%</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22.9%</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20.0%</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17.6%</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15.2%</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11.4%</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21.7%</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20.2%</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19.5%</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16.6%</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17.5%</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16.6%</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17.5%</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22.7%</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19.7%</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19.0%</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18.8%</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19.1%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16.0%</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7.7%</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15.6%</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18.1%</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tcPr>
          <w:p>
            <w:pPr>
              <w:ind w:left="680"/>
              <w:spacing w:after="0"/>
              <w:rPr>
                <w:sz w:val="20"/>
                <w:szCs w:val="20"/>
                <w:color w:val="auto"/>
              </w:rPr>
            </w:pPr>
            <w:r>
              <w:rPr>
                <w:rFonts w:ascii="Arial" w:cs="Arial" w:eastAsia="Arial" w:hAnsi="Arial"/>
                <w:sz w:val="14"/>
                <w:szCs w:val="14"/>
                <w:b w:val="1"/>
                <w:bCs w:val="1"/>
                <w:color w:val="auto"/>
              </w:rPr>
              <w:t>Through July 31</w:t>
            </w:r>
          </w:p>
        </w:tc>
        <w:tc>
          <w:tcPr>
            <w:tcW w:w="1300" w:type="dxa"/>
            <w:vAlign w:val="bottom"/>
          </w:tcPr>
          <w:p>
            <w:pPr>
              <w:spacing w:after="0"/>
              <w:rPr>
                <w:sz w:val="24"/>
                <w:szCs w:val="24"/>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4"/>
                <w:szCs w:val="24"/>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Motorized:</w:t>
            </w: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2009</w:t>
            </w:r>
          </w:p>
        </w:tc>
      </w:tr>
      <w:tr>
        <w:trPr>
          <w:trHeight w:val="256"/>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14.6%</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14.9%</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13.8%</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16.0%</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18.0%</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9.9%</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7.0%</w:t>
            </w:r>
          </w:p>
        </w:tc>
      </w:tr>
      <w:tr>
        <w:trPr>
          <w:trHeight w:val="257"/>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15.1%</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17.1%</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12.6%</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r>
      <w:tr>
        <w:trPr>
          <w:trHeight w:val="264"/>
        </w:trPr>
        <w:tc>
          <w:tcPr>
            <w:tcW w:w="4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C</w:t>
            </w:r>
          </w:p>
        </w:tc>
        <w:tc>
          <w:tcPr>
            <w:tcW w:w="13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13.1%</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17.0%</w:t>
            </w: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13.8%</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9.5%</w:t>
            </w:r>
          </w:p>
        </w:tc>
      </w:tr>
      <w:tr>
        <w:trPr>
          <w:trHeight w:val="24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14.0%</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16.5%</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13.2%</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9.8%</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11.5%</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7.1%</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4.8%</w:t>
            </w:r>
          </w:p>
        </w:tc>
        <w:tc>
          <w:tcPr>
            <w:tcW w:w="11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2.3%</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3"/>
          </w:tcPr>
          <w:p>
            <w:pPr>
              <w:ind w:left="1160"/>
              <w:spacing w:after="0"/>
              <w:rPr>
                <w:sz w:val="20"/>
                <w:szCs w:val="20"/>
                <w:color w:val="auto"/>
              </w:rPr>
            </w:pPr>
            <w:r>
              <w:rPr>
                <w:rFonts w:ascii="Arial" w:cs="Arial" w:eastAsia="Arial" w:hAnsi="Arial"/>
                <w:sz w:val="14"/>
                <w:szCs w:val="14"/>
                <w:b w:val="1"/>
                <w:bCs w:val="1"/>
                <w:color w:val="auto"/>
              </w:rPr>
              <w:t>Through July 31</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39"/>
        </w:trPr>
        <w:tc>
          <w:tcPr>
            <w:tcW w:w="6260" w:type="dxa"/>
            <w:vAlign w:val="bottom"/>
            <w:gridSpan w:val="2"/>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8"/>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Retail Towables: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0.6%</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64"/>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Through July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Calendar Year</w:t>
            </w:r>
          </w:p>
        </w:tc>
      </w:tr>
      <w:tr>
        <w:trPr>
          <w:trHeight w:val="25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 Retail Towables:</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2011</w:t>
            </w:r>
          </w:p>
        </w:tc>
      </w:tr>
      <w:tr>
        <w:trPr>
          <w:trHeight w:val="256"/>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64"/>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0.5%</w:t>
            </w:r>
          </w:p>
        </w:tc>
      </w:tr>
      <w:tr>
        <w:trPr>
          <w:trHeight w:val="24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0.4%</w:t>
            </w: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ectPr>
          <w:pgSz w:w="11900" w:h="16838" w:orient="portrait"/>
          <w:cols w:equalWidth="0" w:num="1">
            <w:col w:w="11420"/>
          </w:cols>
          <w:pgMar w:left="240" w:top="141" w:right="239" w:bottom="1440" w:gutter="0" w:footer="0" w:header="0"/>
        </w:sectPr>
      </w:pPr>
    </w:p>
    <w:p>
      <w:pPr>
        <w:spacing w:after="0" w:line="23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196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0"/>
        </w:trPr>
        <w:tc>
          <w:tcPr>
            <w:tcW w:w="562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Class A, B &amp; C Motor 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r>
      <w:tr>
        <w:trPr>
          <w:trHeight w:val="244"/>
        </w:trPr>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auto"/>
              </w:rPr>
              <w:t>Wholesale</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r>
      <w:tr>
        <w:trPr>
          <w:trHeight w:val="276"/>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Deliveries</w:t>
            </w: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Backlog</w:t>
            </w:r>
          </w:p>
        </w:tc>
      </w:tr>
      <w:tr>
        <w:trPr>
          <w:trHeight w:val="256"/>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1,115</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2,066</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909</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796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2,179</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905</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151</w:t>
            </w: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1,283</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2,068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1,028</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w:t>
            </w:r>
          </w:p>
        </w:tc>
      </w:tr>
      <w:tr>
        <w:trPr>
          <w:trHeight w:val="264"/>
        </w:trPr>
        <w:tc>
          <w:tcPr>
            <w:tcW w:w="19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1,088</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1,198</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1,958</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420</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966</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293</w:t>
            </w: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Fiscal 2011</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4,395</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4,481</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769</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723</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14"/>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1,040</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1,053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1,146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460</w:t>
            </w:r>
          </w:p>
        </w:tc>
      </w:tr>
      <w:tr>
        <w:trPr>
          <w:trHeight w:val="280"/>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1,001</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2,074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562</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1,376</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w:t>
            </w:r>
          </w:p>
        </w:tc>
      </w:tr>
      <w:tr>
        <w:trPr>
          <w:trHeight w:val="26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Q3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1,414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1,940</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646</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652</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1,370</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505</w:t>
            </w:r>
          </w:p>
        </w:tc>
      </w:tr>
      <w:tr>
        <w:trPr>
          <w:trHeight w:val="273"/>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1,321</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r>
      <w:tr>
        <w:trPr>
          <w:trHeight w:val="240"/>
        </w:trPr>
        <w:tc>
          <w:tcPr>
            <w:tcW w:w="1960" w:type="dxa"/>
            <w:vAlign w:val="bottom"/>
            <w:gridSpan w:val="3"/>
          </w:tcPr>
          <w:p>
            <w:pPr>
              <w:ind w:left="40"/>
              <w:spacing w:after="0"/>
              <w:rPr>
                <w:sz w:val="20"/>
                <w:szCs w:val="20"/>
                <w:color w:val="auto"/>
              </w:rPr>
            </w:pPr>
            <w:r>
              <w:rPr>
                <w:rFonts w:ascii="Arial" w:cs="Arial" w:eastAsia="Arial" w:hAnsi="Arial"/>
                <w:sz w:val="16"/>
                <w:szCs w:val="16"/>
                <w:color w:val="auto"/>
              </w:rPr>
              <w:t>Fiscal 2012</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4,642</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4,673</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1,939</w:t>
            </w: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Highlights of Fiscal 2012: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Revenues were higher for Fiscal 2012 as compared to Fiscal 2011 with increased motor home and towable deliveries and</w:t>
      </w:r>
    </w:p>
    <w:p>
      <w:pPr>
        <w:spacing w:after="0" w:line="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increased average selling prices for all RV products due to the mix of higher priced products delivered. Operating income for Fiscal 2012 was lower as compared to the prior period most notably due to increased inflationary pressures and higher discounts incurred during the first half of Fiscal 2012 and the fact that Fiscal 2011 results included a $3.5 million pre-tax benefit from the results of an annual physical inventory of work-in-process, due to lower actual inventory scrap and production loss. Quarterly results for the past two fiscal years are illustrated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8"/>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ind w:left="46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9"/>
                <w:szCs w:val="19"/>
                <w:color w:val="auto"/>
              </w:rPr>
            </w:pPr>
          </w:p>
        </w:tc>
        <w:tc>
          <w:tcPr>
            <w:tcW w:w="1820" w:type="dxa"/>
            <w:vAlign w:val="bottom"/>
            <w:gridSpan w:val="4"/>
          </w:tcPr>
          <w:p>
            <w:pPr>
              <w:ind w:left="300"/>
              <w:spacing w:after="0"/>
              <w:rPr>
                <w:sz w:val="20"/>
                <w:szCs w:val="20"/>
                <w:color w:val="auto"/>
              </w:rPr>
            </w:pPr>
            <w:r>
              <w:rPr>
                <w:rFonts w:ascii="Arial" w:cs="Arial" w:eastAsia="Arial" w:hAnsi="Arial"/>
                <w:sz w:val="16"/>
                <w:szCs w:val="16"/>
                <w:b w:val="1"/>
                <w:bCs w:val="1"/>
                <w:color w:val="auto"/>
              </w:rPr>
              <w:t>Gross Profit</w:t>
            </w:r>
          </w:p>
        </w:tc>
        <w:tc>
          <w:tcPr>
            <w:tcW w:w="2160" w:type="dxa"/>
            <w:vAlign w:val="bottom"/>
            <w:gridSpan w:val="3"/>
          </w:tcPr>
          <w:p>
            <w:pPr>
              <w:ind w:left="52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Income (Loss)</w:t>
            </w:r>
          </w:p>
        </w:tc>
        <w:tc>
          <w:tcPr>
            <w:tcW w:w="21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Operating Margin</w:t>
            </w:r>
          </w:p>
        </w:tc>
      </w:tr>
      <w:tr>
        <w:trPr>
          <w:trHeight w:val="251"/>
        </w:trPr>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2012</w:t>
            </w: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9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2011</w:t>
            </w:r>
          </w:p>
        </w:tc>
      </w:tr>
      <w:tr>
        <w:trPr>
          <w:trHeight w:val="256"/>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131,837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123,711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11,199</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0.5 %</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60"/>
        </w:trPr>
        <w:tc>
          <w:tcPr>
            <w:tcW w:w="106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131,600</w:t>
            </w: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106,593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6,846</w:t>
            </w: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11,324</w:t>
            </w:r>
          </w:p>
        </w:tc>
        <w:tc>
          <w:tcPr>
            <w:tcW w:w="12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(1,164)</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(0.9)%</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w:t>
            </w:r>
          </w:p>
        </w:tc>
      </w:tr>
      <w:tr>
        <w:trPr>
          <w:trHeight w:val="280"/>
        </w:trPr>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155,709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2.3 %</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r>
        <w:trPr>
          <w:trHeight w:val="26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162,533</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16,267</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6,536</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4.0 %</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r>
      <w:tr>
        <w:trPr>
          <w:trHeight w:val="24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581,679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496,418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43,680</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7.5%</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1.6 %</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r>
      <w:tr>
        <w:trPr>
          <w:trHeight w:val="20"/>
        </w:trPr>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Overall business started off weak in the first two quarters of Fiscal 2012, similar to the last two quarters of Fiscal 2011. As a result, our first quarter operating margin was negatively impacted by lower plant utilization due to shortened work weeks and our second quarter was negatively impacted by a higher level of discounts and sales incentives incurred. However, we saw marked improvement in motor home product demand in the second half of Fiscal 2012, through increased sales orders and retail registration activity, thus we began to increase our weekly production rate in the third and fourth quarters in response. The growth in motor home unit shipments of 5.6% in Fiscal 2012 occurred primarily as a result of increased deliveries in our fourth fiscal quarter. This overall growth is supported by increased retail demand experienced in Fiscal 2012.</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Fiscal 2012, Towables generated operating loss of $744,000 compared to an operating loss of $1.5 million in Fiscal 2011. Notably, we encountered operational challenges with this subsidiary in the fourth quarter of 2012 after reporting its first operationally profitable quarter for the third fiscal quarter. We are working to correct the operational headwinds through personnel and process changes and still believe this subsidiary can provide significant growth opportunity in future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 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US and Canada Industry Class A, B &amp; C Motor Homes</w:t>
            </w:r>
          </w:p>
        </w:tc>
        <w:tc>
          <w:tcPr>
            <w:tcW w:w="1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Calendar Year</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Calendar Year</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Increase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2010</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(Decrease)</w:t>
            </w: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5,700</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5,100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00" w:type="dxa"/>
            <w:vAlign w:val="bottom"/>
          </w:tcPr>
          <w:p>
            <w:pPr>
              <w:ind w:left="40"/>
              <w:spacing w:after="0"/>
              <w:rPr>
                <w:sz w:val="20"/>
                <w:szCs w:val="20"/>
                <w:color w:val="auto"/>
              </w:rPr>
            </w:pPr>
            <w:r>
              <w:rPr>
                <w:rFonts w:ascii="Arial" w:cs="Arial" w:eastAsia="Arial" w:hAnsi="Arial"/>
                <w:sz w:val="16"/>
                <w:szCs w:val="16"/>
                <w:color w:val="auto"/>
              </w:rPr>
              <w:t>Q2</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7,800</w:t>
            </w:r>
          </w:p>
        </w:tc>
        <w:tc>
          <w:tcPr>
            <w:tcW w:w="36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7,800</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8,200</w:t>
            </w:r>
          </w:p>
        </w:tc>
        <w:tc>
          <w:tcPr>
            <w:tcW w:w="4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8,400</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(200)</w:t>
            </w: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5,300</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6,200</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6,100</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6,100</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4,800</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5,500</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4,600</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4,600</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24,800</w:t>
            </w: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25,200</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24,000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24,100</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rPr>
              <w:t>Increase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Increase</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(Decrease)</w:t>
            </w: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(Decrease)</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6,900</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5,700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7,600</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7,800</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8,100</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8,200</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0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1,700</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2,500</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0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2,500</w:t>
            </w:r>
          </w:p>
        </w:tc>
        <w:tc>
          <w:tcPr>
            <w:tcW w:w="36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1,900</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600</w:t>
            </w:r>
          </w:p>
        </w:tc>
        <w:tc>
          <w:tcPr>
            <w:tcW w:w="1020" w:type="dxa"/>
            <w:vAlign w:val="bottom"/>
          </w:tcPr>
          <w:p>
            <w:pPr>
              <w:jc w:val="right"/>
              <w:spacing w:after="0"/>
              <w:rPr>
                <w:sz w:val="20"/>
                <w:szCs w:val="20"/>
                <w:color w:val="auto"/>
              </w:rPr>
            </w:pPr>
            <w:r>
              <w:rPr>
                <w:rFonts w:ascii="Arial" w:cs="Arial" w:eastAsia="Arial" w:hAnsi="Arial"/>
                <w:sz w:val="16"/>
                <w:szCs w:val="16"/>
                <w:color w:val="auto"/>
              </w:rPr>
              <w:t>31.6 %</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1,900</w:t>
            </w: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10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1,700</w:t>
            </w:r>
          </w:p>
        </w:tc>
        <w:tc>
          <w:tcPr>
            <w:tcW w:w="12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200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10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10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6,400</w:t>
            </w: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auto"/>
              </w:rPr>
              <w:t>5,300</w:t>
            </w:r>
          </w:p>
        </w:tc>
        <w:tc>
          <w:tcPr>
            <w:tcW w:w="1260" w:type="dxa"/>
            <w:vAlign w:val="bottom"/>
            <w:vMerge w:val="restart"/>
          </w:tcPr>
          <w:p>
            <w:pPr>
              <w:jc w:val="right"/>
              <w:ind w:right="279"/>
              <w:spacing w:after="0"/>
              <w:rPr>
                <w:sz w:val="20"/>
                <w:szCs w:val="20"/>
                <w:color w:val="auto"/>
              </w:rPr>
            </w:pPr>
            <w:r>
              <w:rPr>
                <w:rFonts w:ascii="Arial" w:cs="Arial" w:eastAsia="Arial" w:hAnsi="Arial"/>
                <w:sz w:val="16"/>
                <w:szCs w:val="16"/>
                <w:color w:val="auto"/>
              </w:rPr>
              <w:t>1,100</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6,100</w:t>
            </w: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1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10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5,100</w:t>
            </w: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4,800</w:t>
            </w:r>
          </w:p>
        </w:tc>
        <w:tc>
          <w:tcPr>
            <w:tcW w:w="12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300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4,600</w:t>
            </w:r>
          </w:p>
        </w:tc>
        <w:tc>
          <w:tcPr>
            <w:tcW w:w="1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100" w:type="dxa"/>
            <w:vAlign w:val="bottom"/>
            <w:tcBorders>
              <w:left w:val="single" w:sz="8" w:color="CCEEFF"/>
            </w:tcBorders>
            <w:vMerge w:val="continue"/>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vMerge w:val="continue"/>
            <w:shd w:val="clear" w:color="auto" w:fill="CCEEFF"/>
          </w:tcPr>
          <w:p>
            <w:pPr>
              <w:spacing w:after="0"/>
              <w:rPr>
                <w:sz w:val="9"/>
                <w:szCs w:val="9"/>
                <w:color w:val="auto"/>
              </w:rPr>
            </w:pPr>
          </w:p>
        </w:tc>
        <w:tc>
          <w:tcPr>
            <w:tcW w:w="1260" w:type="dxa"/>
            <w:vAlign w:val="bottom"/>
            <w:tcBorders>
              <w:bottom w:val="single" w:sz="8" w:color="auto"/>
            </w:tcBorders>
            <w:vMerge w:val="continue"/>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100" w:type="dxa"/>
            <w:vAlign w:val="bottom"/>
          </w:tcPr>
          <w:p>
            <w:pPr>
              <w:ind w:left="4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w:t>
            </w:r>
          </w:p>
        </w:tc>
        <w:tc>
          <w:tcPr>
            <w:tcW w:w="3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24,800</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24,000</w:t>
            </w: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 rounded to the nearest hundred.</w:t>
      </w: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 rounded to the nearest hundred.</w:t>
      </w:r>
    </w:p>
    <w:p>
      <w:pPr>
        <w:ind w:left="340" w:right="220" w:hanging="332"/>
        <w:spacing w:after="0" w:line="22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2012 Class A, B and C wholesale shipments for September and the third and fourth calendar quarters are based upon the forecast prepared by Dr. Richard Curtin of the University of Michigan Consumer Survey Research Center for RVIA and reported in the RoadSigns RV Fall 2012 Industry Forecast Issue. The revised RVIA annual 2012 wholesale shipment forecast is 25,100 and the annual forecast for 2013 is 25,500.</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U.S. retail registrations for Class A, B and C for August, 2012. Canadian retail registrations are not yet available.</w:t>
      </w:r>
    </w:p>
    <w:p>
      <w:pPr>
        <w:ind w:left="340" w:hanging="332"/>
        <w:spacing w:after="0" w:line="19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2012 retail demand for this period.</w:t>
      </w:r>
    </w:p>
    <w:p>
      <w:pPr>
        <w:spacing w:after="0" w:line="17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size of the motorized retail market for each of the past three calendar years has been less than half of what the industry norms had been prior to the recession that began in December 2007.</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Wholesale Shipments</w:t>
            </w:r>
            <w:r>
              <w:rPr>
                <w:rFonts w:ascii="Arial" w:cs="Arial" w:eastAsia="Arial" w:hAnsi="Arial"/>
                <w:sz w:val="21"/>
                <w:szCs w:val="21"/>
                <w:b w:val="1"/>
                <w:bCs w:val="1"/>
                <w:color w:val="auto"/>
                <w:vertAlign w:val="superscript"/>
              </w:rPr>
              <w:t>(1)</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Calendar Year</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ind w:left="220"/>
              <w:spacing w:after="0"/>
              <w:rPr>
                <w:sz w:val="20"/>
                <w:szCs w:val="20"/>
                <w:color w:val="auto"/>
              </w:rPr>
            </w:pPr>
            <w:r>
              <w:rPr>
                <w:rFonts w:ascii="Arial" w:cs="Arial" w:eastAsia="Arial" w:hAnsi="Arial"/>
                <w:sz w:val="16"/>
                <w:szCs w:val="16"/>
                <w:b w:val="1"/>
                <w:bCs w:val="1"/>
                <w:color w:val="auto"/>
              </w:rPr>
              <w:t>Increase</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2010</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54,200</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49,300</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33,400</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31,100</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Q2</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66,000</w:t>
            </w:r>
          </w:p>
        </w:tc>
        <w:tc>
          <w:tcPr>
            <w:tcW w:w="3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62,300</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3,700</w:t>
            </w:r>
          </w:p>
        </w:tc>
        <w:tc>
          <w:tcPr>
            <w:tcW w:w="980" w:type="dxa"/>
            <w:vAlign w:val="bottom"/>
          </w:tcPr>
          <w:p>
            <w:pPr>
              <w:jc w:val="right"/>
              <w:spacing w:after="0"/>
              <w:rPr>
                <w:sz w:val="20"/>
                <w:szCs w:val="20"/>
                <w:color w:val="auto"/>
              </w:rPr>
            </w:pPr>
            <w:r>
              <w:rPr>
                <w:rFonts w:ascii="Arial" w:cs="Arial" w:eastAsia="Arial" w:hAnsi="Arial"/>
                <w:sz w:val="16"/>
                <w:szCs w:val="16"/>
                <w:color w:val="auto"/>
              </w:rPr>
              <w:t>5.9 %</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75,000</w:t>
            </w: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69,400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5,600</w:t>
            </w: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47,500</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48,600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59,400</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57,200</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45,200</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6,200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15.9 %</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29,500</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28,300</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2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212,900</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199,200</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13,700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197,300</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186,000</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2011</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60,400</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54,200</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38,600</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33,400</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71,100</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66,000</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5,100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79,000</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75,000</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19,600</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15,100</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22,900</w:t>
            </w: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21,000</w:t>
            </w:r>
          </w:p>
        </w:tc>
        <w:tc>
          <w:tcPr>
            <w:tcW w:w="36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18,100</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2,900</w:t>
            </w:r>
          </w:p>
        </w:tc>
        <w:tc>
          <w:tcPr>
            <w:tcW w:w="980" w:type="dxa"/>
            <w:vAlign w:val="bottom"/>
          </w:tcPr>
          <w:p>
            <w:pPr>
              <w:jc w:val="right"/>
              <w:spacing w:after="0"/>
              <w:rPr>
                <w:sz w:val="20"/>
                <w:szCs w:val="20"/>
                <w:color w:val="auto"/>
              </w:rPr>
            </w:pPr>
            <w:r>
              <w:rPr>
                <w:rFonts w:ascii="Arial" w:cs="Arial" w:eastAsia="Arial" w:hAnsi="Arial"/>
                <w:sz w:val="16"/>
                <w:szCs w:val="16"/>
                <w:color w:val="auto"/>
              </w:rPr>
              <w:t>16.0 %</w:t>
            </w:r>
          </w:p>
        </w:tc>
        <w:tc>
          <w:tcPr>
            <w:tcW w:w="1080" w:type="dxa"/>
            <w:vAlign w:val="bottom"/>
          </w:tcPr>
          <w:p>
            <w:pPr>
              <w:spacing w:after="0"/>
              <w:rPr>
                <w:sz w:val="22"/>
                <w:szCs w:val="22"/>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20,900</w:t>
            </w: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16,500</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14,300</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2,200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16,000</w:t>
            </w:r>
          </w:p>
        </w:tc>
        <w:tc>
          <w:tcPr>
            <w:tcW w:w="1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57,100</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47,500</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9,600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20.2 %</w:t>
            </w:r>
          </w:p>
        </w:tc>
        <w:tc>
          <w:tcPr>
            <w:tcW w:w="1080" w:type="dxa"/>
            <w:vAlign w:val="bottom"/>
          </w:tcPr>
          <w:p>
            <w:pPr>
              <w:spacing w:after="0"/>
              <w:rPr>
                <w:sz w:val="13"/>
                <w:szCs w:val="13"/>
                <w:color w:val="auto"/>
              </w:rPr>
            </w:pPr>
          </w:p>
        </w:tc>
        <w:tc>
          <w:tcPr>
            <w:tcW w:w="4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59,400</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48,200</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45,200</w:t>
            </w:r>
          </w:p>
        </w:tc>
        <w:tc>
          <w:tcPr>
            <w:tcW w:w="11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3,000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29,500</w:t>
            </w:r>
          </w:p>
        </w:tc>
        <w:tc>
          <w:tcPr>
            <w:tcW w:w="1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CCEEFF"/>
            </w:tcBorders>
            <w:vMerge w:val="continue"/>
            <w:shd w:val="clear" w:color="auto" w:fill="CCEEFF"/>
          </w:tcPr>
          <w:p>
            <w:pPr>
              <w:spacing w:after="0"/>
              <w:rPr>
                <w:sz w:val="9"/>
                <w:szCs w:val="9"/>
                <w:color w:val="auto"/>
              </w:rPr>
            </w:pPr>
          </w:p>
        </w:tc>
        <w:tc>
          <w:tcPr>
            <w:tcW w:w="90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98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236,800</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100" w:type="dxa"/>
            <w:vAlign w:val="bottom"/>
            <w:vMerge w:val="restart"/>
          </w:tcPr>
          <w:p>
            <w:pPr>
              <w:jc w:val="right"/>
              <w:ind w:right="59"/>
              <w:spacing w:after="0"/>
              <w:rPr>
                <w:sz w:val="20"/>
                <w:szCs w:val="20"/>
                <w:color w:val="auto"/>
              </w:rPr>
            </w:pPr>
            <w:r>
              <w:rPr>
                <w:rFonts w:ascii="Arial" w:cs="Arial" w:eastAsia="Arial" w:hAnsi="Arial"/>
                <w:sz w:val="16"/>
                <w:szCs w:val="16"/>
                <w:color w:val="auto"/>
              </w:rPr>
              <w:t>212,900</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23,900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11.2 %</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197,300</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 rounded to the nearest hundred.</w:t>
      </w:r>
    </w:p>
    <w:p>
      <w:pPr>
        <w:ind w:left="340" w:hanging="332"/>
        <w:spacing w:after="0" w:line="199"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 rounded to the nearest hundred.</w:t>
      </w:r>
    </w:p>
    <w:p>
      <w:pPr>
        <w:sectPr>
          <w:pgSz w:w="11900" w:h="16838" w:orient="portrait"/>
          <w:cols w:equalWidth="0" w:num="1">
            <w:col w:w="11440"/>
          </w:cols>
          <w:pgMar w:left="240" w:top="141" w:right="219" w:bottom="849" w:gutter="0" w:footer="0" w:header="0"/>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141" w:right="219" w:bottom="849"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51" w:lineRule="exact"/>
        <w:rPr>
          <w:sz w:val="20"/>
          <w:szCs w:val="20"/>
          <w:color w:val="auto"/>
        </w:rPr>
      </w:pPr>
    </w:p>
    <w:p>
      <w:pPr>
        <w:ind w:left="340" w:right="260" w:hanging="332"/>
        <w:spacing w:after="0" w:line="220"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2012 towable wholesale shipments for September and the third and fourth calendar quarters are based upon the forecast prepared by Dr. Richard Curtin of the University of Michigan Consumer Survey Research Center for RVIA and reported in the RoadSigns RV Fall 2012 Industry Forecast Issue. The revised annual 2012 wholesale shipment forecast is 234,700 and the annual forecast for 2013 is 238,400.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Statistical Surveys has not issued a projection for 2012 retail demand for this period.</w:t>
      </w:r>
    </w:p>
    <w:p>
      <w:pPr>
        <w:spacing w:after="0" w:line="17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towable retail market has not been as negatively impacted in recent years as the motorized market. The size of the towable market was nearly nine times larger than the motorized market on a unit basis in Calendar 2011. This is primarily due to the fact that average price of a towable unit is considerably less than a motor home.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268"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Based on our profitable operating results in Fiscal 2012 and Fiscal 2011, we believe that we have demonstrated our ability to maintain our liquidity, cover operations costs, recover fixed assets, and maintain physical capacity at present levels. Now that we have entered into the towable market, we have the potential to grow revenues and earnings in a market significantly larger than the motorized market.</w:t>
      </w:r>
    </w:p>
    <w:p>
      <w:pPr>
        <w:spacing w:after="0" w:line="6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evidenced in the table below, our sales order backlog at the end of Fiscal 2012 significantly increased as compared to the end of Fiscal 2011. It has also increased sequentially from the end of our Fiscal 2012 third quarter, as previously illustrated. We believe the increase is a result of the positive dealer response to our new 2013 model year products introduced in late spring and increased retail registration activity of our products this past summer. As a result of the improved demand, we ramped up production throughout the fourth quarter of Fiscal 2012. We will continue to increase production during Fiscal 2013 to meet the growing demand for our products, while managing constraints as they present themselves in relation to labor and component parts.</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believe that the level of our dealer inventory at the end of Fiscal 2012 is lower than what it should be given the improved retail demand and increased sales order backlog of our product.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20"/>
                <w:szCs w:val="20"/>
                <w:color w:val="auto"/>
              </w:rPr>
            </w:pPr>
            <w:r>
              <w:rPr>
                <w:rFonts w:ascii="Arial" w:cs="Arial" w:eastAsia="Arial" w:hAnsi="Arial"/>
                <w:sz w:val="16"/>
                <w:szCs w:val="16"/>
                <w:color w:val="auto"/>
              </w:rPr>
              <w:t>Our unit order backlog was as follows:</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1"/>
        </w:trPr>
        <w:tc>
          <w:tcPr>
            <w:tcW w:w="3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As Of</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380" w:type="dxa"/>
            <w:vAlign w:val="bottom"/>
          </w:tcPr>
          <w:p>
            <w:pPr>
              <w:spacing w:after="0"/>
              <w:rPr>
                <w:sz w:val="19"/>
                <w:szCs w:val="19"/>
                <w:color w:val="auto"/>
              </w:rPr>
            </w:pPr>
          </w:p>
        </w:tc>
        <w:tc>
          <w:tcPr>
            <w:tcW w:w="2380" w:type="dxa"/>
            <w:vAlign w:val="bottom"/>
            <w:gridSpan w:val="3"/>
          </w:tcPr>
          <w:p>
            <w:pPr>
              <w:ind w:left="300"/>
              <w:spacing w:after="0"/>
              <w:rPr>
                <w:sz w:val="20"/>
                <w:szCs w:val="20"/>
                <w:color w:val="auto"/>
              </w:rPr>
            </w:pPr>
            <w:r>
              <w:rPr>
                <w:rFonts w:ascii="Arial" w:cs="Arial" w:eastAsia="Arial" w:hAnsi="Arial"/>
                <w:sz w:val="16"/>
                <w:szCs w:val="16"/>
                <w:b w:val="1"/>
                <w:bCs w:val="1"/>
                <w:color w:val="auto"/>
              </w:rPr>
              <w:t>August 25, 2012</w:t>
            </w:r>
          </w:p>
        </w:tc>
        <w:tc>
          <w:tcPr>
            <w:tcW w:w="360" w:type="dxa"/>
            <w:vAlign w:val="bottom"/>
          </w:tcPr>
          <w:p>
            <w:pPr>
              <w:spacing w:after="0"/>
              <w:rPr>
                <w:sz w:val="19"/>
                <w:szCs w:val="19"/>
                <w:color w:val="auto"/>
              </w:rPr>
            </w:pPr>
          </w:p>
        </w:tc>
        <w:tc>
          <w:tcPr>
            <w:tcW w:w="2300" w:type="dxa"/>
            <w:vAlign w:val="bottom"/>
            <w:gridSpan w:val="3"/>
          </w:tcPr>
          <w:p>
            <w:pPr>
              <w:ind w:left="320"/>
              <w:spacing w:after="0"/>
              <w:rPr>
                <w:sz w:val="20"/>
                <w:szCs w:val="20"/>
                <w:color w:val="auto"/>
              </w:rPr>
            </w:pPr>
            <w:r>
              <w:rPr>
                <w:rFonts w:ascii="Arial" w:cs="Arial" w:eastAsia="Arial" w:hAnsi="Arial"/>
                <w:sz w:val="16"/>
                <w:szCs w:val="16"/>
                <w:b w:val="1"/>
                <w:bCs w:val="1"/>
                <w:color w:val="auto"/>
              </w:rPr>
              <w:t>August 27, 2011</w:t>
            </w:r>
          </w:p>
        </w:tc>
        <w:tc>
          <w:tcPr>
            <w:tcW w:w="20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43.6%</w:t>
            </w:r>
          </w:p>
        </w:tc>
        <w:tc>
          <w:tcPr>
            <w:tcW w:w="2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412</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179.1 %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22.6%</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156</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88.1 %</w:t>
            </w: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66.2%</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568</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139.6 %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3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47</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66.2 %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25.8%</w:t>
            </w:r>
          </w:p>
        </w:tc>
        <w:tc>
          <w:tcPr>
            <w:tcW w:w="2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177</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87.2 %</w:t>
            </w:r>
          </w:p>
        </w:tc>
      </w:tr>
      <w:tr>
        <w:trPr>
          <w:trHeight w:val="283"/>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1,473</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792</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116.3 %</w:t>
            </w:r>
          </w:p>
        </w:tc>
      </w:tr>
      <w:tr>
        <w:trPr>
          <w:trHeight w:val="251"/>
        </w:trPr>
        <w:tc>
          <w:tcPr>
            <w:tcW w:w="3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74.5%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119</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63.6 %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83"/>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118</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40.3 %</w:t>
            </w:r>
          </w:p>
        </w:tc>
      </w:tr>
      <w:tr>
        <w:trPr>
          <w:trHeight w:val="251"/>
        </w:trPr>
        <w:tc>
          <w:tcPr>
            <w:tcW w:w="3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Approximate backlog revenue in thousands</w:t>
            </w: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163,725</w:t>
            </w: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74,704</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89,021</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119.2 %</w:t>
            </w:r>
          </w:p>
        </w:tc>
      </w:tr>
      <w:tr>
        <w:trPr>
          <w:trHeight w:val="251"/>
        </w:trPr>
        <w:tc>
          <w:tcPr>
            <w:tcW w:w="3160" w:type="dxa"/>
            <w:vAlign w:val="bottom"/>
          </w:tcPr>
          <w:p>
            <w:pPr>
              <w:ind w:left="40"/>
              <w:spacing w:after="0"/>
              <w:rPr>
                <w:sz w:val="20"/>
                <w:szCs w:val="20"/>
                <w:color w:val="auto"/>
              </w:rPr>
            </w:pPr>
            <w:r>
              <w:rPr>
                <w:rFonts w:ascii="Arial" w:cs="Arial" w:eastAsia="Arial" w:hAnsi="Arial"/>
                <w:sz w:val="16"/>
                <w:szCs w:val="16"/>
                <w:color w:val="auto"/>
              </w:rPr>
              <w:t>Towable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8,776</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6,669</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2,107</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31.6 %</w:t>
            </w: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usually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2012 Compared to Fiscal 2011</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25, 2012 compared to the fiscal year ended August 27,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20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25,</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2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581,679</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496,418</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85,261</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17.8 %</w:t>
            </w:r>
          </w:p>
        </w:tc>
      </w:tr>
      <w:tr>
        <w:trPr>
          <w:trHeight w:val="23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537,999</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92.5 %</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456,664</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92.0 %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81,335</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17.8 %</w:t>
            </w: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43,680</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39,754</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3,926</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9.9 %</w:t>
            </w:r>
          </w:p>
        </w:tc>
      </w:tr>
      <w:tr>
        <w:trPr>
          <w:trHeight w:val="284"/>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16,837</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14,251</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2,586</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18.1 %</w:t>
            </w: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17,267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14,263</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2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3,004</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21.1 %</w:t>
            </w:r>
          </w:p>
        </w:tc>
      </w:tr>
      <w:tr>
        <w:trPr>
          <w:trHeight w:val="22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impairment and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net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89</w:t>
            </w: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34,154</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28,475</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5,679</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19.9 %</w:t>
            </w:r>
          </w:p>
        </w:tc>
      </w:tr>
      <w:tr>
        <w:trPr>
          <w:trHeight w:val="284"/>
        </w:trPr>
        <w:tc>
          <w:tcPr>
            <w:tcW w:w="2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9,526</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1.6 %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11,279</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2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(1,753)</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4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581</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658</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(77)</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r>
      <w:tr>
        <w:trPr>
          <w:trHeight w:val="233"/>
        </w:trPr>
        <w:tc>
          <w:tcPr>
            <w:tcW w:w="27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10,107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1.7 %</w:t>
            </w:r>
          </w:p>
        </w:tc>
        <w:tc>
          <w:tcPr>
            <w:tcW w:w="1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11,937</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200" w:type="dxa"/>
            <w:vAlign w:val="bottom"/>
          </w:tcPr>
          <w:p>
            <w:pPr>
              <w:spacing w:after="0"/>
              <w:rPr>
                <w:sz w:val="20"/>
                <w:szCs w:val="20"/>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(1,830)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(15.3)%</w:t>
            </w:r>
          </w:p>
        </w:tc>
      </w:tr>
      <w:tr>
        <w:trPr>
          <w:trHeight w:val="24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taxes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(34,865)</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(34,959)</w:t>
            </w: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8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44,972</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11,843</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33,129</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279.7 %</w:t>
            </w: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w:t>
            </w:r>
          </w:p>
        </w:tc>
        <w:tc>
          <w:tcPr>
            <w:tcW w:w="1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0.41</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1.13</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275.6 %</w:t>
            </w: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29,207</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29,148</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Year Ended</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25,</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Product</w:t>
            </w:r>
          </w:p>
        </w:tc>
        <w:tc>
          <w:tcPr>
            <w:tcW w:w="28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w:t>
            </w: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17"/>
                <w:szCs w:val="17"/>
                <w:color w:val="auto"/>
              </w:rPr>
            </w:pPr>
          </w:p>
        </w:tc>
        <w:tc>
          <w:tcPr>
            <w:tcW w:w="1380" w:type="dxa"/>
            <w:vAlign w:val="bottom"/>
          </w:tcPr>
          <w:p>
            <w:pPr>
              <w:jc w:val="right"/>
              <w:ind w:right="438"/>
              <w:spacing w:after="0"/>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24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3"/>
        </w:trPr>
        <w:tc>
          <w:tcPr>
            <w:tcW w:w="278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1,648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35.5%</w:t>
            </w:r>
          </w:p>
        </w:tc>
        <w:tc>
          <w:tcPr>
            <w:tcW w:w="2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1,518</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34.5%</w:t>
            </w:r>
          </w:p>
        </w:tc>
        <w:tc>
          <w:tcPr>
            <w:tcW w:w="360" w:type="dxa"/>
            <w:vAlign w:val="bottom"/>
          </w:tcPr>
          <w:p>
            <w:pPr>
              <w:spacing w:after="0"/>
              <w:rPr>
                <w:sz w:val="20"/>
                <w:szCs w:val="20"/>
                <w:color w:val="auto"/>
              </w:rPr>
            </w:pPr>
          </w:p>
        </w:tc>
        <w:tc>
          <w:tcPr>
            <w:tcW w:w="1380" w:type="dxa"/>
            <w:vAlign w:val="bottom"/>
          </w:tcPr>
          <w:p>
            <w:pPr>
              <w:jc w:val="right"/>
              <w:ind w:right="338"/>
              <w:spacing w:after="0"/>
              <w:rPr>
                <w:sz w:val="20"/>
                <w:szCs w:val="20"/>
                <w:color w:val="auto"/>
              </w:rPr>
            </w:pPr>
            <w:r>
              <w:rPr>
                <w:rFonts w:ascii="Arial" w:cs="Arial" w:eastAsia="Arial" w:hAnsi="Arial"/>
                <w:sz w:val="16"/>
                <w:szCs w:val="16"/>
                <w:color w:val="auto"/>
              </w:rPr>
              <w:t>130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8.6 %</w:t>
            </w:r>
          </w:p>
        </w:tc>
      </w:tr>
      <w:tr>
        <w:trPr>
          <w:trHeight w:val="246"/>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931</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918</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13</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1.4 %</w:t>
            </w:r>
          </w:p>
        </w:tc>
      </w:tr>
      <w:tr>
        <w:trPr>
          <w:trHeight w:val="233"/>
        </w:trPr>
        <w:tc>
          <w:tcPr>
            <w:tcW w:w="278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2,579</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55.6%</w:t>
            </w:r>
          </w:p>
        </w:tc>
        <w:tc>
          <w:tcPr>
            <w:tcW w:w="2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2,436</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55.4%</w:t>
            </w:r>
          </w:p>
        </w:tc>
        <w:tc>
          <w:tcPr>
            <w:tcW w:w="360" w:type="dxa"/>
            <w:vAlign w:val="bottom"/>
          </w:tcPr>
          <w:p>
            <w:pPr>
              <w:spacing w:after="0"/>
              <w:rPr>
                <w:sz w:val="20"/>
                <w:szCs w:val="20"/>
                <w:color w:val="auto"/>
              </w:rPr>
            </w:pPr>
          </w:p>
        </w:tc>
        <w:tc>
          <w:tcPr>
            <w:tcW w:w="1380" w:type="dxa"/>
            <w:vAlign w:val="bottom"/>
          </w:tcPr>
          <w:p>
            <w:pPr>
              <w:jc w:val="right"/>
              <w:ind w:right="338"/>
              <w:spacing w:after="0"/>
              <w:rPr>
                <w:sz w:val="20"/>
                <w:szCs w:val="20"/>
                <w:color w:val="auto"/>
              </w:rPr>
            </w:pPr>
            <w:r>
              <w:rPr>
                <w:rFonts w:ascii="Arial" w:cs="Arial" w:eastAsia="Arial" w:hAnsi="Arial"/>
                <w:sz w:val="16"/>
                <w:szCs w:val="16"/>
                <w:color w:val="auto"/>
              </w:rPr>
              <w:t>143</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5.9 %</w:t>
            </w:r>
          </w:p>
        </w:tc>
      </w:tr>
      <w:tr>
        <w:trPr>
          <w:trHeight w:val="253"/>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Class B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319</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216</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209.7 %</w:t>
            </w:r>
          </w:p>
        </w:tc>
      </w:tr>
      <w:tr>
        <w:trPr>
          <w:trHeight w:val="237"/>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1,744</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1,856</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(112)</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r>
      <w:tr>
        <w:trPr>
          <w:trHeight w:val="24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 home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4,642</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4,395</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247</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5.6 %</w:t>
            </w: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7"/>
        </w:trPr>
        <w:tc>
          <w:tcPr>
            <w:tcW w:w="2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102</w:t>
            </w:r>
          </w:p>
        </w:tc>
        <w:tc>
          <w:tcPr>
            <w:tcW w:w="1240" w:type="dxa"/>
            <w:vAlign w:val="bottom"/>
            <w:shd w:val="clear" w:color="auto" w:fill="CCEEFF"/>
          </w:tcPr>
          <w:p>
            <w:pPr>
              <w:spacing w:after="0"/>
              <w:rPr>
                <w:sz w:val="23"/>
                <w:szCs w:val="23"/>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4</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3.4 %</w:t>
            </w:r>
          </w:p>
        </w:tc>
      </w:tr>
      <w:tr>
        <w:trPr>
          <w:trHeight w:val="284"/>
        </w:trPr>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3"/>
        </w:trPr>
        <w:tc>
          <w:tcPr>
            <w:tcW w:w="278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1,372</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58.7%</w:t>
            </w:r>
          </w:p>
        </w:tc>
        <w:tc>
          <w:tcPr>
            <w:tcW w:w="2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575</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74.8%</w:t>
            </w:r>
          </w:p>
        </w:tc>
        <w:tc>
          <w:tcPr>
            <w:tcW w:w="360" w:type="dxa"/>
            <w:vAlign w:val="bottom"/>
          </w:tcPr>
          <w:p>
            <w:pPr>
              <w:spacing w:after="0"/>
              <w:rPr>
                <w:sz w:val="20"/>
                <w:szCs w:val="20"/>
                <w:color w:val="auto"/>
              </w:rPr>
            </w:pPr>
          </w:p>
        </w:tc>
        <w:tc>
          <w:tcPr>
            <w:tcW w:w="1380" w:type="dxa"/>
            <w:vAlign w:val="bottom"/>
          </w:tcPr>
          <w:p>
            <w:pPr>
              <w:jc w:val="right"/>
              <w:ind w:right="338"/>
              <w:spacing w:after="0"/>
              <w:rPr>
                <w:sz w:val="20"/>
                <w:szCs w:val="20"/>
                <w:color w:val="auto"/>
              </w:rPr>
            </w:pPr>
            <w:r>
              <w:rPr>
                <w:rFonts w:ascii="Arial" w:cs="Arial" w:eastAsia="Arial" w:hAnsi="Arial"/>
                <w:sz w:val="16"/>
                <w:szCs w:val="16"/>
                <w:color w:val="auto"/>
              </w:rPr>
              <w:t>797</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397.9 %</w:t>
            </w:r>
          </w:p>
        </w:tc>
      </w:tr>
      <w:tr>
        <w:trPr>
          <w:trHeight w:val="246"/>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966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41.3%</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3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772</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138.6 %</w:t>
            </w:r>
          </w:p>
        </w:tc>
      </w:tr>
      <w:tr>
        <w:trPr>
          <w:trHeight w:val="280"/>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2,338</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769</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color w:val="auto"/>
              </w:rPr>
              <w:t>1,569</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204.0 %</w:t>
            </w:r>
          </w:p>
        </w:tc>
      </w:tr>
      <w:tr>
        <w:trPr>
          <w:trHeight w:val="267"/>
        </w:trPr>
        <w:tc>
          <w:tcPr>
            <w:tcW w:w="2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57"/>
        </w:trPr>
        <w:tc>
          <w:tcPr>
            <w:tcW w:w="2780" w:type="dxa"/>
            <w:vAlign w:val="bottom"/>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1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1240" w:type="dxa"/>
            <w:vAlign w:val="bottom"/>
          </w:tcPr>
          <w:p>
            <w:pPr>
              <w:spacing w:after="0"/>
              <w:rPr>
                <w:sz w:val="22"/>
                <w:szCs w:val="22"/>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8"/>
              <w:spacing w:after="0"/>
              <w:rPr>
                <w:sz w:val="20"/>
                <w:szCs w:val="20"/>
                <w:color w:val="auto"/>
              </w:rPr>
            </w:pPr>
            <w:r>
              <w:rPr>
                <w:rFonts w:ascii="Arial" w:cs="Arial" w:eastAsia="Arial" w:hAnsi="Arial"/>
                <w:sz w:val="18"/>
                <w:szCs w:val="18"/>
                <w:color w:val="auto"/>
              </w:rPr>
              <w:t>3</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12.6 %</w:t>
            </w:r>
          </w:p>
        </w:tc>
      </w:tr>
    </w:tbl>
    <w:p>
      <w:pPr>
        <w:ind w:left="160" w:hanging="152"/>
        <w:spacing w:after="0" w:line="20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right="2660" w:firstLine="8"/>
        <w:spacing w:after="0" w:line="281" w:lineRule="auto"/>
        <w:tabs>
          <w:tab w:leader="none" w:pos="135"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Increase in Class B deliveries in Fiscal 2012 is due to the fact that we did not produce this product during model year 2011 but resumed production for model year 2012 in the last quarter of Fiscal 2011.</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7"/>
        </w:trPr>
        <w:tc>
          <w:tcPr>
            <w:tcW w:w="302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25, 2012</w:t>
            </w: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August 27, 2011</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483,532</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83.1%</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443,232</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40,300</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9.1 %</w:t>
            </w:r>
          </w:p>
        </w:tc>
      </w:tr>
      <w:tr>
        <w:trPr>
          <w:trHeight w:val="270"/>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56,784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48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16,712</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23"/>
                <w:szCs w:val="23"/>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40,072</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7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12,661</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13,105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(444)</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r>
      <w:tr>
        <w:trPr>
          <w:trHeight w:val="26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28,702</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23,369</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5,333</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22.8 %</w:t>
            </w:r>
          </w:p>
        </w:tc>
      </w:tr>
      <w:tr>
        <w:trPr>
          <w:trHeight w:val="267"/>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581,679</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496,418</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85,261</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8890</wp:posOffset>
            </wp:positionV>
            <wp:extent cx="5334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ind w:left="260" w:hanging="238"/>
        <w:spacing w:after="0" w:line="224"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Motor home unit revenue less discounts, sales promotions and incentives, and accrued loss on repurchase adjustments.</w:t>
      </w:r>
    </w:p>
    <w:p>
      <w:pPr>
        <w:ind w:left="260" w:hanging="238"/>
        <w:spacing w:after="0" w:line="199"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increase in motor home net revenues of $40.3 million or 9.1% was attributed to both an increase in motor home ASP of 3.4% and a 5.6% increase in unit deliveries when compared to Fiscal 2011. The increase in motor home ASP was primarily a result of more higher-priced Class A diesel units sold in Fiscal 2012.</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Towables revenues were $56.8 million in Fiscal 2012. SunnyBrook, which was acquired in the second quarter of Fiscal 2011, had revenues of $16.7 million in Fiscal 2011.</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$538.0 million, or 92.5% of net revenues for Fiscal 2012 compared to $456.7 million, or 92.0% of net revenues for Fiscal 2011 due to the following:</w:t>
      </w:r>
    </w:p>
    <w:p>
      <w:pPr>
        <w:spacing w:after="0" w:line="1" w:lineRule="exact"/>
        <w:rPr>
          <w:sz w:val="20"/>
          <w:szCs w:val="20"/>
          <w:color w:val="auto"/>
        </w:rPr>
      </w:pPr>
    </w:p>
    <w:p>
      <w:pPr>
        <w:ind w:left="340" w:right="8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increased to 85.3% this year from 84.0% last year which was due to inflationary commodity pressures experienced in the first half of the fiscal year that were not passed on. Also impacting our variable costs were the following two significant items:</w:t>
      </w:r>
    </w:p>
    <w:p>
      <w:pPr>
        <w:spacing w:after="0" w:line="1" w:lineRule="exact"/>
        <w:rPr>
          <w:rFonts w:ascii="Arial" w:cs="Arial" w:eastAsia="Arial" w:hAnsi="Arial"/>
          <w:sz w:val="16"/>
          <w:szCs w:val="16"/>
          <w:color w:val="auto"/>
        </w:rPr>
      </w:pPr>
    </w:p>
    <w:p>
      <w:pPr>
        <w:jc w:val="both"/>
        <w:ind w:left="660" w:right="720" w:hanging="328"/>
        <w:spacing w:after="0" w:line="24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 Fiscal 2011, our variable costs were positively impacted by a $3.5 million favorable inventory adjustment as a result of the annual physical inventory. This adjustment in the aggregate favorably impacted our material, labor, variable overhead and fixed overhead costs by 0.7% as a percentage of net revenues in Fiscal 2011.</w:t>
      </w:r>
    </w:p>
    <w:p>
      <w:pPr>
        <w:spacing w:after="0" w:line="1" w:lineRule="exact"/>
        <w:rPr>
          <w:rFonts w:ascii="Arial" w:cs="Arial" w:eastAsia="Arial" w:hAnsi="Arial"/>
          <w:sz w:val="16"/>
          <w:szCs w:val="16"/>
          <w:color w:val="auto"/>
        </w:rPr>
      </w:pPr>
    </w:p>
    <w:p>
      <w:pPr>
        <w:ind w:left="660" w:right="700" w:hanging="328"/>
        <w:spacing w:after="0" w:line="246"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Our variable costs were favorably impacted by $613,000, or 0.1%, of net revenues for Fiscal 2012 due to a LIFO inventory gain as a result of deflation, as compared to LIFO inventory expense of $2.1 million, or 0.4%, of net revenues for Fiscal 2011.</w:t>
      </w:r>
    </w:p>
    <w:p>
      <w:pPr>
        <w:ind w:left="340" w:right="5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7.1% of net revenues compared to 8.0% for Fiscal 2011. With similar spending levels, the difference was due primarily to increased revenues in Fiscal 2012.</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factors considered, gross profit decreased from 8.0% to 7.5% of net revenues.</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Selling expenses increased $2.6 million, or 18.1%, in Fiscal 2012. The expense increase was primarily due to selling expenses associated with Towables and increases in advertising expenses. As a percent of net revenues, selling expenses were 2.9% in both Fiscal 2012 and Fiscal 2011.</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General and administrative expenses increased $3.0 million, or 21.1%, in Fiscal 2012. This increase was due primarily to increases of $2.1 million in incentives and increases in Towable operating expenses, partially offset by a reduction of legal expenses. As a percent of net revenues, general and administrative expenses were 3.0% and 2.9% in Fiscal 2012 and Fiscal 2011, respectively.</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During Fiscal 2011 we realized a gain of $644,000 on the sale of an idled assembly facility (CCMF) and recorded an impairment of $605,000 on our Hampton facility, both assets held for sale. In the fourth quarter of Fiscal 2012 we recorded an additional impairment of $50,000 on the Hampton facility. See Note 6.</w:t>
      </w:r>
    </w:p>
    <w:p>
      <w:pPr>
        <w:spacing w:after="0" w:line="14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Non-operating income decreased $77,000 or 11.7%, in Fiscal 2012. This difference is primarily due to lower investment income. We also received proceeds from COLI policies in both Fiscal 2012 and Fiscal 2011. See Note 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overall effective income tax rate for this year was a benefit of (345.0)% compared to an expense of 0.8% last year.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August 25, 2012</w:t>
            </w:r>
          </w:p>
        </w:tc>
        <w:tc>
          <w:tcPr>
            <w:tcW w:w="5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August 27, 2011</w:t>
            </w:r>
          </w:p>
        </w:tc>
      </w:tr>
      <w:tr>
        <w:trPr>
          <w:trHeight w:val="198"/>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Effective</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right"/>
              <w:ind w:right="33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Rate</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Rate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2,914</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28.8 %</w:t>
            </w:r>
          </w:p>
        </w:tc>
        <w:tc>
          <w:tcPr>
            <w:tcW w:w="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2,597</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21.7 %</w:t>
            </w:r>
          </w:p>
        </w:tc>
      </w:tr>
      <w:tr>
        <w:trPr>
          <w:trHeight w:val="233"/>
        </w:trPr>
        <w:tc>
          <w:tcPr>
            <w:tcW w:w="5160" w:type="dxa"/>
            <w:vAlign w:val="bottom"/>
          </w:tcPr>
          <w:p>
            <w:pPr>
              <w:ind w:left="40"/>
              <w:spacing w:after="0"/>
              <w:rPr>
                <w:sz w:val="20"/>
                <w:szCs w:val="20"/>
                <w:color w:val="auto"/>
              </w:rPr>
            </w:pPr>
            <w:r>
              <w:rPr>
                <w:rFonts w:ascii="Arial" w:cs="Arial" w:eastAsia="Arial" w:hAnsi="Arial"/>
                <w:sz w:val="16"/>
                <w:szCs w:val="16"/>
                <w:color w:val="auto"/>
              </w:rPr>
              <w:t>Valuation allowance decrease</w:t>
            </w:r>
          </w:p>
        </w:tc>
        <w:tc>
          <w:tcPr>
            <w:tcW w:w="300" w:type="dxa"/>
            <w:vAlign w:val="bottom"/>
          </w:tcPr>
          <w:p>
            <w:pPr>
              <w:spacing w:after="0"/>
              <w:rPr>
                <w:sz w:val="20"/>
                <w:szCs w:val="20"/>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(37,681)</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(372.8)%</w:t>
            </w:r>
          </w:p>
        </w:tc>
        <w:tc>
          <w:tcPr>
            <w:tcW w:w="56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(2,013)</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(16.8)%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(159)</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5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(490)</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tax returns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61</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0.6 %</w:t>
            </w: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w:t>
            </w:r>
          </w:p>
        </w:tc>
      </w:tr>
      <w:tr>
        <w:trPr>
          <w:trHeight w:val="26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 provision for taxes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(34,865)</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(345.0)%</w:t>
            </w:r>
          </w:p>
        </w:tc>
        <w:tc>
          <w:tcPr>
            <w:tcW w:w="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94</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on current operations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primary reason for the increase in the overall effective tax expense rate on current operations is lower income tax credits and an increase in state taxes for this year compared to last year. Significant permanent deductions are income tax credits and tax-free income from COLI and student loan-related tax exempt securities. For further discussion of income taxes (which includes a reconciliation of the US statutory income tax rate to our effective tax rate), see Note 12.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 decrease</w:t>
      </w:r>
    </w:p>
    <w:p>
      <w:pPr>
        <w:spacing w:after="0" w:line="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the end of the fourth quarter of Fiscal 2012, we re-established almost all remaining deferred tax assets due to the fact that we are now in a three-year historical cumulative income position as opposed to a three-year historical loss position and that we have a positive future outlook. This resulted in a non-cash tax benefit of $37.7 million through the reduction of our valuation allowance. For further discussion of deferred tax assets (which includes a table of all types of deferred tax assets), see Note 12.</w:t>
      </w:r>
    </w:p>
    <w:p>
      <w:pPr>
        <w:spacing w:after="0" w:line="14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During the fourth quarter of Fiscal 2011, we re-established a portion of our deferred tax assets due to the taxable earnings achieved in Fiscal 2011 which increased the likelihood of realizing a portion of gross deferred tax assets in the future. This resulted in a tax benefit of $649,000 through the reduction of our valuation allowance. Also, the sale of CCMF resulted in a tax loss even though we incurred a gain for accounting purposes and we were able to utilize the associated deferred tax assets of $685,000 as a current tax deduction and reduce the related valuation allowance accordingly. We were also able to utilize NOLs and tax credit deferred tax assets established in the prior year of $479,000 due to taxable income earned in Fiscal 2011 and reduce the related valuation allowance accordingly.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During Fiscal 2012, benefits of $159,000 were recorded as a result of adjustments to uncertain tax positions. During Fiscal 2011, benefits of $490,000 were recorded as a result of adjustments to uncertain tax positions. For further discussion of income taxes, see Note 12.</w:t>
      </w:r>
    </w:p>
    <w:p>
      <w:pPr>
        <w:spacing w:after="0" w:line="142"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Net income and diluted income per share were $45.0 million and $1.54 per share, respectively, for Fiscal 2012. In Fiscal 2011, the net income was $11.8 million and diluted income was $0.41 per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2011 Compared to Fiscal 2010</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27, 2011 compared to the fiscal year ended August 28, 2010: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8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27,</w:t>
            </w: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28,</w:t>
            </w:r>
          </w:p>
        </w:tc>
        <w:tc>
          <w:tcPr>
            <w:tcW w:w="156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56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56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496,418</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449,484</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46,934</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456,664</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92.0 %</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423,217</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94.2 %</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33,447</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w:t>
            </w:r>
          </w:p>
        </w:tc>
      </w:tr>
      <w:tr>
        <w:trPr>
          <w:trHeight w:val="237"/>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39,754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26,267</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5.8 %</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13,487</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51.3%</w:t>
            </w:r>
          </w:p>
        </w:tc>
      </w:tr>
      <w:tr>
        <w:trPr>
          <w:trHeight w:val="284"/>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14,251</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12,724</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1,527</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14,263</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13,023</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8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1,240</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9.5%</w:t>
            </w:r>
          </w:p>
        </w:tc>
      </w:tr>
      <w:tr>
        <w:trPr>
          <w:trHeight w:val="228"/>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 impairment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08"/>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net</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NMF</w:t>
            </w:r>
          </w:p>
        </w:tc>
      </w:tr>
      <w:tr>
        <w:trPr>
          <w:trHeight w:val="237"/>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28,475</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25,747</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2,728</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r>
      <w:tr>
        <w:trPr>
          <w:trHeight w:val="284"/>
        </w:trPr>
        <w:tc>
          <w:tcPr>
            <w:tcW w:w="2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11,279</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2.3 %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520</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8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10,759</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NMF</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658</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222</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436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196.4%</w:t>
            </w:r>
          </w:p>
        </w:tc>
      </w:tr>
      <w:tr>
        <w:trPr>
          <w:trHeight w:val="233"/>
        </w:trPr>
        <w:tc>
          <w:tcPr>
            <w:tcW w:w="28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11,937</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8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742</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0.2 %</w:t>
            </w:r>
          </w:p>
        </w:tc>
        <w:tc>
          <w:tcPr>
            <w:tcW w:w="18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11,195</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NMF</w:t>
            </w:r>
          </w:p>
        </w:tc>
      </w:tr>
      <w:tr>
        <w:trPr>
          <w:trHeight w:val="246"/>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(9,505)</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9,599</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101.0%</w:t>
            </w:r>
          </w:p>
        </w:tc>
      </w:tr>
      <w:tr>
        <w:trPr>
          <w:trHeight w:val="280"/>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11,843</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10,247</w:t>
            </w: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1,596</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w:t>
            </w:r>
          </w:p>
        </w:tc>
      </w:tr>
      <w:tr>
        <w:trPr>
          <w:trHeight w:val="237"/>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0.41</w:t>
            </w: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1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0.06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17.1%</w:t>
            </w: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29,148</w:t>
            </w:r>
          </w:p>
        </w:tc>
        <w:tc>
          <w:tcPr>
            <w:tcW w:w="1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29,101</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Year Ended</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198"/>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w:t>
            </w: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80" w:type="dxa"/>
            <w:vAlign w:val="bottom"/>
          </w:tcPr>
          <w:p>
            <w:pPr>
              <w:spacing w:after="0"/>
              <w:rPr>
                <w:sz w:val="17"/>
                <w:szCs w:val="17"/>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1500" w:type="dxa"/>
            <w:vAlign w:val="bottom"/>
            <w:tcBorders>
              <w:bottom w:val="single" w:sz="8" w:color="auto"/>
            </w:tcBorders>
            <w:gridSpan w:val="2"/>
          </w:tcPr>
          <w:p>
            <w:pPr>
              <w:ind w:left="300"/>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122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3"/>
        </w:trPr>
        <w:tc>
          <w:tcPr>
            <w:tcW w:w="270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1,518</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34.5%</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1,483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33.4%</w:t>
            </w:r>
          </w:p>
        </w:tc>
        <w:tc>
          <w:tcPr>
            <w:tcW w:w="380" w:type="dxa"/>
            <w:vAlign w:val="bottom"/>
          </w:tcPr>
          <w:p>
            <w:pPr>
              <w:spacing w:after="0"/>
              <w:rPr>
                <w:sz w:val="20"/>
                <w:szCs w:val="20"/>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35</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2.4 %</w:t>
            </w:r>
          </w:p>
        </w:tc>
      </w:tr>
      <w:tr>
        <w:trPr>
          <w:trHeight w:val="246"/>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918</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20.9%</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969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21.9%</w:t>
            </w:r>
          </w:p>
        </w:tc>
        <w:tc>
          <w:tcPr>
            <w:tcW w:w="3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(51)</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w:t>
            </w:r>
          </w:p>
        </w:tc>
      </w:tr>
      <w:tr>
        <w:trPr>
          <w:trHeight w:val="233"/>
        </w:trPr>
        <w:tc>
          <w:tcPr>
            <w:tcW w:w="270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2,436</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2,452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55.3%</w:t>
            </w:r>
          </w:p>
        </w:tc>
        <w:tc>
          <w:tcPr>
            <w:tcW w:w="380" w:type="dxa"/>
            <w:vAlign w:val="bottom"/>
          </w:tcPr>
          <w:p>
            <w:pPr>
              <w:spacing w:after="0"/>
              <w:rPr>
                <w:sz w:val="20"/>
                <w:szCs w:val="20"/>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color w:val="auto"/>
              </w:rPr>
              <w:t>(16)</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(0.7)%</w:t>
            </w:r>
          </w:p>
        </w:tc>
      </w:tr>
      <w:tr>
        <w:trPr>
          <w:trHeight w:val="253"/>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103</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(133)</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(56.4)%</w:t>
            </w:r>
          </w:p>
        </w:tc>
      </w:tr>
      <w:tr>
        <w:trPr>
          <w:trHeight w:val="237"/>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1,856</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1,745</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111</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6.4 %</w:t>
            </w:r>
          </w:p>
        </w:tc>
      </w:tr>
      <w:tr>
        <w:trPr>
          <w:trHeight w:val="240"/>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 home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4,395</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4,433</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(38)</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(0.9)%</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67"/>
        </w:trPr>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w:t>
            </w: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6.3 %</w:t>
            </w:r>
          </w:p>
        </w:tc>
      </w:tr>
      <w:tr>
        <w:trPr>
          <w:trHeight w:val="284"/>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0"/>
        </w:trPr>
        <w:tc>
          <w:tcPr>
            <w:tcW w:w="270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575</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74.8%</w:t>
            </w: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3"/>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194</w:t>
            </w: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80"/>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769</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r>
      <w:tr>
        <w:trPr>
          <w:trHeight w:val="267"/>
        </w:trPr>
        <w:tc>
          <w:tcPr>
            <w:tcW w:w="2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51"/>
        </w:trPr>
        <w:tc>
          <w:tcPr>
            <w:tcW w:w="2700" w:type="dxa"/>
            <w:vAlign w:val="bottom"/>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44" w:lineRule="exact"/>
        <w:rPr>
          <w:sz w:val="20"/>
          <w:szCs w:val="20"/>
          <w:color w:val="auto"/>
        </w:rPr>
      </w:pPr>
    </w:p>
    <w:p>
      <w:pPr>
        <w:ind w:left="260" w:hanging="238"/>
        <w:spacing w:after="0"/>
        <w:tabs>
          <w:tab w:leader="none" w:pos="2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30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47"/>
        </w:trPr>
        <w:tc>
          <w:tcPr>
            <w:tcW w:w="302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0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August 27, 2011</w:t>
            </w:r>
          </w:p>
        </w:tc>
        <w:tc>
          <w:tcPr>
            <w:tcW w:w="4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August 28, 2010</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 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443,232</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415,277</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27,955</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r>
      <w:tr>
        <w:trPr>
          <w:trHeight w:val="270"/>
        </w:trPr>
        <w:tc>
          <w:tcPr>
            <w:tcW w:w="302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16,712</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23"/>
                <w:szCs w:val="23"/>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16,712</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70"/>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13,105</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13,655</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(550)</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264"/>
        </w:trPr>
        <w:tc>
          <w:tcPr>
            <w:tcW w:w="3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23,369</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20,552</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2,817</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13.7 %</w:t>
            </w:r>
          </w:p>
        </w:tc>
      </w:tr>
      <w:tr>
        <w:trPr>
          <w:trHeight w:val="267"/>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496,418</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449,484</w:t>
            </w: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46,934</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8890</wp:posOffset>
            </wp:positionV>
            <wp:extent cx="5334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ind w:left="260" w:hanging="238"/>
        <w:spacing w:after="0" w:line="224"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Motor home unit revenue less discounts, sales promotions and incentives, and accrued loss on repurchase adjustments.</w:t>
      </w:r>
    </w:p>
    <w:p>
      <w:pPr>
        <w:ind w:left="260" w:hanging="238"/>
        <w:spacing w:after="0" w:line="199"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increase in motor home net revenues of $28.0 million or 6.7% in Fiscal 2011 was entirely attributed to an increase in motor home ASP, which was also 6.7%, as unit deliveries were essentially flat compared to Fiscal 2010. The increase in motor home ASP was primarily a result of more higher-priced Class A diesel units sold in Fiscal 2011.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Towables revenues of $16.7 million were incremental in Fiscal 2011 and represented revenue since the SunnyBrook acquisition date of December 29, 2010.</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$456.7 million, or 92.0% of net revenues for Fiscal 2011 compared to $423.2 million, or 94.2% of net revenues for Fiscal 2010 due to the following:</w:t>
      </w:r>
    </w:p>
    <w:p>
      <w:pPr>
        <w:spacing w:after="0" w:line="14" w:lineRule="exact"/>
        <w:rPr>
          <w:sz w:val="20"/>
          <w:szCs w:val="20"/>
          <w:color w:val="auto"/>
        </w:rPr>
      </w:pPr>
    </w:p>
    <w:p>
      <w:pPr>
        <w:ind w:left="340" w:right="4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Total variable costs (materials, direct labor, variable overhead, delivery expense and warranty), as a percent of net revenues, decreased to 84.0% in Fiscal 2011 from 85.2% in Fiscal 2010 which was primarily a result of increased sales volume. Also impacting our variable costs were the following two significant items:</w:t>
      </w:r>
    </w:p>
    <w:p>
      <w:pPr>
        <w:spacing w:after="0" w:line="22" w:lineRule="exact"/>
        <w:rPr>
          <w:rFonts w:ascii="Arial" w:cs="Arial" w:eastAsia="Arial" w:hAnsi="Arial"/>
          <w:sz w:val="18"/>
          <w:szCs w:val="18"/>
          <w:color w:val="auto"/>
        </w:rPr>
      </w:pPr>
    </w:p>
    <w:p>
      <w:pPr>
        <w:ind w:left="660" w:right="20" w:hanging="328"/>
        <w:spacing w:after="0" w:line="269"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6"/>
          <w:szCs w:val="16"/>
          <w:color w:val="auto"/>
        </w:rPr>
        <w:t>Our variable costs were positively impacted by an inventory adjustment as a result of the annual physical inventory performed in the second quarter of Fiscal 2011. The favorable adjustment was the result of lower actual inventory scrap and production material loss than recent historical experience, which had the effect of increasing gross profit and inventories by $3.5 million. Conversely, a negative inventory adjustment of $600,000 was recorded in the fourth quarter of Fiscal 2011 as a result of a Towables physical inventory. These adjustments in the aggregate favorably impacted our material, labor, variable overhead and fixed overhead costs by 0.6% as a percentage of net revenues.</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6"/>
          <w:szCs w:val="16"/>
          <w:color w:val="auto"/>
        </w:rPr>
        <w:t>Our variable costs were unfavorably impacted by $2.1 million, or 0.4%, of net revenues in Fiscal 2011 due to LIFO inventory expense, as compared to a LIFO inventory gain on liquidation of $783,000, or 0.2%, of net revenues in Fiscal 2010. This increase was due to inflation and higher inventory levels in Fiscal 2011.</w:t>
      </w:r>
    </w:p>
    <w:p>
      <w:pPr>
        <w:spacing w:after="0" w:line="22" w:lineRule="exact"/>
        <w:rPr>
          <w:rFonts w:ascii="Arial" w:cs="Arial" w:eastAsia="Arial" w:hAnsi="Arial"/>
          <w:sz w:val="18"/>
          <w:szCs w:val="18"/>
          <w:color w:val="auto"/>
        </w:rPr>
      </w:pPr>
    </w:p>
    <w:p>
      <w:pPr>
        <w:ind w:left="340" w:right="500" w:hanging="332"/>
        <w:spacing w:after="0" w:line="25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8.0% of net revenues compared to 8.9% in Fiscal 2010. With similar spending levels, the difference was due primarily to increased revenues in Fiscal 2011.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color w:val="auto"/>
        </w:rPr>
        <w:t>All factors considered, gross profit increased to 8.0% of net revenues in Fiscal 2011 from 5.8% of net revenues in Fiscal 2010.</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Selling expenses increased $1.5 million, or 12.0%, in Fiscal 2011. The expense increase was primarily due to operating expenses associated with Towables and increases in advertising and wage-related expenses. As a percent of net revenues, selling expenses were 2.9% and 2.8% in Fiscal 2011 and Fiscal 2010, respectively.</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General and administrative expenses increased $1.2 million, or 9.5%, in Fiscal 2011. This increase was due primarily to increases in wage-related expenses of $1.4 million and legal expenses of $1.1 million, partially offset by a decrease in product liability expenses of $830,000. As a percent of net revenues, general and administrative expenses were flat year over year at 2.9%.</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the first quarter of Fiscal 2011 we realized a gain of $644,000 on the sale of CCMF, an idled assembly facility in Charles City, Iowa, one of our assets held for sale. Conversely, an impairment of $605,000 was recorded in the third quarter of Fiscal 2011 on our Hampton facility. See Note 6.</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Non-operating income increased $436,000 or 196.4%, in Fiscal 2011. This difference is primarily the result of incurring a one-time expense of $375,000 in Fiscal 2010 to terminate a credit and security agreement with Wells Fargo. We also received proceeds from COLI policies during Fiscal 2011, partially offset by lower investment income. See Note 13.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The overall effective income tax rate for Fiscal 2011 was an expense of 0.8% compared to a benefit of 1,281.0% for Fiscal 2010. The following table breaks down the two aforementioned tax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4"/>
        </w:trPr>
        <w:tc>
          <w:tcPr>
            <w:tcW w:w="4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2"/>
          </w:tcPr>
          <w:p>
            <w:pPr>
              <w:jc w:val="right"/>
              <w:ind w:right="859"/>
              <w:spacing w:after="0"/>
              <w:rPr>
                <w:sz w:val="20"/>
                <w:szCs w:val="20"/>
                <w:color w:val="auto"/>
              </w:rPr>
            </w:pPr>
            <w:r>
              <w:rPr>
                <w:rFonts w:ascii="Arial" w:cs="Arial" w:eastAsia="Arial" w:hAnsi="Arial"/>
                <w:sz w:val="16"/>
                <w:szCs w:val="16"/>
                <w:b w:val="1"/>
                <w:bCs w:val="1"/>
                <w:color w:val="auto"/>
              </w:rPr>
              <w:t>August 27, 2011</w:t>
            </w:r>
          </w:p>
        </w:tc>
        <w:tc>
          <w:tcPr>
            <w:tcW w:w="6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August 28, 2010</w:t>
            </w:r>
          </w:p>
        </w:tc>
      </w:tr>
      <w:tr>
        <w:trPr>
          <w:trHeight w:val="198"/>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b w:val="1"/>
                <w:bCs w:val="1"/>
                <w:color w:val="auto"/>
              </w:rPr>
              <w:t>Effective</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Rate</w:t>
            </w: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Rate</w:t>
            </w: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2,597</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21.7 %</w:t>
            </w:r>
          </w:p>
        </w:tc>
        <w:tc>
          <w:tcPr>
            <w:tcW w:w="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667</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89.9 %</w:t>
            </w:r>
          </w:p>
        </w:tc>
      </w:tr>
      <w:tr>
        <w:trPr>
          <w:trHeight w:val="260"/>
        </w:trPr>
        <w:tc>
          <w:tcPr>
            <w:tcW w:w="4780" w:type="dxa"/>
            <w:vAlign w:val="bottom"/>
          </w:tcPr>
          <w:p>
            <w:pPr>
              <w:ind w:left="40"/>
              <w:spacing w:after="0"/>
              <w:rPr>
                <w:sz w:val="20"/>
                <w:szCs w:val="20"/>
                <w:color w:val="auto"/>
              </w:rPr>
            </w:pPr>
            <w:r>
              <w:rPr>
                <w:rFonts w:ascii="Arial" w:cs="Arial" w:eastAsia="Arial" w:hAnsi="Arial"/>
                <w:sz w:val="16"/>
                <w:szCs w:val="16"/>
                <w:color w:val="auto"/>
              </w:rPr>
              <w:t>Valuation allowance decrease</w:t>
            </w:r>
          </w:p>
        </w:tc>
        <w:tc>
          <w:tcPr>
            <w:tcW w:w="300" w:type="dxa"/>
            <w:vAlign w:val="bottom"/>
          </w:tcPr>
          <w:p>
            <w:pPr>
              <w:spacing w:after="0"/>
              <w:rPr>
                <w:sz w:val="22"/>
                <w:szCs w:val="22"/>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(2,013)</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620" w:type="dxa"/>
            <w:vAlign w:val="bottom"/>
          </w:tcPr>
          <w:p>
            <w:pPr>
              <w:spacing w:after="0"/>
              <w:rPr>
                <w:sz w:val="22"/>
                <w:szCs w:val="22"/>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(5,456)</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(735.3)%</w:t>
            </w:r>
          </w:p>
        </w:tc>
      </w:tr>
      <w:tr>
        <w:trPr>
          <w:trHeight w:val="280"/>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(490)</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(3,195)</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(430.6)%</w:t>
            </w:r>
          </w:p>
        </w:tc>
      </w:tr>
      <w:tr>
        <w:trPr>
          <w:trHeight w:val="264"/>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state returns and other items</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(1,521)</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(205.0)%</w:t>
            </w:r>
          </w:p>
        </w:tc>
      </w:tr>
      <w:tr>
        <w:trPr>
          <w:trHeight w:val="26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(benefit) for taxes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0.8 %</w:t>
            </w:r>
          </w:p>
        </w:tc>
        <w:tc>
          <w:tcPr>
            <w:tcW w:w="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(9,505)</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(1,281.0)%</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expense on current operations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primary reason for the decrease in the overall effective tax expense rate on current operations was the relationship between our higher pre-tax income in Fiscal 2011 relative to the permanent financial accounting to taxable income (loss) adjustments for Fiscal 2011 compared to Fiscal 2010. Significant permanent deductions were income tax credits and tax-free income from COLI and student loan-related tax exempt securities. For further discussion of income taxes (which includes a reconciliation of the US statutory income tax rate to our effective tax rate),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allowance decrease</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During the fourth quarter of Fiscal 2011, we re-established a portion of our deferred tax assets due to the taxable earnings achieved in Fiscal 2011 which increased the likelihood of realizing a portion of gross deferred tax assets in the future. This resulted in a tax benefit of $649,000 through the reduction of our valuation allowance. Also, the sale of CCMF resulted in a tax loss even though we incurred a gain for accounting purposes and we were able to utilize the associated deferred tax assets of $685,000 as a current tax deduction and reduce the related valuation allowance accordingly. We were also able to utilize NOLs and tax credit deferred tax assets established in the prior year of $479,000 due to taxable income earned in Fiscal 2011 and reduce the related valuation allowance accordingly.</w:t>
      </w:r>
    </w:p>
    <w:p>
      <w:pPr>
        <w:spacing w:after="0" w:line="15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At the end of Fiscal 2009, we had established a valuation allowance on all deferred tax assets and NOL carryforward assets associated with Fiscal 2009. In Fiscal 2010, the President of the United States signed into law the Worker, Homeownership, and Business Assistance Act of 2009, which expanded the carryback period from two to five years, allowing us to carryback all Fiscal 2009 NOL. As a result, we recorded a total tax benefit of $5.8 million in Fiscal 2010 and reduced the associated valuation allowance due to this beneficial tax law change. The remaining change in valuation allowance was a result of increases in other deferred tax assets, such as additional NOLs and tax credit carryforward deferred tax assets established during the year.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 settlements and adjustments</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During Fiscal 2011, benefits of $490,000 were recorded as a result of adjustments to uncertain tax positions. During Fiscal 2010, benefits of $3.2 million were recorded as a result of favorable settlements with various taxing jurisdictions and other adjustments to uncertain tax positions. Of this amount, $1.7 million resulted from the reduction of reserves associated with unrecognized tax benefits as a result of a positive resolution of the federal IRS tax audit on our income tax returns for Fiscal 2006 through Fiscal 2008. Benefits of $1.5 million were recorded a result of tax planning initiatives recognized during Fiscal 2010. For further discussion of income taxes, see Note 12.</w:t>
      </w:r>
    </w:p>
    <w:p>
      <w:pPr>
        <w:spacing w:after="0" w:line="14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Net income and diluted income per share were $11.8 million and $0.41 per share, respectively, for Fiscal 2011. In Fiscal 2010, net income was $10.2 million and diluted income was $0.35 per share.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Cash and cash equivalents decreased $6.6 million during Fiscal 2012 and totaled $62.7 million as of August 25, 2012. The significant liquidity events that occurred during Fiscal 2012 were:</w:t>
      </w:r>
    </w:p>
    <w:p>
      <w:pPr>
        <w:spacing w:after="0" w:line="14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Generated income before tax of $10.1 million.</w:t>
      </w:r>
    </w:p>
    <w:p>
      <w:pPr>
        <w:spacing w:after="0" w:line="5" w:lineRule="exact"/>
        <w:rPr>
          <w:rFonts w:ascii="Arial" w:cs="Arial" w:eastAsia="Arial" w:hAnsi="Arial"/>
          <w:sz w:val="16"/>
          <w:szCs w:val="16"/>
          <w:color w:val="auto"/>
        </w:rPr>
      </w:pPr>
    </w:p>
    <w:p>
      <w:pPr>
        <w:ind w:left="340" w:right="56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in inventory of $17.3 million: The increase was primarily a result of increased work-in-process and raw material inventory due to increased production levels, and higher average cost per unit due to the mix of product ordered by our dealers.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Stock repurchases of approximately $6.6 million.</w:t>
      </w:r>
    </w:p>
    <w:p>
      <w:pPr>
        <w:spacing w:after="0" w:line="8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Fiscal 2012, we had in place a $20 million revolving credit facility, as described in further detail in Note 8, that allowed us to borrow up to $12.5 million without financial covenant restrictions if there was adequate asset coverage. We had sufficient asset coverage in accounts receivable and inventory at the end of Fiscal 2012 to access the entire $12.5 million without financial covenant restrictions. The facility also included a framework to expand the size of the facility up to $50 million, based on mutually agreeable covenants to be determined at the time of expansion. The credit facility expired in October 2012. We are evaluating other alternatives and expect to have a new credit facility in place before the end of calendar 2012.</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conditions, we have the ability to offer and sell up to $35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Working capital at August 25, 2012 and August 27, 2011 was $126.1 million and $113.5 million, respectively, an increase of $12.5 million. We currently expect cash on hand, funds generated from operations and the availability under a credit facility to be sufficient to cover both short-term and long-term operating requirements. We anticipate capital expenditures in Fiscal 2013 of approximately $6.1 million, primarily for manufacturing equipment and facilities.</w:t>
      </w:r>
    </w:p>
    <w:p>
      <w:pPr>
        <w:spacing w:after="0" w:line="22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addition to the $6.6 million of share repurchases in Fiscal 2012, we have purchased an additional 396,000 shares for $4.7 million as of October 12, 2012 in accordance with our Board's repurchase authorization described above and a stock repurchase plan under SEC Rule 10b5-1. We believe our common stock has been an attractive value at recent trading levels. If we continue to believe the common stock is trading at attractive levels we may purchase additional shares in Fiscal 2013.</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Cash provided by operating activities was $115,000 for the fiscal year ended August 25, 2012 compared to cash used in operating activities of $10.1 million for the fiscal year ended August 27, 2011, and cash provided by operating activities of $33.0 million for the fiscal year ended August 28, 2010. The combination of net income of $45.0 million in Fiscal 2012 and changes in non-cash charges (e.g., depreciation, LIFO, stock-based compensation, deferred income taxes) provided $15.9 million of operating cash compared to $21.0 million in Fiscal 2011 and $16.6 million in Fiscal 2010. In Fiscal 2012, changes in assets and liabilities (primarily inventory increases) used an additional $15.8 million of operating cash. In Fiscal 2011, changes in assets and liabilities (primarily inventory increases) used an additional $31.1 million of operating cash. In Fiscal 2010, changes in assets and liabilities (primarily income tax refunds) provided an additional $16.4 million of operating cash.</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Cash used in investing activities of $118,000 in Fiscal 2012 was due primarily to capital spending of $2.2 million and was offset by proceeds of $1.7 million from COLI policies and ARS redemptions of $1.1 million. In Fiscal 2011, cash provided by investing activities of $4.2 million was primarily due to ARS redemptions of $7.2 million, partially offset by the acquisition of Towables for $4.7 million and capital spending of $2.1 million. During Fiscal 2010, cash provided by investing activities of $14.3 million was primarily due to ARS redemptions of $15.9 million, partially offset by capital spending of $1.9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Cash used in financing activities of $6.6 million for the fiscal year ended August 25, 2012 was primarily due to $6.6 million in repurchases of our stock. Cash provided by financing activities for the fiscal year ended August 27, 2011 was $500,000. Cash used in financing activities for the fiscal year ended August 28, 2010 was $9.2 million, primarily consisting of $9.1 million for repayments on borrowings from our ARS portfolio,</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25, 2012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2014-2015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2016-2017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37,009</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23,732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2,752</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5,166</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4,471</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11,343</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2,716</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3,342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407</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2,099</w:t>
            </w: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87,113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53,167</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6"/>
                <w:szCs w:val="16"/>
                <w:b w:val="1"/>
                <w:bCs w:val="1"/>
                <w:color w:val="auto"/>
              </w:rPr>
              <w:t>Expiration By Period</w:t>
            </w:r>
          </w:p>
        </w:tc>
        <w:tc>
          <w:tcPr>
            <w:tcW w:w="980" w:type="dxa"/>
            <w:vAlign w:val="bottom"/>
            <w:tcBorders>
              <w:bottom w:val="single" w:sz="8" w:color="auto"/>
            </w:tcBorders>
          </w:tcPr>
          <w:p>
            <w:pPr>
              <w:spacing w:after="0"/>
              <w:rPr>
                <w:sz w:val="19"/>
                <w:szCs w:val="19"/>
                <w:color w:val="auto"/>
              </w:rPr>
            </w:pPr>
          </w:p>
        </w:tc>
      </w:tr>
      <w:tr>
        <w:trPr>
          <w:trHeight w:val="198"/>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11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w:t>
            </w: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Fiscal 2013</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2014-2015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2016-2017</w:t>
            </w: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720" w:type="dxa"/>
            <w:vAlign w:val="bottom"/>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165,360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60,806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104,554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ind w:left="720"/>
              <w:spacing w:after="0"/>
              <w:rPr>
                <w:sz w:val="20"/>
                <w:szCs w:val="20"/>
                <w:color w:val="auto"/>
              </w:rPr>
            </w:pPr>
            <w:r>
              <w:rPr>
                <w:rFonts w:ascii="Arial" w:cs="Arial" w:eastAsia="Arial" w:hAnsi="Arial"/>
                <w:sz w:val="16"/>
                <w:szCs w:val="16"/>
                <w:color w:val="auto"/>
              </w:rPr>
              <w:t>—  $</w:t>
            </w:r>
          </w:p>
        </w:tc>
        <w:tc>
          <w:tcPr>
            <w:tcW w:w="980" w:type="dxa"/>
            <w:vAlign w:val="bottom"/>
          </w:tcPr>
          <w:p>
            <w:pPr>
              <w:ind w:left="7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240" w:hanging="232"/>
        <w:spacing w:after="0" w:line="187"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93"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See Note 11.</w:t>
      </w:r>
    </w:p>
    <w:p>
      <w:pPr>
        <w:ind w:left="240" w:hanging="232"/>
        <w:spacing w:after="0" w:line="199"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revenues for recreation vehicles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Revenues from the sales of our OEM and recreation vehicles related parts are recorded as the products are shipped from our location. The title of ownership transfers on these products as they leave our location due to the freight terms of F.O.B. - Shipper.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upon their request.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 The percentage of dealer inventory we estimate we will repurchase (which has ranged in recent years from 4 to 11% on a weighted average basis) and the associated estimated loss (which has ranged in recent years from 7 to 16%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185"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as of August 25, 2012 would have affected net income by approximately $255,000.</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provide, with the purchase of any new motor home, a comprehensive 12-month/15,000-mile warranty on Class A, B and C motor 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and are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9.</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We have evaluated the sustainability of our deferred tax assets on our balance sheet which includes the assessment of cumulative income or losses over recent prior periods. Based on ASC 740 guidelines, we determined a valuation allowance of $1.6 million was appropriate as of August 25, 2012.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retiree health care benefits due to the fact that we have established maximum amounts ("dollar caps") on the amount we will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10</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inventory loss reserve contains uncertainties because the calculation requires management to make assumptions and to apply judgment regarding a number of factors, including historical results and current inventory loss trends.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summary is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We have market risk exposure to our ARS, which is described in further detail in Note 4. Also, the assets we maintain to fund deferred compensation have market risk, but we maintain a corresponding liability for these assets. The market risk is therefore borne by the participants in the deferred compensation program.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60" w:type="dxa"/>
            <w:vAlign w:val="bottom"/>
            <w:gridSpan w:val="8"/>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17"/>
        </w:trPr>
        <w:tc>
          <w:tcPr>
            <w:tcW w:w="6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Arial" w:cs="Arial" w:eastAsia="Arial" w:hAnsi="Arial"/>
                <w:sz w:val="16"/>
                <w:szCs w:val="16"/>
                <w:b w:val="1"/>
                <w:bCs w:val="1"/>
                <w:color w:val="auto"/>
              </w:rPr>
              <w:t>Index to Financial Statements</w:t>
            </w:r>
          </w:p>
        </w:tc>
        <w:tc>
          <w:tcPr>
            <w:tcW w:w="1440" w:type="dxa"/>
            <w:vAlign w:val="bottom"/>
            <w:gridSpan w:val="4"/>
          </w:tcPr>
          <w:p>
            <w:pPr>
              <w:jc w:val="right"/>
              <w:ind w:right="240"/>
              <w:spacing w:after="0"/>
              <w:rPr>
                <w:sz w:val="20"/>
                <w:szCs w:val="20"/>
                <w:color w:val="auto"/>
              </w:rPr>
            </w:pPr>
            <w:r>
              <w:rPr>
                <w:rFonts w:ascii="Arial" w:cs="Arial" w:eastAsia="Arial" w:hAnsi="Arial"/>
                <w:sz w:val="16"/>
                <w:szCs w:val="16"/>
                <w:color w:val="auto"/>
              </w:rPr>
              <w:t>Page</w:t>
            </w:r>
          </w:p>
        </w:tc>
      </w:tr>
      <w:tr>
        <w:trPr>
          <w:trHeight w:val="507"/>
        </w:trPr>
        <w:tc>
          <w:tcPr>
            <w:tcW w:w="60" w:type="dxa"/>
            <w:vAlign w:val="bottom"/>
          </w:tcPr>
          <w:p>
            <w:pPr>
              <w:spacing w:after="0"/>
              <w:rPr>
                <w:sz w:val="24"/>
                <w:szCs w:val="24"/>
                <w:color w:val="auto"/>
              </w:rPr>
            </w:pPr>
          </w:p>
        </w:tc>
        <w:tc>
          <w:tcPr>
            <w:tcW w:w="4780" w:type="dxa"/>
            <w:vAlign w:val="bottom"/>
            <w:gridSpan w:val="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Report on Internal Control Over Financial Reporting</w:t>
              </w:r>
            </w:hyperlink>
          </w:p>
        </w:tc>
        <w:tc>
          <w:tcPr>
            <w:tcW w:w="51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200" w:type="dxa"/>
            <w:vAlign w:val="bottom"/>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Reports of Independent Registered Public Accounting Firm</w:t>
              </w:r>
            </w:hyperlink>
          </w:p>
        </w:tc>
        <w:tc>
          <w:tcPr>
            <w:tcW w:w="580" w:type="dxa"/>
            <w:vAlign w:val="bottom"/>
          </w:tcPr>
          <w:p>
            <w:pPr>
              <w:spacing w:after="0"/>
              <w:rPr>
                <w:sz w:val="19"/>
                <w:szCs w:val="19"/>
                <w:color w:val="auto"/>
              </w:rPr>
            </w:pPr>
          </w:p>
        </w:tc>
        <w:tc>
          <w:tcPr>
            <w:tcW w:w="5120" w:type="dxa"/>
            <w:vAlign w:val="bottom"/>
            <w:gridSpan w:val="4"/>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5"/>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Consolidated Statements of Operations for the Years Ended August 25, 2012, August 27, 2011, and August 28, 2010</w:t>
              </w:r>
            </w:hyperlink>
          </w:p>
        </w:tc>
        <w:tc>
          <w:tcPr>
            <w:tcW w:w="1540" w:type="dxa"/>
            <w:vAlign w:val="bottom"/>
            <w:gridSpan w:val="2"/>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360" w:type="dxa"/>
            <w:vAlign w:val="bottom"/>
            <w:gridSpan w:val="5"/>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Consolidated Balance Sheets as of August 25, 2012 and August 27, 2011</w:t>
              </w:r>
            </w:hyperlink>
          </w:p>
        </w:tc>
        <w:tc>
          <w:tcPr>
            <w:tcW w:w="1540" w:type="dxa"/>
            <w:vAlign w:val="bottom"/>
            <w:gridSpan w:val="2"/>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900" w:type="dxa"/>
            <w:vAlign w:val="bottom"/>
            <w:gridSpan w:val="7"/>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Consolidated Statements of Changes in Stockholders' Equity for the Years Ended August 25, 2012, August 27, 2011, and August 28, 2010</w:t>
              </w:r>
            </w:hyperlink>
          </w:p>
        </w:tc>
        <w:tc>
          <w:tcPr>
            <w:tcW w:w="1440" w:type="dxa"/>
            <w:vAlign w:val="bottom"/>
            <w:gridSpan w:val="4"/>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31</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Consolidated Statements of Cash Flows for the Years Ended August 25, 2012, August 27, 2011, and August 28, 2010</w:t>
              </w:r>
            </w:hyperlink>
          </w:p>
        </w:tc>
        <w:tc>
          <w:tcPr>
            <w:tcW w:w="1480" w:type="dxa"/>
            <w:vAlign w:val="bottom"/>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420" w:type="dxa"/>
            <w:vAlign w:val="bottom"/>
            <w:gridSpan w:val="6"/>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Notes to Consolidated Financial Statements</w:t>
              </w:r>
            </w:hyperlink>
          </w:p>
        </w:tc>
        <w:tc>
          <w:tcPr>
            <w:tcW w:w="1480" w:type="dxa"/>
            <w:vAlign w:val="bottom"/>
          </w:tcPr>
          <w:p>
            <w:pPr>
              <w:spacing w:after="0"/>
              <w:rPr>
                <w:sz w:val="19"/>
                <w:szCs w:val="19"/>
                <w:color w:val="auto"/>
              </w:rPr>
            </w:pPr>
          </w:p>
        </w:tc>
        <w:tc>
          <w:tcPr>
            <w:tcW w:w="1440" w:type="dxa"/>
            <w:vAlign w:val="bottom"/>
            <w:gridSpan w:val="4"/>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33</w:t>
              </w:r>
            </w:hyperlink>
          </w:p>
        </w:tc>
      </w:tr>
      <w:tr>
        <w:trPr>
          <w:trHeight w:val="636"/>
        </w:trPr>
        <w:tc>
          <w:tcPr>
            <w:tcW w:w="6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5240" w:type="dxa"/>
            <w:vAlign w:val="bottom"/>
            <w:gridSpan w:val="4"/>
          </w:tcPr>
          <w:p>
            <w:pPr>
              <w:jc w:val="right"/>
              <w:ind w:right="26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Management of Winnebago Industries, Inc.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25, 2012.</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1480" w:type="dxa"/>
            <w:vAlign w:val="bottom"/>
          </w:tcPr>
          <w:p>
            <w:pPr>
              <w:spacing w:after="0"/>
              <w:rPr>
                <w:sz w:val="19"/>
                <w:szCs w:val="19"/>
                <w:color w:val="auto"/>
              </w:rPr>
            </w:pP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920" w:type="dxa"/>
            <w:vAlign w:val="bottom"/>
          </w:tcPr>
          <w:p>
            <w:pPr>
              <w:spacing w:after="0"/>
              <w:rPr>
                <w:sz w:val="20"/>
                <w:szCs w:val="20"/>
                <w:color w:val="auto"/>
              </w:rPr>
            </w:pPr>
            <w:r>
              <w:rPr>
                <w:rFonts w:ascii="Arial" w:cs="Arial" w:eastAsia="Arial" w:hAnsi="Arial"/>
                <w:sz w:val="16"/>
                <w:szCs w:val="16"/>
                <w:color w:val="auto"/>
              </w:rPr>
              <w:t>Randy J. Potts</w:t>
            </w:r>
          </w:p>
        </w:tc>
        <w:tc>
          <w:tcPr>
            <w:tcW w:w="148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Sarah N. Nielsen</w:t>
            </w:r>
          </w:p>
        </w:tc>
      </w:tr>
      <w:tr>
        <w:trPr>
          <w:trHeight w:val="243"/>
        </w:trPr>
        <w:tc>
          <w:tcPr>
            <w:tcW w:w="4920" w:type="dxa"/>
            <w:vAlign w:val="bottom"/>
          </w:tcPr>
          <w:p>
            <w:pPr>
              <w:ind w:left="40"/>
              <w:spacing w:after="0"/>
              <w:rPr>
                <w:sz w:val="20"/>
                <w:szCs w:val="20"/>
                <w:color w:val="auto"/>
              </w:rPr>
            </w:pPr>
            <w:r>
              <w:rPr>
                <w:rFonts w:ascii="Arial" w:cs="Arial" w:eastAsia="Arial" w:hAnsi="Arial"/>
                <w:sz w:val="16"/>
                <w:szCs w:val="16"/>
                <w:color w:val="auto"/>
              </w:rPr>
              <w:t>Chief Executive Officer, President</w:t>
            </w:r>
          </w:p>
        </w:tc>
        <w:tc>
          <w:tcPr>
            <w:tcW w:w="1480" w:type="dxa"/>
            <w:vAlign w:val="bottom"/>
          </w:tcPr>
          <w:p>
            <w:pPr>
              <w:spacing w:after="0"/>
              <w:rPr>
                <w:sz w:val="21"/>
                <w:szCs w:val="21"/>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color w:val="auto"/>
              </w:rPr>
              <w:t>and Chairman of the Board</w:t>
            </w:r>
          </w:p>
        </w:tc>
        <w:tc>
          <w:tcPr>
            <w:tcW w:w="148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567"/>
        </w:trPr>
        <w:tc>
          <w:tcPr>
            <w:tcW w:w="4920" w:type="dxa"/>
            <w:vAlign w:val="bottom"/>
          </w:tcPr>
          <w:p>
            <w:pPr>
              <w:ind w:left="40"/>
              <w:spacing w:after="0"/>
              <w:rPr>
                <w:sz w:val="20"/>
                <w:szCs w:val="20"/>
                <w:color w:val="auto"/>
              </w:rPr>
            </w:pPr>
            <w:r>
              <w:rPr>
                <w:rFonts w:ascii="Arial" w:cs="Arial" w:eastAsia="Arial" w:hAnsi="Arial"/>
                <w:sz w:val="16"/>
                <w:szCs w:val="16"/>
                <w:color w:val="auto"/>
              </w:rPr>
              <w:t>October 23, 2012</w:t>
            </w:r>
          </w:p>
        </w:tc>
        <w:tc>
          <w:tcPr>
            <w:tcW w:w="14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6"/>
                <w:szCs w:val="16"/>
                <w:color w:val="auto"/>
              </w:rPr>
              <w:t>October 23, 2012</w:t>
            </w:r>
          </w:p>
        </w:tc>
      </w:tr>
      <w:tr>
        <w:trPr>
          <w:trHeight w:val="648"/>
        </w:trPr>
        <w:tc>
          <w:tcPr>
            <w:tcW w:w="4920" w:type="dxa"/>
            <w:vAlign w:val="bottom"/>
          </w:tcPr>
          <w:p>
            <w:pPr>
              <w:spacing w:after="0"/>
              <w:rPr>
                <w:sz w:val="24"/>
                <w:szCs w:val="24"/>
                <w:color w:val="auto"/>
              </w:rPr>
            </w:pP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26</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(the "Company") as of August 25,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25,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25, 2012 of the Company and our report dated October 23, 2012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23,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(the "Company") as of August 25, 2012 and August 27, 2011, and the related consolidated statements of operations, stockholders' equity, and cash flows for each of the three years in the period ended August 25, 2012.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at August 25, 2012 and August 27, 2011, and the results of their operations and their cash flows for each of the three years in the period ended August 25, 2012, in conformity with accounting principles generally accepted in the United States of America.</w:t>
      </w:r>
    </w:p>
    <w:p>
      <w:pPr>
        <w:spacing w:after="0" w:line="16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25,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October 23, 2012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23, 2012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240" w:top="141" w:right="39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2012</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27, 2011</w:t>
            </w:r>
          </w:p>
        </w:tc>
        <w:tc>
          <w:tcPr>
            <w:tcW w:w="260" w:type="dxa"/>
            <w:vAlign w:val="bottom"/>
          </w:tcPr>
          <w:p>
            <w:pPr>
              <w:spacing w:after="0"/>
              <w:rPr>
                <w:sz w:val="22"/>
                <w:szCs w:val="22"/>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5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581,679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496,418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449,484</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537,999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456,664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423,217</w:t>
            </w: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43,680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39,754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26,267</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16,837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14,251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12,724</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17,267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14,263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13,023</w:t>
            </w:r>
          </w:p>
        </w:tc>
      </w:tr>
      <w:tr>
        <w:trPr>
          <w:trHeight w:val="26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Assets held for sale impairment and (gain), net</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0"/>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34,154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28,475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25,747</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11,279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520</w:t>
            </w:r>
          </w:p>
        </w:tc>
      </w:tr>
      <w:tr>
        <w:trPr>
          <w:trHeight w:val="284"/>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6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222</w:t>
            </w:r>
          </w:p>
        </w:tc>
      </w:tr>
      <w:tr>
        <w:trPr>
          <w:trHeight w:val="247"/>
        </w:trPr>
        <w:tc>
          <w:tcPr>
            <w:tcW w:w="5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11,937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742</w:t>
            </w:r>
          </w:p>
        </w:tc>
      </w:tr>
      <w:tr>
        <w:trPr>
          <w:trHeight w:val="293"/>
        </w:trPr>
        <w:tc>
          <w:tcPr>
            <w:tcW w:w="5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(34,865)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(9,505)</w:t>
            </w:r>
          </w:p>
        </w:tc>
      </w:tr>
      <w:tr>
        <w:trPr>
          <w:trHeight w:val="24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44,972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11,843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10,247</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0.35</w:t>
            </w:r>
          </w:p>
        </w:tc>
      </w:tr>
      <w:tr>
        <w:trPr>
          <w:trHeight w:val="224"/>
        </w:trPr>
        <w:tc>
          <w:tcPr>
            <w:tcW w:w="5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0.35</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512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29,145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29,121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29,091</w:t>
            </w:r>
          </w:p>
        </w:tc>
      </w:tr>
      <w:tr>
        <w:trPr>
          <w:trHeight w:val="280"/>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29,148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29,101</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80" w:type="dxa"/>
            <w:vAlign w:val="bottom"/>
          </w:tcPr>
          <w:p>
            <w:pPr>
              <w:spacing w:after="0"/>
              <w:rPr>
                <w:sz w:val="19"/>
                <w:szCs w:val="19"/>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27, 2011</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62,683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69,307</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($175 and $76, respectively)</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22,726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19,981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87,094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69,165</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4,227</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1,525</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649</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187,068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164,854</w:t>
            </w:r>
          </w:p>
        </w:tc>
      </w:tr>
      <w:tr>
        <w:trPr>
          <w:trHeight w:val="247"/>
        </w:trPr>
        <w:tc>
          <w:tcPr>
            <w:tcW w:w="72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22,589</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600</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10,627</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23,669</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30,520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Amortizable intangible assets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720</w:t>
            </w:r>
          </w:p>
        </w:tc>
      </w:tr>
      <w:tr>
        <w:trPr>
          <w:trHeight w:val="27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13,886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15,640</w:t>
            </w:r>
          </w:p>
        </w:tc>
      </w:tr>
      <w:tr>
        <w:trPr>
          <w:trHeight w:val="28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239,927</w:t>
            </w:r>
          </w:p>
        </w:tc>
      </w:tr>
      <w:tr>
        <w:trPr>
          <w:trHeight w:val="267"/>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24,920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21,610</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104</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10,841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7,335</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3,203</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1,174</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2,177</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5,297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4,874</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61,018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51,318</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5,387</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75,135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74,492</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80,363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79,879</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4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28,496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30,131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477,490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color w:val="auto"/>
              </w:rPr>
              <w:t>432,518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(454)</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(23,122 and 22,641 shares, respectively)</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(383,497)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(379,353)</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144,691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108,730</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286,072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239,927</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7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2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9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29, 2009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410,428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6,540</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92,331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369</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$1,260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(5,511)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$128</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213</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10,247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28, 2010</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29,464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420,675</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1,242</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97,527</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1,126</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$1,166 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Unrealized depreciation of investments, net of $3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11,843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11,843</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Balance, August 27, 2011</w:t>
            </w:r>
          </w:p>
        </w:tc>
        <w:tc>
          <w:tcPr>
            <w:tcW w:w="840" w:type="dxa"/>
            <w:vAlign w:val="bottom"/>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30,131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432,518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(454)</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(22,641)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(379,353)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108,730</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 exercises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Utilization of APIC pool due to stock award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Issuance of stock to directors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804</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0" w:type="dxa"/>
            <w:vAlign w:val="bottom"/>
          </w:tcPr>
          <w:p>
            <w:pPr>
              <w:spacing w:after="0"/>
              <w:rPr>
                <w:sz w:val="1"/>
                <w:szCs w:val="1"/>
                <w:color w:val="auto"/>
              </w:rPr>
            </w:pPr>
          </w:p>
        </w:tc>
      </w:tr>
      <w:tr>
        <w:trPr>
          <w:trHeight w:val="210"/>
        </w:trPr>
        <w:tc>
          <w:tcPr>
            <w:tcW w:w="350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$5,298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(5,787)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$1,729 tax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2,869</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194"/>
        </w:trPr>
        <w:tc>
          <w:tcPr>
            <w:tcW w:w="3500" w:type="dxa"/>
            <w:vAlign w:val="bottom"/>
          </w:tcPr>
          <w:p>
            <w:pPr>
              <w:ind w:left="40"/>
              <w:spacing w:after="0"/>
              <w:rPr>
                <w:sz w:val="20"/>
                <w:szCs w:val="20"/>
                <w:color w:val="auto"/>
              </w:rPr>
            </w:pPr>
            <w:r>
              <w:rPr>
                <w:rFonts w:ascii="Arial" w:cs="Arial" w:eastAsia="Arial" w:hAnsi="Arial"/>
                <w:sz w:val="14"/>
                <w:szCs w:val="14"/>
                <w:color w:val="auto"/>
              </w:rPr>
              <w:t>Unrealized depreciation of investments, net of $189</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40"/>
              <w:spacing w:after="0"/>
              <w:rPr>
                <w:sz w:val="20"/>
                <w:szCs w:val="20"/>
                <w:color w:val="auto"/>
              </w:rPr>
            </w:pPr>
            <w:r>
              <w:rPr>
                <w:rFonts w:ascii="Arial" w:cs="Arial" w:eastAsia="Arial" w:hAnsi="Arial"/>
                <w:sz w:val="14"/>
                <w:szCs w:val="14"/>
                <w:color w:val="auto"/>
              </w:rPr>
              <w:t>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(314)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44,972</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44,972</w:t>
            </w:r>
          </w:p>
        </w:tc>
        <w:tc>
          <w:tcPr>
            <w:tcW w:w="0" w:type="dxa"/>
            <w:vAlign w:val="bottom"/>
          </w:tcPr>
          <w:p>
            <w:pPr>
              <w:spacing w:after="0"/>
              <w:rPr>
                <w:sz w:val="1"/>
                <w:szCs w:val="1"/>
                <w:color w:val="auto"/>
              </w:rPr>
            </w:pPr>
          </w:p>
        </w:tc>
      </w:tr>
      <w:tr>
        <w:trPr>
          <w:trHeight w:val="216"/>
        </w:trPr>
        <w:tc>
          <w:tcPr>
            <w:tcW w:w="3500" w:type="dxa"/>
            <w:vAlign w:val="bottom"/>
          </w:tcPr>
          <w:p>
            <w:pPr>
              <w:ind w:left="40"/>
              <w:spacing w:after="0"/>
              <w:rPr>
                <w:sz w:val="20"/>
                <w:szCs w:val="20"/>
                <w:color w:val="auto"/>
              </w:rPr>
            </w:pPr>
            <w:r>
              <w:rPr>
                <w:rFonts w:ascii="Arial" w:cs="Arial" w:eastAsia="Arial" w:hAnsi="Arial"/>
                <w:sz w:val="14"/>
                <w:szCs w:val="14"/>
                <w:color w:val="auto"/>
              </w:rPr>
              <w:t>Balance, August 25, 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477,490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(3,686)</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144,691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25, 2012</w:t>
            </w:r>
          </w:p>
        </w:tc>
        <w:tc>
          <w:tcPr>
            <w:tcW w:w="14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27, 2011</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28, 2010</w:t>
            </w:r>
          </w:p>
        </w:tc>
      </w:tr>
      <w:tr>
        <w:trPr>
          <w:trHeight w:val="270"/>
        </w:trPr>
        <w:tc>
          <w:tcPr>
            <w:tcW w:w="6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44,972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11,843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10,247</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4,872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6,340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(income)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(783)</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(34,749)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1,275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Provision (reduction) for doubtful accounts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disposal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111</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(1,090)</w:t>
            </w: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(17,316)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(23,792)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4,107</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(8,550)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14,692</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9,756</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(3,600)</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33,039</w:t>
            </w:r>
          </w:p>
        </w:tc>
      </w:tr>
      <w:tr>
        <w:trPr>
          <w:trHeight w:val="284"/>
        </w:trPr>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140" w:type="dxa"/>
            <w:vAlign w:val="bottom"/>
          </w:tcPr>
          <w:p>
            <w:pPr>
              <w:spacing w:after="0"/>
              <w:rPr>
                <w:sz w:val="22"/>
                <w:szCs w:val="22"/>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7,150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15,850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life insurance</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140" w:type="dxa"/>
            <w:vAlign w:val="bottom"/>
          </w:tcPr>
          <w:p>
            <w:pPr>
              <w:spacing w:after="0"/>
              <w:rPr>
                <w:sz w:val="22"/>
                <w:szCs w:val="22"/>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(2,213)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(1,874)</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Cash paid for acquisition, net of cash acquired</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(4,694)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262</w:t>
            </w: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14,334</w:t>
            </w:r>
          </w:p>
        </w:tc>
      </w:tr>
      <w:tr>
        <w:trPr>
          <w:trHeight w:val="284"/>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r>
      <w:tr>
        <w:trPr>
          <w:trHeight w:val="260"/>
        </w:trPr>
        <w:tc>
          <w:tcPr>
            <w:tcW w:w="6500" w:type="dxa"/>
            <w:vAlign w:val="bottom"/>
          </w:tcPr>
          <w:p>
            <w:pPr>
              <w:ind w:left="180"/>
              <w:spacing w:after="0"/>
              <w:rPr>
                <w:sz w:val="20"/>
                <w:szCs w:val="20"/>
                <w:color w:val="auto"/>
              </w:rPr>
            </w:pPr>
            <w:r>
              <w:rPr>
                <w:rFonts w:ascii="Arial" w:cs="Arial" w:eastAsia="Arial" w:hAnsi="Arial"/>
                <w:sz w:val="16"/>
                <w:szCs w:val="16"/>
                <w:color w:val="auto"/>
              </w:rPr>
              <w:t>Payments of ARS portfolio</w:t>
            </w:r>
          </w:p>
        </w:tc>
        <w:tc>
          <w:tcPr>
            <w:tcW w:w="140" w:type="dxa"/>
            <w:vAlign w:val="bottom"/>
          </w:tcPr>
          <w:p>
            <w:pPr>
              <w:spacing w:after="0"/>
              <w:rPr>
                <w:sz w:val="22"/>
                <w:szCs w:val="22"/>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(9,100)</w:t>
            </w:r>
          </w:p>
        </w:tc>
      </w:tr>
      <w:tr>
        <w:trPr>
          <w:trHeight w:val="280"/>
        </w:trPr>
        <w:tc>
          <w:tcPr>
            <w:tcW w:w="6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280</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(6,621)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(9,248)</w:t>
            </w:r>
          </w:p>
        </w:tc>
      </w:tr>
      <w:tr>
        <w:trPr>
          <w:trHeight w:val="284"/>
        </w:trPr>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38,125</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69,307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74,691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36,566</w:t>
            </w:r>
          </w:p>
        </w:tc>
      </w:tr>
      <w:tr>
        <w:trPr>
          <w:trHeight w:val="24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74,691</w:t>
            </w: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7"/>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1"/>
        </w:trPr>
        <w:tc>
          <w:tcPr>
            <w:tcW w:w="6500" w:type="dxa"/>
            <w:vAlign w:val="bottom"/>
          </w:tcPr>
          <w:p>
            <w:pPr>
              <w:ind w:left="180"/>
              <w:spacing w:after="0"/>
              <w:rPr>
                <w:sz w:val="20"/>
                <w:szCs w:val="20"/>
                <w:color w:val="auto"/>
              </w:rPr>
            </w:pPr>
            <w:r>
              <w:rPr>
                <w:rFonts w:ascii="Arial" w:cs="Arial" w:eastAsia="Arial" w:hAnsi="Arial"/>
                <w:sz w:val="16"/>
                <w:szCs w:val="16"/>
                <w:color w:val="auto"/>
              </w:rPr>
              <w:t>Income taxes (refunded) paid,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(24,356)</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United States manufacturers of recreation vehicles. We sell motor homes through independent dealers, primarily throughout the United States and Canada, under the Winnebago, Itasca and Era brand names. We also sell travel trailer and fifth wheel towable products primarily throughout the United States and Canada under the SunnyBrook and Winnebago brand names. Other products manufactured by us consist primarily of original equipment manufacturing parts, including extruded aluminum and other component products for other manufacturers and commercial vehicles.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for Fiscal 2012 include the parent company and our wholly-owned subsidiary, Winnebago of Indiana, LLC. See Note 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 material intercompany balances and transactions with our subsidiary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The financial statements presented are all 52-week periods.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ind w:right="360"/>
        <w:spacing w:after="0" w:line="202" w:lineRule="exact"/>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w:t>
      </w:r>
      <w:r>
        <w:rPr>
          <w:rFonts w:ascii="Arial" w:cs="Arial" w:eastAsia="Arial" w:hAnsi="Arial"/>
          <w:sz w:val="16"/>
          <w:szCs w:val="16"/>
          <w:b w:val="1"/>
          <w:bCs w:val="1"/>
          <w:color w:val="auto"/>
        </w:rPr>
        <w:t xml:space="preserve"> </w:t>
      </w:r>
      <w:r>
        <w:rPr>
          <w:rFonts w:ascii="Arial" w:cs="Arial" w:eastAsia="Arial" w:hAnsi="Arial"/>
          <w:sz w:val="16"/>
          <w:szCs w:val="16"/>
          <w:color w:val="auto"/>
        </w:rPr>
        <w:t>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598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440" w:type="dxa"/>
            <w:vAlign w:val="bottom"/>
          </w:tcPr>
          <w:p>
            <w:pPr>
              <w:jc w:val="right"/>
              <w:ind w:right="199"/>
              <w:spacing w:after="0"/>
              <w:rPr>
                <w:sz w:val="20"/>
                <w:szCs w:val="20"/>
                <w:color w:val="auto"/>
              </w:rPr>
            </w:pPr>
            <w:r>
              <w:rPr>
                <w:rFonts w:ascii="Arial" w:cs="Arial" w:eastAsia="Arial" w:hAnsi="Arial"/>
                <w:sz w:val="16"/>
                <w:szCs w:val="16"/>
                <w:color w:val="auto"/>
              </w:rPr>
              <w:t>3-10 years</w:t>
            </w:r>
          </w:p>
        </w:tc>
      </w:tr>
      <w:tr>
        <w:trPr>
          <w:trHeight w:val="25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 equipment</w:t>
            </w:r>
          </w:p>
        </w:tc>
        <w:tc>
          <w:tcPr>
            <w:tcW w:w="5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assessed the fair value of certain properties which were idled and are listed for sale (see Note 6). We also reviewed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long-lived depreciable assets for impairment, noting no impairment.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Amortizable intangible assets consist of dealer network, trademarks and non-compete agreements and are amortized using the straight-line method over seven to ten years. Goodwill assets are reviewed for impairment by applying a fair-value based test on an annual basis, or more frequently if circumstances indicate a potential impairment. Amortizable intangible assets are also subject to impairment test annually or whenever events or changes in circumstances indicate that the carrying value of an asset may not be recoverable from future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an SIR for product liability which varies annually based on market conditions and for at least the last five fiscal years was at $2.5 million per occurrence and $6.0 million in aggregate per policy year. In the event that the annual aggregate of the SIR is exhausted by payment of claims and defense expenses, an SIR of $1.0 million, excluding defense expenses, is applicable to each claim covered under this policy.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 part of the process of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Generally, revenues for our recreation vehicles are recorded when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by our dealers under floorplan financing arrangements with banks or finance companies.</w:t>
      </w:r>
    </w:p>
    <w:p>
      <w:pPr>
        <w:spacing w:after="0" w:line="14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Revenues of our OEM components and recreation vehicle related parts are recorded as the products are shipped from our location. The title of ownership transfers on these products as they leave our location due to the freight terms of F.O.B. - Shipper.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One of our dealer organizations, FreedomRoads, LLC, accounted for 26%, 18%, and 15% of our consolidated net revenue in Fiscal 2012, 2011 and 2010, respectively. In Fiscal 2012 they sold our products in 62 of their dealership locations across 26 US states. The loss of this dealer organization could have a significant adverse effect on our business. In addition, deterioration in the liquidity or creditworthiness of FreedomRoads, LLC could negatively impact our sales and could trigger repurchase obligations under our repurchase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regulatory requirements that govern voluntary or involuntary relationship terminations.</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of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revenues for products shipped are included within net sales, while shipping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 xml:space="preserve">We have two operating segments, motorhomes and Towables, which aggregate into one reportable segment, the recreation vehicle market. We design, develop, manufacture and market motorized and towable recreation products along with supporting products and services. The Chief Executive Officer has been identified as the Chief Operating Decision Maker as defined by ASC No. 280, </w:t>
      </w:r>
      <w:r>
        <w:rPr>
          <w:rFonts w:ascii="Arial" w:cs="Arial" w:eastAsia="Arial" w:hAnsi="Arial"/>
          <w:sz w:val="16"/>
          <w:szCs w:val="16"/>
          <w:i w:val="1"/>
          <w:iCs w:val="1"/>
          <w:color w:val="auto"/>
        </w:rPr>
        <w:t>Disclosures about Segments Reporting</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2012, 2011 and 2010, we spent approximately $3.4 million, $3.3 million and $3.2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$4.3 million, $3.4 million, and $3.3 million in Fiscal 2012, 2011 and 2010,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Certain amounts reported in prior years in deferred tax assets have been reclassified to conform to the current year footnote presentation. The reclassifications had no impact on total deferred tax assets (see Note 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6, Note 8, and Note 14.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requires measurement uncertainty disclosure in the form of a sensitivity analysis of unobservable inputs to reasonable alternative amounts for all Level 3 recurring fair value measurements. ASU 2011-04 became effective for interim and annual periods beginning on or after December 15, 2011. The Company adopted this guidance in the third quarter of Fiscal 2012. The adoption of this guidance required additional disclosures, but did not have any impact on our consolidated results of operations, financial position, or cash flows.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On June 16,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which revised the manner in which entities present comprehensive income in their financial statements. ASU 2011-05 is effective for fiscal years beginning after December 15, 2011 (our Fiscal 2013). We do not believe that the adoption of this will have a significant impact on our consolidated financial statements.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which simplified the manner in which entities test goodwill for impairment. After assessment of certain qualitative factors, if it is determined to be more likely than not that the fair value of a reporting unit is less than its carrying amount, entities must perform a quantitative analysis of the goodwill impairment test. Otherwise, the quantitative test becomes optional. ASU 2011-08 is effective for fiscal years beginning after December 15, 2011 (our Fiscal 2013). We do not believe that the adoption of this will have a significant impact on our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Acquisition</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December 29, 2010 we purchased, through Towables, substantially all of the assets of SunnyBrook, a manufacturer of travel trailer and fifth wheel RVs. The aggregate consideration paid was $4.7 million in cash, net of cash acquired, including the repayment of $3.3 million of SunnyBrook commercial and shareholder debt on the closing date. The assets acquired include inventory, equipment and other tangible and intangible property and are being used in connection with the operation of manufacturing towable recreation vehicles. Also on December 29, 2010, we entered into a five-year operating lease agreement for the SunnyBrook facilities. See Note 19. The operations of Towables are included in our consolidated operating results from the date of its acquisition. Towables has continued to manufacture products under the SunnyBrook brands. In addition, in the first quarter of Fiscal 2012, Towables began diversifying its product line by including Winnebago brand trailer and fifth wheel products. The primary reason for the acquisition was diversification outside of the motorized market while utilizing the Winnebago brand strength in the towable market allowing for the potential of revenue and earnings growth.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20" w:type="dxa"/>
            <w:vAlign w:val="bottom"/>
          </w:tcPr>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64"/>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29, 2010</w:t>
            </w:r>
          </w:p>
        </w:tc>
      </w:tr>
      <w:tr>
        <w:trPr>
          <w:trHeight w:val="24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5,773</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337</w:t>
            </w:r>
          </w:p>
        </w:tc>
      </w:tr>
      <w:tr>
        <w:trPr>
          <w:trHeight w:val="25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Dealer network</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535</w:t>
            </w:r>
          </w:p>
        </w:tc>
      </w:tr>
      <w:tr>
        <w:trPr>
          <w:trHeight w:val="253"/>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w:t>
            </w:r>
          </w:p>
        </w:tc>
      </w:tr>
      <w:tr>
        <w:trPr>
          <w:trHeight w:val="233"/>
        </w:trPr>
        <w:tc>
          <w:tcPr>
            <w:tcW w:w="9520" w:type="dxa"/>
            <w:vAlign w:val="bottom"/>
          </w:tcPr>
          <w:p>
            <w:pPr>
              <w:ind w:left="40"/>
              <w:spacing w:after="0"/>
              <w:rPr>
                <w:sz w:val="20"/>
                <w:szCs w:val="20"/>
                <w:color w:val="auto"/>
              </w:rPr>
            </w:pPr>
            <w:r>
              <w:rPr>
                <w:rFonts w:ascii="Arial" w:cs="Arial" w:eastAsia="Arial" w:hAnsi="Arial"/>
                <w:sz w:val="16"/>
                <w:szCs w:val="16"/>
                <w:color w:val="auto"/>
              </w:rPr>
              <w:t>Non-compete agreement</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40</w:t>
            </w:r>
          </w:p>
        </w:tc>
      </w:tr>
      <w:tr>
        <w:trPr>
          <w:trHeight w:val="246"/>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(2,513)</w:t>
            </w:r>
          </w:p>
        </w:tc>
      </w:tr>
      <w:tr>
        <w:trPr>
          <w:trHeight w:val="233"/>
        </w:trPr>
        <w:tc>
          <w:tcPr>
            <w:tcW w:w="9520" w:type="dxa"/>
            <w:vAlign w:val="bottom"/>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180" w:type="dxa"/>
            <w:vAlign w:val="bottom"/>
          </w:tcPr>
          <w:p>
            <w:pPr>
              <w:spacing w:after="0"/>
              <w:rPr>
                <w:sz w:val="20"/>
                <w:szCs w:val="20"/>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5,596</w:t>
            </w:r>
          </w:p>
        </w:tc>
      </w:tr>
      <w:tr>
        <w:trPr>
          <w:trHeight w:val="246"/>
        </w:trPr>
        <w:tc>
          <w:tcPr>
            <w:tcW w:w="9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(902)</w:t>
            </w:r>
          </w:p>
        </w:tc>
      </w:tr>
      <w:tr>
        <w:trPr>
          <w:trHeight w:val="240"/>
        </w:trPr>
        <w:tc>
          <w:tcPr>
            <w:tcW w:w="9520" w:type="dxa"/>
            <w:vAlign w:val="bottom"/>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4,694</w:t>
            </w:r>
          </w:p>
        </w:tc>
      </w:tr>
      <w:tr>
        <w:trPr>
          <w:trHeight w:val="20"/>
        </w:trPr>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is being amortized on a straight line basis over 10 years. The trademarks were valued based on the Relief from Royalty Method and are being amortized on a straight line basis over 10 years. The non-compete agreement is being amortized on a straight line basis over 7 years. Goodwill is not subject to amortization and is tax deductible. Pro forma financial information has not been presented due to its insignificance.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25, 2012 and August 27, 2011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25, 2012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7,924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79"/>
              <w:spacing w:after="0"/>
              <w:rPr>
                <w:sz w:val="20"/>
                <w:szCs w:val="20"/>
                <w:color w:val="auto"/>
              </w:rPr>
            </w:pPr>
            <w:r>
              <w:rPr>
                <w:rFonts w:ascii="Arial" w:cs="Arial" w:eastAsia="Arial" w:hAnsi="Arial"/>
                <w:sz w:val="16"/>
                <w:szCs w:val="16"/>
                <w:b w:val="1"/>
                <w:bCs w:val="1"/>
                <w:color w:val="auto"/>
              </w:rPr>
              <w:t>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19"/>
                <w:szCs w:val="19"/>
                <w:color w:val="auto"/>
              </w:rPr>
            </w:pPr>
          </w:p>
        </w:tc>
        <w:tc>
          <w:tcPr>
            <w:tcW w:w="18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rPr>
              <w:t>Using Inputs Considered As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b w:val="1"/>
                <w:bCs w:val="1"/>
                <w:color w:val="auto"/>
              </w:rPr>
              <w:t>27, 2011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10,627</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10,627</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9,362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22,079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2012</w:t>
            </w:r>
          </w:p>
        </w:tc>
        <w:tc>
          <w:tcPr>
            <w:tcW w:w="320" w:type="dxa"/>
            <w:vAlign w:val="bottom"/>
          </w:tcPr>
          <w:p>
            <w:pPr>
              <w:spacing w:after="0"/>
              <w:rPr>
                <w:sz w:val="19"/>
                <w:szCs w:val="19"/>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7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10,627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17,785</w:t>
            </w:r>
          </w:p>
        </w:tc>
      </w:tr>
      <w:tr>
        <w:trPr>
          <w:trHeight w:val="260"/>
        </w:trPr>
        <w:tc>
          <w:tcPr>
            <w:tcW w:w="7040" w:type="dxa"/>
            <w:vAlign w:val="bottom"/>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80" w:type="dxa"/>
            <w:vAlign w:val="bottom"/>
          </w:tcPr>
          <w:p>
            <w:pPr>
              <w:spacing w:after="0"/>
              <w:rPr>
                <w:sz w:val="22"/>
                <w:szCs w:val="22"/>
                <w:color w:val="auto"/>
              </w:rPr>
            </w:pPr>
          </w:p>
        </w:tc>
        <w:tc>
          <w:tcPr>
            <w:tcW w:w="1800" w:type="dxa"/>
            <w:vAlign w:val="bottom"/>
          </w:tcPr>
          <w:p>
            <w:pPr>
              <w:jc w:val="right"/>
              <w:ind w:right="29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80" w:type="dxa"/>
            <w:vAlign w:val="bottom"/>
          </w:tcPr>
          <w:p>
            <w:pPr>
              <w:jc w:val="right"/>
              <w:ind w:right="299"/>
              <w:spacing w:after="0"/>
              <w:rPr>
                <w:sz w:val="20"/>
                <w:szCs w:val="20"/>
                <w:color w:val="auto"/>
              </w:rPr>
            </w:pPr>
            <w:r>
              <w:rPr>
                <w:rFonts w:ascii="Arial" w:cs="Arial" w:eastAsia="Arial" w:hAnsi="Arial"/>
                <w:sz w:val="16"/>
                <w:szCs w:val="16"/>
                <w:color w:val="auto"/>
              </w:rPr>
              <w:t>(8)</w:t>
            </w:r>
          </w:p>
        </w:tc>
      </w:tr>
      <w:tr>
        <w:trPr>
          <w:trHeight w:val="273"/>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(7,150)</w:t>
            </w:r>
          </w:p>
        </w:tc>
      </w:tr>
      <w:tr>
        <w:trPr>
          <w:trHeight w:val="240"/>
        </w:trPr>
        <w:tc>
          <w:tcPr>
            <w:tcW w:w="7040" w:type="dxa"/>
            <w:vAlign w:val="bottom"/>
          </w:tcPr>
          <w:p>
            <w:pPr>
              <w:ind w:left="40"/>
              <w:spacing w:after="0"/>
              <w:rPr>
                <w:sz w:val="20"/>
                <w:szCs w:val="20"/>
                <w:color w:val="auto"/>
              </w:rPr>
            </w:pPr>
            <w:r>
              <w:rPr>
                <w:rFonts w:ascii="Arial" w:cs="Arial" w:eastAsia="Arial" w:hAnsi="Arial"/>
                <w:sz w:val="16"/>
                <w:szCs w:val="16"/>
                <w:color w:val="auto"/>
              </w:rPr>
              <w:t>Balance at the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10,627</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following table presents quantitative information regarding unobservable inputs that were significant to the valuation of assets measured at fair value on a recurring basis at August 25, 2012 using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Range</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0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9"/>
              </w:rPr>
              <w:t>Low</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High</w:t>
            </w:r>
          </w:p>
        </w:tc>
      </w:tr>
      <w:tr>
        <w:trPr>
          <w:trHeight w:val="257"/>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Student loan ARS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9,074</w:t>
            </w:r>
          </w:p>
        </w:tc>
        <w:tc>
          <w:tcPr>
            <w:tcW w:w="12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3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Projected ARS Yield</w:t>
            </w:r>
          </w:p>
        </w:tc>
        <w:tc>
          <w:tcPr>
            <w:tcW w:w="7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2.02%</w:t>
            </w:r>
          </w:p>
        </w:tc>
        <w:tc>
          <w:tcPr>
            <w:tcW w:w="122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rPr>
              <w:t>2.16%</w:t>
            </w:r>
          </w:p>
        </w:tc>
      </w:tr>
      <w:tr>
        <w:trPr>
          <w:trHeight w:val="251"/>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00" w:type="dxa"/>
            <w:vAlign w:val="bottom"/>
            <w:gridSpan w:val="2"/>
          </w:tcPr>
          <w:p>
            <w:pPr>
              <w:ind w:left="40"/>
              <w:spacing w:after="0"/>
              <w:rPr>
                <w:sz w:val="20"/>
                <w:szCs w:val="20"/>
                <w:color w:val="auto"/>
              </w:rPr>
            </w:pPr>
            <w:r>
              <w:rPr>
                <w:rFonts w:ascii="Arial" w:cs="Arial" w:eastAsia="Arial" w:hAnsi="Arial"/>
                <w:sz w:val="16"/>
                <w:szCs w:val="16"/>
                <w:color w:val="auto"/>
              </w:rPr>
              <w:t>Discount for lack of marketability</w:t>
            </w:r>
          </w:p>
        </w:tc>
        <w:tc>
          <w:tcPr>
            <w:tcW w:w="700" w:type="dxa"/>
            <w:vAlign w:val="bottom"/>
          </w:tcPr>
          <w:p>
            <w:pPr>
              <w:jc w:val="center"/>
              <w:ind w:left="119"/>
              <w:spacing w:after="0"/>
              <w:rPr>
                <w:sz w:val="20"/>
                <w:szCs w:val="20"/>
                <w:color w:val="auto"/>
              </w:rPr>
            </w:pPr>
            <w:r>
              <w:rPr>
                <w:rFonts w:ascii="Arial" w:cs="Arial" w:eastAsia="Arial" w:hAnsi="Arial"/>
                <w:sz w:val="16"/>
                <w:szCs w:val="16"/>
                <w:color w:val="auto"/>
              </w:rPr>
              <w:t>2.95%</w:t>
            </w:r>
          </w:p>
        </w:tc>
        <w:tc>
          <w:tcPr>
            <w:tcW w:w="1220" w:type="dxa"/>
            <w:vAlign w:val="bottom"/>
            <w:gridSpan w:val="3"/>
          </w:tcPr>
          <w:p>
            <w:pPr>
              <w:jc w:val="center"/>
              <w:ind w:left="239"/>
              <w:spacing w:after="0"/>
              <w:rPr>
                <w:sz w:val="20"/>
                <w:szCs w:val="20"/>
                <w:color w:val="auto"/>
              </w:rPr>
            </w:pPr>
            <w:r>
              <w:rPr>
                <w:rFonts w:ascii="Arial" w:cs="Arial" w:eastAsia="Arial" w:hAnsi="Arial"/>
                <w:sz w:val="16"/>
                <w:szCs w:val="16"/>
                <w:color w:val="auto"/>
              </w:rPr>
              <w:t>3.45%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Our long-term investments are comprised of our ARS as described in Note 4. Our ARS investments are classified as Level 3, as</w:t>
      </w:r>
      <w:r>
        <w:rPr>
          <w:rFonts w:ascii="Arial" w:cs="Arial" w:eastAsia="Arial" w:hAnsi="Arial"/>
          <w:sz w:val="16"/>
          <w:szCs w:val="16"/>
          <w:i w:val="1"/>
          <w:iCs w:val="1"/>
          <w:color w:val="auto"/>
        </w:rPr>
        <w:t xml:space="preserve"> </w:t>
      </w:r>
      <w:r>
        <w:rPr>
          <w:rFonts w:ascii="Arial" w:cs="Arial" w:eastAsia="Arial" w:hAnsi="Arial"/>
          <w:sz w:val="16"/>
          <w:szCs w:val="16"/>
          <w:color w:val="auto"/>
        </w:rPr>
        <w:t>quoted prices were unavailable due to events described in Note 4. Due to limited market information, we utilized a DCF model to derive an estimate of fair value for the ARS at August 25, 2012.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3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They are classified as Level 1 as they are traded in an active market for which closing stock prices are readily available. These securities fund the Executive Share Option Plan (see Note 10), a deferred compensation program, and are presented as other assets in the accompanying balance sheets.</w:t>
      </w:r>
    </w:p>
    <w:p>
      <w:pPr>
        <w:spacing w:after="0" w:line="15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intangible assets and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equipment, are not required to be measured at fair value on a recurring basis. However, if</w:t>
      </w:r>
    </w:p>
    <w:p>
      <w:pPr>
        <w:sectPr>
          <w:pgSz w:w="11900" w:h="16838" w:orient="portrait"/>
          <w:cols w:equalWidth="0" w:num="1">
            <w:col w:w="11420"/>
          </w:cols>
          <w:pgMar w:left="240" w:top="14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certain triggering events occur, or if an annual impairment test is required, we must evaluate the non-financial asset for impairment. If an impairment did occur, the asset is required to be recorded at the estimated fair value. Using Level 2 inputs, we recorded an impairment of $50,000 for our idled fiberglass facility in Hampton, Iowa during the fiscal year ended August 25, 2012 , as compared to a $605,000 impairment of this facility recorded in Fiscal 2011 (see Note 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13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At August 25, 2012, we held $9.7 million (par value)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rated AAA by Standard &amp; Poor's Ratings Services and AAA to A by Fitch Ratings, and are collateralized by student loans guaranteed by the US Government under the Federal Family Education Loan Program.</w:t>
      </w:r>
    </w:p>
    <w:p>
      <w:pPr>
        <w:spacing w:after="0" w:line="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Since February 2008, most ARS auctions have failed and there is no assurance that future auctions for our ARS will succeed and, as a result, our ability to liquidate our investment and fully recover the par value in the near term may be limited or nonexistent. We have no reason to believe that any of the underlying issuers of our ARS are presently at risk of default. We have continued to receive interest payments on the ARS in accordance with their terms. We believe we will ultimately be able to liquidate our ARS related investments without significant loss primarily due to the collateral securing the ARS, but also due to the partial redemptions we have received over the last three fiscal years at par value. However, redemption could take until final maturity of the ARS (up to 29 years) to realize the par value of our investments. Due to the changes and uncertainty in the ARS market, we believe the recovery period for these investments is likely to be longer than 12 months and as a result, we have classified these investments as long-term as of August 25, 2012.</w:t>
      </w:r>
    </w:p>
    <w:p>
      <w:pPr>
        <w:spacing w:after="0" w:line="18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November 2008, we elected to participate in a rights offering by UBS AG ("UBS"), one of our brokers, which provided us with rights (the “Put Rights”) to sell to them $13.5 million at par value of our ARS portfolio, purchased through UBS, at any time during a two-year sale period beginning June 30, 2010. The terms of the legal settlement agreement also allowed us to borrow on a portion of our portfolio at “no net cost” and as a result, we borrowed $9.1 million under this arrangement in Fiscal 2009. We had the ability to maintain the no net cost loans until the securities were liquidated or they reached the June 2010 put date. During Fiscal 2010 in advance of the put date, UBS elected to redeem securities that had a par value of $12.6 million. Terms of the settlement agreement required us to repay a portion of the outstanding borrowings of $8.5 million. On June 30, 2010, we elected to exercise our Put Rights thereby liquidating our remaining UBS portfolio of $900,000 and in accordance of the terms repaid the remaining $610,000 of short-term ARS borrowings.</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At August 25, 2012, there was insufficient observable ARS market information available to determine the fair value of our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an unrealized temporary impairment of $576,000 in accumulated other comprehensive income before tax considerations related to our long-term ARS investments of $9.7 million (par value) at August 25,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1"/>
        </w:trPr>
        <w:tc>
          <w:tcPr>
            <w:tcW w:w="638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91"/>
        </w:trPr>
        <w:tc>
          <w:tcPr>
            <w:tcW w:w="6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4"/>
                <w:szCs w:val="24"/>
                <w:color w:val="auto"/>
              </w:rPr>
            </w:pPr>
          </w:p>
        </w:tc>
        <w:tc>
          <w:tcPr>
            <w:tcW w:w="220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25, 2012</w:t>
            </w:r>
          </w:p>
        </w:tc>
        <w:tc>
          <w:tcPr>
            <w:tcW w:w="380" w:type="dxa"/>
            <w:vAlign w:val="bottom"/>
          </w:tcPr>
          <w:p>
            <w:pPr>
              <w:spacing w:after="0"/>
              <w:rPr>
                <w:sz w:val="24"/>
                <w:szCs w:val="24"/>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6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30,054</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29,656</w:t>
            </w:r>
          </w:p>
        </w:tc>
      </w:tr>
      <w:tr>
        <w:trPr>
          <w:trHeight w:val="260"/>
        </w:trPr>
        <w:tc>
          <w:tcPr>
            <w:tcW w:w="63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45,240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31,966</w:t>
            </w:r>
          </w:p>
        </w:tc>
      </w:tr>
      <w:tr>
        <w:trPr>
          <w:trHeight w:val="273"/>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42,824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39,180</w:t>
            </w:r>
          </w:p>
        </w:tc>
      </w:tr>
      <w:tr>
        <w:trPr>
          <w:trHeight w:val="247"/>
        </w:trPr>
        <w:tc>
          <w:tcPr>
            <w:tcW w:w="6380" w:type="dxa"/>
            <w:vAlign w:val="bottom"/>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118,118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100,802</w:t>
            </w:r>
          </w:p>
        </w:tc>
      </w:tr>
      <w:tr>
        <w:trPr>
          <w:trHeight w:val="273"/>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(31,024)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(31,637)</w:t>
            </w:r>
          </w:p>
        </w:tc>
      </w:tr>
      <w:tr>
        <w:trPr>
          <w:trHeight w:val="240"/>
        </w:trPr>
        <w:tc>
          <w:tcPr>
            <w:tcW w:w="638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87,094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69,165</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$118.1 million inventory at August 25, 2012, $110.1 million is valued on a LIFO basis and the Towables inventory of $8.0 million is valued on a FIFO basis. Of the $100.8 million inventory at August 27, 2011, $94.3 million is valued on a LIFO basis and the Towables inventory of $6.5 million is valued on a FIFO basis.</w:t>
      </w:r>
    </w:p>
    <w:p>
      <w:pPr>
        <w:spacing w:after="0" w:line="17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Based on decreases in inflation rates partially offset by an increase in inventories during Fiscal 2012, we recorded a reduction to LIFO reserves of $613,000.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25, 2012</w:t>
            </w:r>
          </w:p>
        </w:tc>
        <w:tc>
          <w:tcPr>
            <w:tcW w:w="380" w:type="dxa"/>
            <w:vAlign w:val="bottom"/>
          </w:tcPr>
          <w:p>
            <w:pPr>
              <w:spacing w:after="0"/>
              <w:rPr>
                <w:sz w:val="19"/>
                <w:szCs w:val="19"/>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27, 2011</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767</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49,641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49,226</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90,775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90,380</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8,837</w:t>
            </w:r>
          </w:p>
        </w:tc>
      </w:tr>
      <w:tr>
        <w:trPr>
          <w:trHeight w:val="25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150,031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149,210</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(130,053)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(126,621)</w:t>
            </w:r>
          </w:p>
        </w:tc>
      </w:tr>
      <w:tr>
        <w:trPr>
          <w:trHeight w:val="24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19,978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22,589</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During the first quarter of Fiscal 2011, the CCMF facility was sold. The sale was finalized on November 1, 2010 and generated $4.0 million in gross proceeds, selling costs of $256,000 and a gain of $644,000.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At August 25, 2012, assets held for sale consist of an idled fiberglass facility in Hampton, Iowa valued at $550,000.</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recorded an impairment of $855,000 for the Hampton facility in the fourth quarter of Fiscal 2009 when the decision to close the facility was made. Additional impairment of $605,000 was recorded during the third quarter of Fiscal 2011 as a result of deteriorating real estate market conditions and and an additional impairment of $50,000 was recorded during the fourth quarter of Fiscal 2012 based upon the sale of the asset that occurred shortly after Fiscal 2012. On August 30, 2012 (our Fiscal 2013), it was sold to New South Central Properties, LLC. The sale generated $550,000 in gross proceeds.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Amortizable Intangible Assets</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the second quarter of Fiscal 2011, as more fully described in Note 2. Goodwill of $1.2 million is not subject to amortization for financial statement purposes, but is amortizable for tax return purposes. Amortizable intangible assets are amortized on a straight-line basis. The weighted average remaining amortization period at August 25, 2012 is 8.2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20"/>
                <w:szCs w:val="20"/>
                <w:color w:val="auto"/>
              </w:rPr>
            </w:pPr>
            <w:r>
              <w:rPr>
                <w:rFonts w:ascii="Arial" w:cs="Arial" w:eastAsia="Arial" w:hAnsi="Arial"/>
                <w:sz w:val="16"/>
                <w:szCs w:val="16"/>
                <w:color w:val="auto"/>
              </w:rPr>
              <w:t>Amortizable intangible assets consist of the following: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1"/>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August 25, 2012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August 27, 2011</w:t>
            </w:r>
          </w:p>
        </w:tc>
      </w:tr>
      <w:tr>
        <w:trPr>
          <w:trHeight w:val="198"/>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Dealer network</w:t>
            </w: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Non-compete agreement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516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was $79,000 for Fiscal 2012. Estimated amortization expense of intangible assets for next five fiscal years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8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r>
      <w:tr>
        <w:trPr>
          <w:trHeight w:val="243"/>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2013</w:t>
            </w:r>
          </w:p>
        </w:tc>
        <w:tc>
          <w:tcPr>
            <w:tcW w:w="4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460" w:type="dxa"/>
            <w:vAlign w:val="bottom"/>
          </w:tcPr>
          <w:p>
            <w:pPr>
              <w:spacing w:after="0"/>
              <w:rPr>
                <w:sz w:val="22"/>
                <w:szCs w:val="22"/>
                <w:color w:val="auto"/>
              </w:rPr>
            </w:pPr>
          </w:p>
        </w:tc>
        <w:tc>
          <w:tcPr>
            <w:tcW w:w="4800" w:type="dxa"/>
            <w:vAlign w:val="bottom"/>
          </w:tcPr>
          <w:p>
            <w:pPr>
              <w:jc w:val="right"/>
              <w:ind w:right="4059"/>
              <w:spacing w:after="0"/>
              <w:rPr>
                <w:sz w:val="20"/>
                <w:szCs w:val="20"/>
                <w:color w:val="auto"/>
              </w:rPr>
            </w:pPr>
            <w:r>
              <w:rPr>
                <w:rFonts w:ascii="Arial" w:cs="Arial" w:eastAsia="Arial" w:hAnsi="Arial"/>
                <w:sz w:val="16"/>
                <w:szCs w:val="16"/>
                <w:color w:val="auto"/>
              </w:rPr>
              <w:t>2014</w:t>
            </w:r>
          </w:p>
        </w:tc>
        <w:tc>
          <w:tcPr>
            <w:tcW w:w="4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460" w:type="dxa"/>
            <w:vAlign w:val="bottom"/>
            <w:shd w:val="clear" w:color="auto" w:fill="CCEEFF"/>
          </w:tcPr>
          <w:p>
            <w:pPr>
              <w:spacing w:after="0"/>
              <w:rPr>
                <w:sz w:val="24"/>
                <w:szCs w:val="24"/>
                <w:color w:val="auto"/>
              </w:rPr>
            </w:pP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2015</w:t>
            </w:r>
          </w:p>
        </w:tc>
        <w:tc>
          <w:tcPr>
            <w:tcW w:w="4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0"/>
        </w:trPr>
        <w:tc>
          <w:tcPr>
            <w:tcW w:w="1460" w:type="dxa"/>
            <w:vAlign w:val="bottom"/>
          </w:tcPr>
          <w:p>
            <w:pPr>
              <w:spacing w:after="0"/>
              <w:rPr>
                <w:sz w:val="22"/>
                <w:szCs w:val="22"/>
                <w:color w:val="auto"/>
              </w:rPr>
            </w:pPr>
          </w:p>
        </w:tc>
        <w:tc>
          <w:tcPr>
            <w:tcW w:w="4800" w:type="dxa"/>
            <w:vAlign w:val="bottom"/>
          </w:tcPr>
          <w:p>
            <w:pPr>
              <w:jc w:val="right"/>
              <w:ind w:right="4059"/>
              <w:spacing w:after="0"/>
              <w:rPr>
                <w:sz w:val="20"/>
                <w:szCs w:val="20"/>
                <w:color w:val="auto"/>
              </w:rPr>
            </w:pPr>
            <w:r>
              <w:rPr>
                <w:rFonts w:ascii="Arial" w:cs="Arial" w:eastAsia="Arial" w:hAnsi="Arial"/>
                <w:sz w:val="16"/>
                <w:szCs w:val="16"/>
                <w:color w:val="auto"/>
              </w:rPr>
              <w:t>2016</w:t>
            </w:r>
          </w:p>
        </w:tc>
        <w:tc>
          <w:tcPr>
            <w:tcW w:w="43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80"/>
        </w:trPr>
        <w:tc>
          <w:tcPr>
            <w:tcW w:w="1460" w:type="dxa"/>
            <w:vAlign w:val="bottom"/>
            <w:shd w:val="clear" w:color="auto" w:fill="CCEEFF"/>
          </w:tcPr>
          <w:p>
            <w:pPr>
              <w:spacing w:after="0"/>
              <w:rPr>
                <w:sz w:val="24"/>
                <w:szCs w:val="24"/>
                <w:color w:val="auto"/>
              </w:rPr>
            </w:pPr>
          </w:p>
        </w:tc>
        <w:tc>
          <w:tcPr>
            <w:tcW w:w="4800" w:type="dxa"/>
            <w:vAlign w:val="bottom"/>
            <w:shd w:val="clear" w:color="auto" w:fill="CCEEFF"/>
          </w:tcPr>
          <w:p>
            <w:pPr>
              <w:jc w:val="right"/>
              <w:ind w:right="4059"/>
              <w:spacing w:after="0"/>
              <w:rPr>
                <w:sz w:val="20"/>
                <w:szCs w:val="20"/>
                <w:color w:val="auto"/>
              </w:rPr>
            </w:pPr>
            <w:r>
              <w:rPr>
                <w:rFonts w:ascii="Arial" w:cs="Arial" w:eastAsia="Arial" w:hAnsi="Arial"/>
                <w:sz w:val="16"/>
                <w:szCs w:val="16"/>
                <w:color w:val="auto"/>
              </w:rPr>
              <w:t>2017</w:t>
            </w:r>
          </w:p>
        </w:tc>
        <w:tc>
          <w:tcPr>
            <w:tcW w:w="4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Credit Facilities</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"Agent"). The Loan Agreement provided for an initial $20.0 million revolving credit facility, based on the Company's eligible accounts receivable and eligible inventory. The facility expired on October 13, 2012. The Loan Agreement contained no financial covenant restrictions for borrowings up to $12.5 million; provided that borrowings cannot exceed the Asset Coverage Amount (as defined in the Loan Agreement) divided by 2.25. The Loan Agreement required us to comply with certain financial covenants not yet established if we borrowed more than $12.5 million up to $20.0 million. These covenants to be established included minimum EBITDA and minimum liquidity measurements, as defined in the agreement and limitations on capital</w:t>
      </w:r>
    </w:p>
    <w:p>
      <w:pPr>
        <w:sectPr>
          <w:pgSz w:w="11900" w:h="16838" w:orient="portrait"/>
          <w:cols w:equalWidth="0" w:num="1">
            <w:col w:w="11420"/>
          </w:cols>
          <w:pgMar w:left="240" w:top="141"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expenditures. The Loan Agreement also included a framework to expand the size of the facility up to $50.0 million, based on mutually agreeable covenants to be determined at the time of the expansion. Interest on loans made under the credit facility would have been based on the greater of LIBOR or 2.0% plus a margin of 4.0% or the greater of prime rate or 4.25% plus a margin of 3.0%. The unused line fee associated with this Loan Agreement was 1.25% per annum. No borrowings were made under the Loan Agreement in Fiscal 2012.</w:t>
      </w:r>
    </w:p>
    <w:p>
      <w:pPr>
        <w:spacing w:after="0" w:line="14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Loan Agreement contained typical affirmative representations and covenants for a credit agreement of this size and nature. Additionally, the Loan Agreement contained negative covenants limiting our ability, among other things, to incur debt, grant liens, make acquisitions, make certain investments, pay certain dividends and distributions (including stock repurchases), engage in mergers, consolidations or acquisitions and sell certain assets. The Loan Agreement expressly prohibited the payment of cash dividends without the consent of the Agent and the lenders thereunder in their sole discretion. Our obligations under the Loan Agreement were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82"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February 1, 2012 Wells Fargo Bank, National Association purchased the loan portfolio of Burdale Capital Finance, Inc., which included the Loan Agreement. No modifications were made to the Loan Agreement as a result of this transaction.</w:t>
      </w:r>
    </w:p>
    <w:p>
      <w:pPr>
        <w:spacing w:after="0" w:line="16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Loan Agreement expired on October 13, 2012. We are reviewing other financing alternatives and expect to enter into a similar facility before the end of calendar 2012.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 home customers a comprehensive 12-month/15,000-mile warranty on our Class A, B and C motor 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2012, Fiscal 2011 and Fiscal 2010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25, 2012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3"/>
          </w:tcPr>
          <w:p>
            <w:pPr>
              <w:ind w:left="80"/>
              <w:spacing w:after="0"/>
              <w:rPr>
                <w:sz w:val="20"/>
                <w:szCs w:val="20"/>
                <w:color w:val="auto"/>
              </w:rPr>
            </w:pPr>
            <w:r>
              <w:rPr>
                <w:rFonts w:ascii="Arial" w:cs="Arial" w:eastAsia="Arial" w:hAnsi="Arial"/>
                <w:sz w:val="16"/>
                <w:szCs w:val="16"/>
                <w:b w:val="1"/>
                <w:bCs w:val="1"/>
                <w:color w:val="auto"/>
              </w:rPr>
              <w:t>August 27, 2011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57"/>
        </w:trPr>
        <w:tc>
          <w:tcPr>
            <w:tcW w:w="5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7,335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7,634</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60" w:type="dxa"/>
            <w:vAlign w:val="bottom"/>
          </w:tcPr>
          <w:p>
            <w:pPr>
              <w:spacing w:after="0"/>
              <w:rPr>
                <w:sz w:val="22"/>
                <w:szCs w:val="22"/>
                <w:color w:val="auto"/>
              </w:rPr>
            </w:pPr>
          </w:p>
        </w:tc>
        <w:tc>
          <w:tcPr>
            <w:tcW w:w="1720" w:type="dxa"/>
            <w:vAlign w:val="bottom"/>
          </w:tcPr>
          <w:p>
            <w:pPr>
              <w:jc w:val="right"/>
              <w:ind w:right="459"/>
              <w:spacing w:after="0"/>
              <w:rPr>
                <w:sz w:val="20"/>
                <w:szCs w:val="20"/>
                <w:color w:val="auto"/>
              </w:rPr>
            </w:pPr>
            <w:r>
              <w:rPr>
                <w:rFonts w:ascii="Arial" w:cs="Arial" w:eastAsia="Arial" w:hAnsi="Arial"/>
                <w:sz w:val="16"/>
                <w:szCs w:val="16"/>
                <w:color w:val="auto"/>
              </w:rPr>
              <w:t>5,756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459"/>
              <w:spacing w:after="0"/>
              <w:rPr>
                <w:sz w:val="20"/>
                <w:szCs w:val="20"/>
                <w:color w:val="auto"/>
              </w:rPr>
            </w:pPr>
            <w:r>
              <w:rPr>
                <w:rFonts w:ascii="Arial" w:cs="Arial" w:eastAsia="Arial" w:hAnsi="Arial"/>
                <w:sz w:val="16"/>
                <w:szCs w:val="16"/>
                <w:color w:val="auto"/>
              </w:rPr>
              <w:t>5,566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6,209</w:t>
            </w:r>
          </w:p>
        </w:tc>
        <w:tc>
          <w:tcPr>
            <w:tcW w:w="0" w:type="dxa"/>
            <w:vAlign w:val="bottom"/>
          </w:tcPr>
          <w:p>
            <w:pPr>
              <w:spacing w:after="0"/>
              <w:rPr>
                <w:sz w:val="1"/>
                <w:szCs w:val="1"/>
                <w:color w:val="auto"/>
              </w:rPr>
            </w:pP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(6,101)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(5,865)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6,990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7,335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4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August 25, 2012</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45,132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41,370</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23,630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24,622</w:t>
            </w:r>
          </w:p>
        </w:tc>
        <w:tc>
          <w:tcPr>
            <w:tcW w:w="0" w:type="dxa"/>
            <w:vAlign w:val="bottom"/>
          </w:tcPr>
          <w:p>
            <w:pPr>
              <w:spacing w:after="0"/>
              <w:rPr>
                <w:sz w:val="1"/>
                <w:szCs w:val="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7,798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3,342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102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7"/>
        </w:trPr>
        <w:tc>
          <w:tcPr>
            <w:tcW w:w="5040" w:type="dxa"/>
            <w:vAlign w:val="bottom"/>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80,004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78,457</w:t>
            </w:r>
          </w:p>
        </w:tc>
        <w:tc>
          <w:tcPr>
            <w:tcW w:w="0" w:type="dxa"/>
            <w:vAlign w:val="bottom"/>
          </w:tcPr>
          <w:p>
            <w:pPr>
              <w:spacing w:after="0"/>
              <w:rPr>
                <w:sz w:val="1"/>
                <w:szCs w:val="1"/>
                <w:color w:val="auto"/>
              </w:rPr>
            </w:pPr>
          </w:p>
        </w:tc>
      </w:tr>
      <w:tr>
        <w:trPr>
          <w:trHeight w:val="27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(4,869)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4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19"/>
              <w:spacing w:after="0"/>
              <w:rPr>
                <w:sz w:val="20"/>
                <w:szCs w:val="20"/>
                <w:color w:val="auto"/>
              </w:rPr>
            </w:pPr>
            <w:r>
              <w:rPr>
                <w:rFonts w:ascii="Arial" w:cs="Arial" w:eastAsia="Arial" w:hAnsi="Arial"/>
                <w:sz w:val="16"/>
                <w:szCs w:val="16"/>
                <w:color w:val="auto"/>
              </w:rPr>
              <w:t>75,135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Retirees are required to pay a monthly premium in excess of the employer dollar caps for medical coverage based on years of service and age at retirement. In January 2012 the employer established dollar caps were reduced by 10% through a plan amendment which reduced our liability for postretirement health care by $4.6 million, as presented in the table below.</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discount rate used in determining the accumulated postretirement benefit obligation was 3.6% at August 25, 2012 and 4.9% at August 27, 2011. In Fiscal 2012, the decrease in the discount rate resulted in an increase to the benefit obligation of $7.2 million, presented as an actuarial loss in the following table. Assumed health care cost trend rates do not have a significant effect in determining the accumulated postretirement benefit obligation due to employer caps established.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1"/>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40" w:type="dxa"/>
            <w:vAlign w:val="bottom"/>
          </w:tcPr>
          <w:p>
            <w:pPr>
              <w:spacing w:after="0"/>
              <w:rPr>
                <w:sz w:val="24"/>
                <w:szCs w:val="24"/>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41,370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40,327</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1,905</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608</w:t>
            </w:r>
          </w:p>
        </w:tc>
      </w:tr>
      <w:tr>
        <w:trPr>
          <w:trHeight w:val="260"/>
        </w:trPr>
        <w:tc>
          <w:tcPr>
            <w:tcW w:w="740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(1,228)</w:t>
            </w:r>
          </w:p>
        </w:tc>
      </w:tr>
      <w:tr>
        <w:trPr>
          <w:trHeight w:val="280"/>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(242)</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(4,598)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41,370</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r>
      <w:tr>
        <w:trPr>
          <w:trHeight w:val="264"/>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25, 2012</w:t>
            </w:r>
          </w:p>
        </w:tc>
        <w:tc>
          <w:tcPr>
            <w:tcW w:w="260" w:type="dxa"/>
            <w:vAlign w:val="bottom"/>
          </w:tcPr>
          <w:p>
            <w:pPr>
              <w:spacing w:after="0"/>
              <w:rPr>
                <w:sz w:val="22"/>
                <w:szCs w:val="22"/>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27, 2011</w:t>
            </w:r>
          </w:p>
        </w:tc>
        <w:tc>
          <w:tcPr>
            <w:tcW w:w="280" w:type="dxa"/>
            <w:vAlign w:val="bottom"/>
          </w:tcPr>
          <w:p>
            <w:pPr>
              <w:spacing w:after="0"/>
              <w:rPr>
                <w:sz w:val="22"/>
                <w:szCs w:val="22"/>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4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1,849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1,905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1,979</w:t>
            </w:r>
          </w:p>
        </w:tc>
      </w:tr>
      <w:tr>
        <w:trPr>
          <w:trHeight w:val="260"/>
        </w:trPr>
        <w:tc>
          <w:tcPr>
            <w:tcW w:w="49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tcPr>
          <w:p>
            <w:pPr>
              <w:jc w:val="right"/>
              <w:ind w:right="45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ind w:right="459"/>
              <w:spacing w:after="0"/>
              <w:rPr>
                <w:sz w:val="20"/>
                <w:szCs w:val="20"/>
                <w:color w:val="auto"/>
              </w:rPr>
            </w:pPr>
            <w:r>
              <w:rPr>
                <w:rFonts w:ascii="Arial" w:cs="Arial" w:eastAsia="Arial" w:hAnsi="Arial"/>
                <w:sz w:val="16"/>
                <w:szCs w:val="16"/>
                <w:color w:val="auto"/>
              </w:rPr>
              <w:t>555</w:t>
            </w:r>
          </w:p>
        </w:tc>
      </w:tr>
      <w:tr>
        <w:trPr>
          <w:trHeight w:val="28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(4,199)</w:t>
            </w:r>
          </w:p>
        </w:tc>
      </w:tr>
      <w:tr>
        <w:trPr>
          <w:trHeight w:val="264"/>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875</w:t>
            </w:r>
          </w:p>
        </w:tc>
      </w:tr>
      <w:tr>
        <w:trPr>
          <w:trHeight w:val="24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(790)</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benefit associated with the establishment of caps on the employer portion of benefits in Fiscal 2005 and the 10% cap reduction in Fiscal 2012.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6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7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(17,808)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(17,801)</w:t>
            </w:r>
          </w:p>
        </w:tc>
      </w:tr>
      <w:tr>
        <w:trPr>
          <w:trHeight w:val="264"/>
        </w:trPr>
        <w:tc>
          <w:tcPr>
            <w:tcW w:w="7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22,075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15,918</w:t>
            </w:r>
          </w:p>
        </w:tc>
      </w:tr>
      <w:tr>
        <w:trPr>
          <w:trHeight w:val="24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(1,883)</w:t>
            </w: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estimated amounts that will be will be amortized from accumulated other comprehensive income to net periodic benefit cost in Fiscal 2013 include a prior service credit of $4.8 million and an actuarial net loss of $1.6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1,457</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1,645</w:t>
            </w:r>
          </w:p>
        </w:tc>
      </w:tr>
      <w:tr>
        <w:trPr>
          <w:trHeight w:val="260"/>
        </w:trPr>
        <w:tc>
          <w:tcPr>
            <w:tcW w:w="680" w:type="dxa"/>
            <w:vAlign w:val="bottom"/>
          </w:tcPr>
          <w:p>
            <w:pPr>
              <w:spacing w:after="0"/>
              <w:rPr>
                <w:sz w:val="22"/>
                <w:szCs w:val="22"/>
                <w:color w:val="auto"/>
              </w:rPr>
            </w:pPr>
          </w:p>
        </w:tc>
        <w:tc>
          <w:tcPr>
            <w:tcW w:w="8940" w:type="dxa"/>
            <w:vAlign w:val="bottom"/>
          </w:tcPr>
          <w:p>
            <w:pPr>
              <w:ind w:left="28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1,806</w:t>
            </w:r>
          </w:p>
        </w:tc>
      </w:tr>
      <w:tr>
        <w:trPr>
          <w:trHeight w:val="280"/>
        </w:trPr>
        <w:tc>
          <w:tcPr>
            <w:tcW w:w="680" w:type="dxa"/>
            <w:vAlign w:val="bottom"/>
            <w:shd w:val="clear" w:color="auto" w:fill="CCEEFF"/>
          </w:tcPr>
          <w:p>
            <w:pPr>
              <w:spacing w:after="0"/>
              <w:rPr>
                <w:sz w:val="24"/>
                <w:szCs w:val="24"/>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r>
      <w:tr>
        <w:trPr>
          <w:trHeight w:val="264"/>
        </w:trPr>
        <w:tc>
          <w:tcPr>
            <w:tcW w:w="680" w:type="dxa"/>
            <w:vAlign w:val="bottom"/>
            <w:tcBorders>
              <w:bottom w:val="single" w:sz="8" w:color="CCEEFF"/>
            </w:tcBorders>
          </w:tcPr>
          <w:p>
            <w:pPr>
              <w:spacing w:after="0"/>
              <w:rPr>
                <w:sz w:val="22"/>
                <w:szCs w:val="22"/>
                <w:color w:val="auto"/>
              </w:rPr>
            </w:pPr>
          </w:p>
        </w:tc>
        <w:tc>
          <w:tcPr>
            <w:tcW w:w="8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2018 - 2022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11,936</w:t>
            </w:r>
          </w:p>
        </w:tc>
      </w:tr>
      <w:tr>
        <w:trPr>
          <w:trHeight w:val="240"/>
        </w:trPr>
        <w:tc>
          <w:tcPr>
            <w:tcW w:w="680" w:type="dxa"/>
            <w:vAlign w:val="bottom"/>
            <w:tcBorders>
              <w:bottom w:val="single" w:sz="8" w:color="CCEEFF"/>
            </w:tcBorders>
            <w:shd w:val="clear" w:color="auto" w:fill="CCEEFF"/>
          </w:tcPr>
          <w:p>
            <w:pPr>
              <w:spacing w:after="0"/>
              <w:rPr>
                <w:sz w:val="20"/>
                <w:szCs w:val="20"/>
                <w:color w:val="auto"/>
              </w:rPr>
            </w:pPr>
          </w:p>
        </w:tc>
        <w:tc>
          <w:tcPr>
            <w:tcW w:w="9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20,060</w:t>
            </w:r>
          </w:p>
        </w:tc>
      </w:tr>
      <w:tr>
        <w:trPr>
          <w:trHeight w:val="20"/>
        </w:trPr>
        <w:tc>
          <w:tcPr>
            <w:tcW w:w="6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25, 2012 and include benefits attached to estimated current employees' future services.</w:t>
      </w:r>
    </w:p>
    <w:p>
      <w:pPr>
        <w:sectPr>
          <w:pgSz w:w="11900" w:h="16838" w:orient="portrait"/>
          <w:cols w:equalWidth="0" w:num="1">
            <w:col w:w="11420"/>
          </w:cols>
          <w:pgMar w:left="240" w:top="14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41"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$1.6 million, $1.8 million and $1.9 million in Fiscal 2012, 2011 and 2010, respectively. Total deferred compensation liabilities were $23.6 million and $24.6 million at August 25, 2012 and August 27, 2011,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$3.3 million and $3.1 million at August 25, 2012 and August 27, 2011,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40" w:type="dxa"/>
            <w:vAlign w:val="bottom"/>
          </w:tcPr>
          <w:p>
            <w:pPr>
              <w:spacing w:after="0"/>
              <w:rPr>
                <w:sz w:val="19"/>
                <w:szCs w:val="19"/>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27, 2011</w:t>
            </w:r>
          </w:p>
        </w:tc>
      </w:tr>
      <w:tr>
        <w:trPr>
          <w:trHeight w:val="257"/>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53,948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53,650</w:t>
            </w:r>
          </w:p>
        </w:tc>
      </w:tr>
      <w:tr>
        <w:trPr>
          <w:trHeight w:val="264"/>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(30,821)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(29,981)</w:t>
            </w:r>
          </w:p>
        </w:tc>
      </w:tr>
      <w:tr>
        <w:trPr>
          <w:trHeight w:val="24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23,669</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Total Executive Plan assets are included in other assets in the accompanying balance sheets. Such assets on August 25, 2012 and August 27, 2011 were $9.4 million and $11.5 million, respectively, and the liabilities were $7.8 million and $9.3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 accompanying balance sheets. Such assets on August 25, 2012 and August 27, 2011 were $102,000 and $93,000, respectively, and liabilities were $102,000 and $93,000,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2012, 2011 and 2010 were $676,000, $676,000 and $685,000,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$165.4 million and $155.5 million at August 25, 2012 and August 27, 2011, respectively.</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$5.0 million and $5.7 million at August 25, 2012 and August 27, 2011, respectively.</w:t>
      </w:r>
    </w:p>
    <w:p>
      <w:pPr>
        <w:spacing w:after="0" w:line="14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$627,000 as of August 25, 2012 and $1.2 million as of August 27,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1"/>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62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2012</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2011</w:t>
            </w:r>
          </w:p>
        </w:tc>
        <w:tc>
          <w:tcPr>
            <w:tcW w:w="18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Fiscal 2010</w:t>
            </w:r>
          </w:p>
        </w:tc>
      </w:tr>
      <w:tr>
        <w:trPr>
          <w:trHeight w:val="270"/>
        </w:trPr>
        <w:tc>
          <w:tcPr>
            <w:tcW w:w="6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62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0"/>
        </w:trPr>
        <w:tc>
          <w:tcPr>
            <w:tcW w:w="666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280"/>
        </w:trPr>
        <w:tc>
          <w:tcPr>
            <w:tcW w:w="6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51"/>
        </w:trPr>
        <w:tc>
          <w:tcPr>
            <w:tcW w:w="666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operating leases for certain land, buildings and equipment. Lease expense was $864,000 for Fiscal 2012 (see Note 19), $642,000 for Fiscal 2011 and $220,000 for Fiscal 2010. Minimum future lease commitments under noncancelable lease agreements in excess of one year as of August 25, 2012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7"/>
        </w:trPr>
        <w:tc>
          <w:tcPr>
            <w:tcW w:w="1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2013</w:t>
            </w:r>
          </w:p>
        </w:tc>
        <w:tc>
          <w:tcPr>
            <w:tcW w:w="6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2"/>
                <w:szCs w:val="22"/>
                <w:color w:val="auto"/>
              </w:rPr>
            </w:pPr>
          </w:p>
        </w:tc>
        <w:tc>
          <w:tcPr>
            <w:tcW w:w="2420" w:type="dxa"/>
            <w:vAlign w:val="bottom"/>
          </w:tcPr>
          <w:p>
            <w:pPr>
              <w:ind w:left="180"/>
              <w:spacing w:after="0"/>
              <w:rPr>
                <w:sz w:val="20"/>
                <w:szCs w:val="20"/>
                <w:color w:val="auto"/>
              </w:rPr>
            </w:pPr>
            <w:r>
              <w:rPr>
                <w:rFonts w:ascii="Arial" w:cs="Arial" w:eastAsia="Arial" w:hAnsi="Arial"/>
                <w:sz w:val="16"/>
                <w:szCs w:val="16"/>
                <w:color w:val="auto"/>
              </w:rPr>
              <w:t>2014</w:t>
            </w:r>
          </w:p>
        </w:tc>
        <w:tc>
          <w:tcPr>
            <w:tcW w:w="6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0"/>
        </w:trPr>
        <w:tc>
          <w:tcPr>
            <w:tcW w:w="1340" w:type="dxa"/>
            <w:vAlign w:val="bottom"/>
            <w:shd w:val="clear" w:color="auto" w:fill="CCEEFF"/>
          </w:tcPr>
          <w:p>
            <w:pPr>
              <w:spacing w:after="0"/>
              <w:rPr>
                <w:sz w:val="24"/>
                <w:szCs w:val="24"/>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2015</w:t>
            </w:r>
          </w:p>
        </w:tc>
        <w:tc>
          <w:tcPr>
            <w:tcW w:w="6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2"/>
                <w:szCs w:val="22"/>
                <w:color w:val="auto"/>
              </w:rPr>
            </w:pPr>
          </w:p>
        </w:tc>
        <w:tc>
          <w:tcPr>
            <w:tcW w:w="2420" w:type="dxa"/>
            <w:vAlign w:val="bottom"/>
          </w:tcPr>
          <w:p>
            <w:pPr>
              <w:ind w:left="180"/>
              <w:spacing w:after="0"/>
              <w:rPr>
                <w:sz w:val="20"/>
                <w:szCs w:val="20"/>
                <w:color w:val="auto"/>
              </w:rPr>
            </w:pPr>
            <w:r>
              <w:rPr>
                <w:rFonts w:ascii="Arial" w:cs="Arial" w:eastAsia="Arial" w:hAnsi="Arial"/>
                <w:sz w:val="16"/>
                <w:szCs w:val="16"/>
                <w:color w:val="auto"/>
              </w:rPr>
              <w:t>2016</w:t>
            </w:r>
          </w:p>
        </w:tc>
        <w:tc>
          <w:tcPr>
            <w:tcW w:w="6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1340" w:type="dxa"/>
            <w:vAlign w:val="bottom"/>
            <w:shd w:val="clear" w:color="auto" w:fill="CCEEFF"/>
          </w:tcPr>
          <w:p>
            <w:pPr>
              <w:spacing w:after="0"/>
              <w:rPr>
                <w:sz w:val="23"/>
                <w:szCs w:val="23"/>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6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6"/>
                <w:szCs w:val="16"/>
                <w:color w:val="auto"/>
              </w:rPr>
              <w:t>Total</w:t>
            </w:r>
          </w:p>
        </w:tc>
        <w:tc>
          <w:tcPr>
            <w:tcW w:w="66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300" w:type="dxa"/>
            <w:vAlign w:val="bottom"/>
            <w:vMerge w:val="restart"/>
          </w:tcPr>
          <w:p>
            <w:pPr>
              <w:jc w:val="right"/>
              <w:ind w:right="41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47"/>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Note 12: Income Taxes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1"/>
        </w:trPr>
        <w:tc>
          <w:tcPr>
            <w:tcW w:w="5500" w:type="dxa"/>
            <w:vAlign w:val="bottom"/>
            <w:gridSpan w:val="2"/>
          </w:tcPr>
          <w:p>
            <w:pPr>
              <w:spacing w:after="0"/>
              <w:rPr>
                <w:sz w:val="20"/>
                <w:szCs w:val="20"/>
                <w:color w:val="auto"/>
              </w:rPr>
            </w:pPr>
            <w:r>
              <w:rPr>
                <w:rFonts w:ascii="Arial" w:cs="Arial" w:eastAsia="Arial" w:hAnsi="Arial"/>
                <w:sz w:val="16"/>
                <w:szCs w:val="16"/>
                <w:color w:val="auto"/>
              </w:rPr>
              <w:t>The components of the (benefit) provision for income taxes are as follows: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4"/>
        </w:trPr>
        <w:tc>
          <w:tcPr>
            <w:tcW w:w="55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25, 2012</w:t>
            </w:r>
          </w:p>
        </w:tc>
        <w:tc>
          <w:tcPr>
            <w:tcW w:w="240" w:type="dxa"/>
            <w:vAlign w:val="bottom"/>
          </w:tcPr>
          <w:p>
            <w:pPr>
              <w:spacing w:after="0"/>
              <w:rPr>
                <w:sz w:val="22"/>
                <w:szCs w:val="22"/>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27, 2011</w:t>
            </w:r>
          </w:p>
        </w:tc>
        <w:tc>
          <w:tcPr>
            <w:tcW w:w="240" w:type="dxa"/>
            <w:vAlign w:val="bottom"/>
          </w:tcPr>
          <w:p>
            <w:pPr>
              <w:spacing w:after="0"/>
              <w:rPr>
                <w:sz w:val="22"/>
                <w:szCs w:val="22"/>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28, 2010</w:t>
            </w:r>
          </w:p>
        </w:tc>
      </w:tr>
      <w:tr>
        <w:trPr>
          <w:trHeight w:val="270"/>
        </w:trPr>
        <w:tc>
          <w:tcPr>
            <w:tcW w:w="55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0"/>
        </w:trPr>
        <w:tc>
          <w:tcPr>
            <w:tcW w:w="550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(7,694)</w:t>
            </w:r>
          </w:p>
        </w:tc>
      </w:tr>
      <w:tr>
        <w:trPr>
          <w:trHeight w:val="273"/>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(3,255)</w:t>
            </w:r>
          </w:p>
        </w:tc>
      </w:tr>
      <w:tr>
        <w:trPr>
          <w:trHeight w:val="250"/>
        </w:trPr>
        <w:tc>
          <w:tcPr>
            <w:tcW w:w="5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current tax provision (benefit)</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(10,949)</w:t>
            </w:r>
          </w:p>
        </w:tc>
      </w:tr>
      <w:tr>
        <w:trPr>
          <w:trHeight w:val="270"/>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0"/>
        </w:trPr>
        <w:tc>
          <w:tcPr>
            <w:tcW w:w="5500" w:type="dxa"/>
            <w:vAlign w:val="bottom"/>
            <w:gridSpan w:val="2"/>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22"/>
                <w:szCs w:val="22"/>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(33,218)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1,260</w:t>
            </w:r>
          </w:p>
        </w:tc>
      </w:tr>
      <w:tr>
        <w:trPr>
          <w:trHeight w:val="273"/>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184</w:t>
            </w:r>
          </w:p>
        </w:tc>
      </w:tr>
      <w:tr>
        <w:trPr>
          <w:trHeight w:val="250"/>
        </w:trPr>
        <w:tc>
          <w:tcPr>
            <w:tcW w:w="5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deferred tax (benefit) provision</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(34,749)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1,444</w:t>
            </w:r>
          </w:p>
        </w:tc>
      </w:tr>
      <w:tr>
        <w:trPr>
          <w:trHeight w:val="24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tax (benefit) provision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(34,865)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(9,505)</w:t>
            </w:r>
          </w:p>
        </w:tc>
      </w:tr>
      <w:tr>
        <w:trPr>
          <w:trHeight w:val="20"/>
        </w:trPr>
        <w:tc>
          <w:tcPr>
            <w:tcW w:w="1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Tax (Benefit) Provision</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amount of current federal tax provision noted in the table above for Fiscal 2012 and 2011 represents primarily the estimated federal tax (benefit) payable for those fiscal years in addition to the tax effect of tax planning initiatives recorded during the year. Of the current federal benefit of $7.7 million for Fiscal 2010 reflected in the table above, $5.8 million relates to the carryback of our Fiscal 2009 losses and the remaining benefit relates to settlements of uncertain tax positions as a result of our federal audit. On November 6, 2009, the President of the United States signed into law the Worker, Homeownership, and Business Assistance Act of 2009, which expanded the NOL carryback period from two to five years, allowing us to carryback all Fiscal 2009 NOLs. As a result, we recorded a total tax benefit of $5.8 million in Fiscal 2010 related to the portion of the 2009 NOL that was previously not able to be carried back and reduced the associated valuation allowance.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state benefit recorded in Fiscal 2012, Fiscal 2011 and Fiscal 2010 is primarily a result of tax planning initiatives recorded during those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(Benefit) Provision</w:t>
      </w:r>
    </w:p>
    <w:p>
      <w:pPr>
        <w:spacing w:after="0" w:line="25"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The deferred federal and state tax benefit recorded during Fiscal 2012 is associated with the reduction in valuation allowance on deferred tax assets. During the year, the Company made the determination that a full valuation on the deferred tax assets is no longer required as a result of our analysis that illustrates our ability to utilize the assets in the future. The deferred federal tax expense recorded during Fiscal 2010 is primarily the result of tax planning initiatives and changes in the valuation allowance recorded during that year.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Year Ended</w:t>
            </w:r>
          </w:p>
        </w:tc>
        <w:tc>
          <w:tcPr>
            <w:tcW w:w="2040" w:type="dxa"/>
            <w:vAlign w:val="bottom"/>
            <w:tcBorders>
              <w:bottom w:val="single" w:sz="8" w:color="auto"/>
            </w:tcBorders>
          </w:tcPr>
          <w:p>
            <w:pPr>
              <w:spacing w:after="0"/>
              <w:rPr>
                <w:sz w:val="19"/>
                <w:szCs w:val="19"/>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(A percentage)</w:t>
            </w:r>
          </w:p>
        </w:tc>
        <w:tc>
          <w:tcPr>
            <w:tcW w:w="2080" w:type="dxa"/>
            <w:vAlign w:val="bottom"/>
            <w:gridSpan w:val="2"/>
          </w:tcPr>
          <w:p>
            <w:pPr>
              <w:ind w:left="260"/>
              <w:spacing w:after="0"/>
              <w:rPr>
                <w:sz w:val="20"/>
                <w:szCs w:val="20"/>
                <w:color w:val="auto"/>
              </w:rPr>
            </w:pPr>
            <w:r>
              <w:rPr>
                <w:rFonts w:ascii="Arial" w:cs="Arial" w:eastAsia="Arial" w:hAnsi="Arial"/>
                <w:sz w:val="16"/>
                <w:szCs w:val="16"/>
                <w:b w:val="1"/>
                <w:bCs w:val="1"/>
                <w:color w:val="auto"/>
              </w:rPr>
              <w:t>August 25, 2012</w:t>
            </w:r>
          </w:p>
        </w:tc>
        <w:tc>
          <w:tcPr>
            <w:tcW w:w="2020" w:type="dxa"/>
            <w:vAlign w:val="bottom"/>
            <w:gridSpan w:val="2"/>
          </w:tcPr>
          <w:p>
            <w:pPr>
              <w:ind w:left="340"/>
              <w:spacing w:after="0"/>
              <w:rPr>
                <w:sz w:val="20"/>
                <w:szCs w:val="20"/>
                <w:color w:val="auto"/>
              </w:rPr>
            </w:pPr>
            <w:r>
              <w:rPr>
                <w:rFonts w:ascii="Arial" w:cs="Arial" w:eastAsia="Arial" w:hAnsi="Arial"/>
                <w:sz w:val="16"/>
                <w:szCs w:val="16"/>
                <w:b w:val="1"/>
                <w:bCs w:val="1"/>
                <w:color w:val="auto"/>
              </w:rPr>
              <w:t>August 27, 2011</w:t>
            </w:r>
          </w:p>
        </w:tc>
        <w:tc>
          <w:tcPr>
            <w:tcW w:w="20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 2010</w:t>
            </w:r>
          </w:p>
        </w:tc>
      </w:tr>
      <w:tr>
        <w:trPr>
          <w:trHeight w:val="270"/>
        </w:trPr>
        <w:tc>
          <w:tcPr>
            <w:tcW w:w="5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9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34.0 %</w:t>
            </w:r>
          </w:p>
        </w:tc>
        <w:tc>
          <w:tcPr>
            <w:tcW w:w="10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34.0 %</w:t>
            </w:r>
          </w:p>
        </w:tc>
        <w:tc>
          <w:tcPr>
            <w:tcW w:w="100" w:type="dxa"/>
            <w:vAlign w:val="bottom"/>
            <w:tcBorders>
              <w:top w:val="single" w:sz="8" w:color="CCEEFF"/>
            </w:tcBorders>
            <w:shd w:val="clear" w:color="auto" w:fill="CCEEFF"/>
          </w:tcPr>
          <w:p>
            <w:pPr>
              <w:spacing w:after="0"/>
              <w:rPr>
                <w:sz w:val="23"/>
                <w:szCs w:val="23"/>
                <w:color w:val="auto"/>
              </w:rPr>
            </w:pPr>
          </w:p>
        </w:tc>
        <w:tc>
          <w:tcPr>
            <w:tcW w:w="20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35.0 %</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1980" w:type="dxa"/>
            <w:vAlign w:val="bottom"/>
          </w:tcPr>
          <w:p>
            <w:pPr>
              <w:jc w:val="right"/>
              <w:ind w:right="218"/>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2"/>
                <w:szCs w:val="22"/>
                <w:color w:val="auto"/>
              </w:rPr>
            </w:pPr>
          </w:p>
        </w:tc>
        <w:tc>
          <w:tcPr>
            <w:tcW w:w="1920" w:type="dxa"/>
            <w:vAlign w:val="bottom"/>
          </w:tcPr>
          <w:p>
            <w:pPr>
              <w:jc w:val="right"/>
              <w:ind w:right="218"/>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2"/>
                <w:szCs w:val="22"/>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color w:val="auto"/>
              </w:rPr>
              <w:t>4.2 %</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(136.5)%</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1980" w:type="dxa"/>
            <w:vAlign w:val="bottom"/>
          </w:tcPr>
          <w:p>
            <w:pPr>
              <w:jc w:val="right"/>
              <w:ind w:right="198"/>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920" w:type="dxa"/>
            <w:vAlign w:val="bottom"/>
          </w:tcPr>
          <w:p>
            <w:pPr>
              <w:jc w:val="right"/>
              <w:ind w:right="218"/>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color w:val="auto"/>
              </w:rPr>
              <w:t>— %</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1980" w:type="dxa"/>
            <w:vAlign w:val="bottom"/>
          </w:tcPr>
          <w:p>
            <w:pPr>
              <w:jc w:val="right"/>
              <w:ind w:right="218"/>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22"/>
                <w:szCs w:val="22"/>
                <w:color w:val="auto"/>
              </w:rPr>
            </w:pPr>
          </w:p>
        </w:tc>
        <w:tc>
          <w:tcPr>
            <w:tcW w:w="1920" w:type="dxa"/>
            <w:vAlign w:val="bottom"/>
          </w:tcPr>
          <w:p>
            <w:pPr>
              <w:jc w:val="right"/>
              <w:ind w:right="218"/>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color w:val="auto"/>
              </w:rPr>
              <w:t>187.2 %</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1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(735.3)%</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1980" w:type="dxa"/>
            <w:vAlign w:val="bottom"/>
          </w:tcPr>
          <w:p>
            <w:pPr>
              <w:jc w:val="right"/>
              <w:ind w:right="198"/>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920" w:type="dxa"/>
            <w:vAlign w:val="bottom"/>
          </w:tcPr>
          <w:p>
            <w:pPr>
              <w:jc w:val="right"/>
              <w:ind w:right="218"/>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(430.6)%</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state returns</w:t>
            </w:r>
          </w:p>
        </w:tc>
        <w:tc>
          <w:tcPr>
            <w:tcW w:w="198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center"/>
              <w:ind w:left="778"/>
              <w:spacing w:after="0"/>
              <w:rPr>
                <w:sz w:val="20"/>
                <w:szCs w:val="20"/>
                <w:color w:val="auto"/>
              </w:rPr>
            </w:pPr>
            <w:r>
              <w:rPr>
                <w:rFonts w:ascii="Arial" w:cs="Arial" w:eastAsia="Arial" w:hAnsi="Arial"/>
                <w:sz w:val="16"/>
                <w:szCs w:val="16"/>
                <w:color w:val="auto"/>
              </w:rPr>
              <w:t>— %</w:t>
            </w: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(193.4)%</w:t>
            </w:r>
          </w:p>
        </w:tc>
      </w:tr>
      <w:tr>
        <w:trPr>
          <w:trHeight w:val="264"/>
        </w:trPr>
        <w:tc>
          <w:tcPr>
            <w:tcW w:w="5280" w:type="dxa"/>
            <w:vAlign w:val="bottom"/>
          </w:tcPr>
          <w:p>
            <w:pPr>
              <w:ind w:left="40"/>
              <w:spacing w:after="0"/>
              <w:rPr>
                <w:sz w:val="20"/>
                <w:szCs w:val="20"/>
                <w:color w:val="auto"/>
              </w:rPr>
            </w:pPr>
            <w:r>
              <w:rPr>
                <w:rFonts w:ascii="Arial" w:cs="Arial" w:eastAsia="Arial" w:hAnsi="Arial"/>
                <w:sz w:val="16"/>
                <w:szCs w:val="16"/>
                <w:color w:val="auto"/>
              </w:rPr>
              <w:t>Other</w:t>
            </w:r>
          </w:p>
        </w:tc>
        <w:tc>
          <w:tcPr>
            <w:tcW w:w="2080" w:type="dxa"/>
            <w:vAlign w:val="bottom"/>
            <w:gridSpan w:val="2"/>
          </w:tcPr>
          <w:p>
            <w:pPr>
              <w:ind w:left="1320"/>
              <w:spacing w:after="0"/>
              <w:rPr>
                <w:sz w:val="20"/>
                <w:szCs w:val="20"/>
                <w:color w:val="auto"/>
              </w:rPr>
            </w:pPr>
            <w:r>
              <w:rPr>
                <w:rFonts w:ascii="Arial" w:cs="Arial" w:eastAsia="Arial" w:hAnsi="Arial"/>
                <w:sz w:val="18"/>
                <w:szCs w:val="18"/>
                <w:color w:val="auto"/>
              </w:rPr>
              <w:t>— %</w:t>
            </w:r>
          </w:p>
        </w:tc>
        <w:tc>
          <w:tcPr>
            <w:tcW w:w="2020" w:type="dxa"/>
            <w:vAlign w:val="bottom"/>
            <w:gridSpan w:val="2"/>
          </w:tcPr>
          <w:p>
            <w:pPr>
              <w:jc w:val="center"/>
              <w:ind w:left="778"/>
              <w:spacing w:after="0"/>
              <w:rPr>
                <w:sz w:val="20"/>
                <w:szCs w:val="20"/>
                <w:color w:val="auto"/>
              </w:rPr>
            </w:pPr>
            <w:r>
              <w:rPr>
                <w:rFonts w:ascii="Arial" w:cs="Arial" w:eastAsia="Arial" w:hAnsi="Arial"/>
                <w:sz w:val="18"/>
                <w:szCs w:val="18"/>
                <w:color w:val="auto"/>
              </w:rPr>
              <w:t>— %</w:t>
            </w: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(11.6)%</w:t>
            </w:r>
          </w:p>
        </w:tc>
      </w:tr>
      <w:tr>
        <w:trPr>
          <w:trHeight w:val="24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(benefit) provision rate</w:t>
            </w:r>
          </w:p>
        </w:tc>
        <w:tc>
          <w:tcPr>
            <w:tcW w:w="19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(345.0)%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0.8 %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(1,281.0)%</w:t>
            </w:r>
          </w:p>
        </w:tc>
      </w:tr>
      <w:tr>
        <w:trPr>
          <w:trHeight w:val="20"/>
        </w:trPr>
        <w:tc>
          <w:tcPr>
            <w:tcW w:w="52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612"/>
        </w:trPr>
        <w:tc>
          <w:tcPr>
            <w:tcW w:w="5280" w:type="dxa"/>
            <w:vAlign w:val="bottom"/>
          </w:tcPr>
          <w:p>
            <w:pPr>
              <w:spacing w:after="0"/>
              <w:rPr>
                <w:sz w:val="24"/>
                <w:szCs w:val="24"/>
                <w:color w:val="auto"/>
              </w:rPr>
            </w:pPr>
          </w:p>
        </w:tc>
        <w:tc>
          <w:tcPr>
            <w:tcW w:w="1980" w:type="dxa"/>
            <w:vAlign w:val="bottom"/>
          </w:tcPr>
          <w:p>
            <w:pPr>
              <w:jc w:val="right"/>
              <w:ind w:right="1378"/>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7400" w:type="dxa"/>
            <w:vAlign w:val="bottom"/>
            <w:gridSpan w:val="2"/>
          </w:tcPr>
          <w:p>
            <w:pPr>
              <w:spacing w:after="0"/>
              <w:rPr>
                <w:sz w:val="20"/>
                <w:szCs w:val="20"/>
                <w:color w:val="auto"/>
              </w:rPr>
            </w:pPr>
            <w:r>
              <w:rPr>
                <w:rFonts w:ascii="Arial" w:cs="Arial" w:eastAsia="Arial" w:hAnsi="Arial"/>
                <w:sz w:val="16"/>
                <w:szCs w:val="16"/>
                <w:color w:val="auto"/>
              </w:rPr>
              <w:t>Significant items comprising our net deferred tax assets are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August 25, 2012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27, 2011</w:t>
            </w:r>
          </w:p>
        </w:tc>
      </w:tr>
      <w:tr>
        <w:trPr>
          <w:trHeight w:val="250"/>
        </w:trPr>
        <w:tc>
          <w:tcPr>
            <w:tcW w:w="74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240" w:type="dxa"/>
            <w:vAlign w:val="bottom"/>
          </w:tcPr>
          <w:p>
            <w:pPr>
              <w:spacing w:after="0"/>
              <w:rPr>
                <w:sz w:val="21"/>
                <w:szCs w:val="21"/>
                <w:color w:val="auto"/>
              </w:rPr>
            </w:pPr>
          </w:p>
        </w:tc>
        <w:tc>
          <w:tcPr>
            <w:tcW w:w="1720" w:type="dxa"/>
            <w:vAlign w:val="bottom"/>
          </w:tcPr>
          <w:p>
            <w:pPr>
              <w:jc w:val="right"/>
              <w:ind w:right="719"/>
              <w:spacing w:after="0"/>
              <w:rPr>
                <w:sz w:val="20"/>
                <w:szCs w:val="20"/>
                <w:color w:val="auto"/>
              </w:rPr>
            </w:pPr>
            <w:r>
              <w:rPr>
                <w:rFonts w:ascii="Arial" w:cs="Arial" w:eastAsia="Arial" w:hAnsi="Arial"/>
                <w:sz w:val="16"/>
                <w:szCs w:val="16"/>
                <w:b w:val="1"/>
                <w:bCs w:val="1"/>
                <w:color w:val="auto"/>
              </w:rPr>
              <w:t>Total</w:t>
            </w:r>
          </w:p>
        </w:tc>
      </w:tr>
      <w:tr>
        <w:trPr>
          <w:trHeight w:val="270"/>
        </w:trPr>
        <w:tc>
          <w:tcPr>
            <w:tcW w:w="74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Warranty reserves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w:t>
            </w:r>
          </w:p>
        </w:tc>
      </w:tr>
      <w:tr>
        <w:trPr>
          <w:trHeight w:val="280"/>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1,204</w:t>
            </w: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Accrued vacation</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1,625</w:t>
            </w:r>
          </w:p>
        </w:tc>
      </w:tr>
      <w:tr>
        <w:trPr>
          <w:trHeight w:val="280"/>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669</w:t>
            </w: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1,022</w:t>
            </w:r>
          </w:p>
        </w:tc>
      </w:tr>
      <w:tr>
        <w:trPr>
          <w:trHeight w:val="273"/>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Miscellaneous reserves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1,349</w:t>
            </w:r>
          </w:p>
        </w:tc>
      </w:tr>
      <w:tr>
        <w:trPr>
          <w:trHeight w:val="250"/>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current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8,457</w:t>
            </w:r>
          </w:p>
        </w:tc>
      </w:tr>
      <w:tr>
        <w:trPr>
          <w:trHeight w:val="270"/>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Postretirement health care benefits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16,508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15,087</w:t>
            </w:r>
          </w:p>
        </w:tc>
      </w:tr>
      <w:tr>
        <w:trPr>
          <w:trHeight w:val="280"/>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12,416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13,493</w:t>
            </w: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Tax credits and NOL carryforwards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2,755</w:t>
            </w:r>
          </w:p>
        </w:tc>
      </w:tr>
      <w:tr>
        <w:trPr>
          <w:trHeight w:val="280"/>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Unrecognized tax benefit</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1,625</w:t>
            </w:r>
          </w:p>
        </w:tc>
      </w:tr>
      <w:tr>
        <w:trPr>
          <w:trHeight w:val="260"/>
        </w:trPr>
        <w:tc>
          <w:tcPr>
            <w:tcW w:w="74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(2,426)</w:t>
            </w:r>
          </w:p>
        </w:tc>
      </w:tr>
      <w:tr>
        <w:trPr>
          <w:trHeight w:val="273"/>
        </w:trPr>
        <w:tc>
          <w:tcPr>
            <w:tcW w:w="7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908</w:t>
            </w:r>
          </w:p>
        </w:tc>
      </w:tr>
      <w:tr>
        <w:trPr>
          <w:trHeight w:val="250"/>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noncurrent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32,089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31,442</w:t>
            </w:r>
          </w:p>
        </w:tc>
      </w:tr>
      <w:tr>
        <w:trPr>
          <w:trHeight w:val="257"/>
        </w:trPr>
        <w:tc>
          <w:tcPr>
            <w:tcW w:w="7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gross deferred tax assets</w:t>
            </w: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40,542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39,899</w:t>
            </w:r>
          </w:p>
        </w:tc>
      </w:tr>
      <w:tr>
        <w:trPr>
          <w:trHeight w:val="264"/>
        </w:trPr>
        <w:tc>
          <w:tcPr>
            <w:tcW w:w="7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Valuation allowance</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(1,569)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(39,250)</w:t>
            </w:r>
          </w:p>
        </w:tc>
      </w:tr>
      <w:tr>
        <w:trPr>
          <w:trHeight w:val="24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38,973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649</w:t>
            </w:r>
          </w:p>
        </w:tc>
      </w:tr>
      <w:tr>
        <w:trPr>
          <w:trHeight w:val="20"/>
        </w:trPr>
        <w:tc>
          <w:tcPr>
            <w:tcW w:w="1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w:t>
      </w:r>
    </w:p>
    <w:p>
      <w:pPr>
        <w:spacing w:after="0" w:line="149" w:lineRule="exact"/>
        <w:rPr>
          <w:sz w:val="20"/>
          <w:szCs w:val="20"/>
          <w:color w:val="auto"/>
        </w:rPr>
      </w:pPr>
    </w:p>
    <w:p>
      <w:pPr>
        <w:ind w:left="340" w:right="26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Fiscal 2009, we established a full valuation allowance on all deferred tax assets due to our three-year historical cumulative losses incurred combined with the uncertain market and economic conditions that reduced our ability to rely on our projections of any future taxable income.</w:t>
      </w:r>
    </w:p>
    <w:p>
      <w:pPr>
        <w:spacing w:after="0" w:line="141"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Fiscal 2011, we re-established deferred tax assets of $649,000, primarily due to taxable earnings achieved in Fiscal 2011 which increased the likelihood of realizing a portion of gross deferred tax assets in the future.</w:t>
      </w:r>
    </w:p>
    <w:p>
      <w:pPr>
        <w:spacing w:after="0" w:line="141" w:lineRule="exact"/>
        <w:rPr>
          <w:rFonts w:ascii="Arial" w:cs="Arial" w:eastAsia="Arial" w:hAnsi="Arial"/>
          <w:sz w:val="16"/>
          <w:szCs w:val="16"/>
          <w:color w:val="auto"/>
        </w:rPr>
      </w:pPr>
    </w:p>
    <w:p>
      <w:pPr>
        <w:ind w:left="340" w:right="60" w:hanging="332"/>
        <w:spacing w:after="0" w:line="24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fourth quarter of Fiscal 2012, we evaluated the sustainability of our deferred tax assets which included the assessment of cumulative income or losses over recent prior periods. We determined that $39.0 million of our deferred tax assets were sustainable due to the fact that we are now in a three-year historical cumulative income position as opposed to a three-year historical loss position and have a positive future outlook. This resulted in a tax benefit through the reduction of our valuation allowance. At August 25, 2012, our deferred tax assets included $1.4 million of unused tax credits, which will expire in Fiscal 2014, and $1.4 million of state NOLs that will begin to expire in Fiscal 2013, if not otherwise used by us. A valuation allowance of $1.6 million has been maintained for these assets as it is unlikely that the $1.4 million of tax credits will be utilized before they expire and $200,000 of state NOLs are currently not available to be utilized due to a suspension put in place by that state. Based on ASC 740 guidelines, we determined a valuation allowance of $1.6 million was appropriate as of August 25,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49"/>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Unrecognized Tax Benefits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6400" w:type="dxa"/>
            <w:vAlign w:val="bottom"/>
            <w:gridSpan w:val="2"/>
          </w:tcPr>
          <w:p>
            <w:pPr>
              <w:spacing w:after="0"/>
              <w:rPr>
                <w:sz w:val="20"/>
                <w:szCs w:val="20"/>
                <w:color w:val="auto"/>
              </w:rPr>
            </w:pPr>
            <w:r>
              <w:rPr>
                <w:rFonts w:ascii="Arial" w:cs="Arial" w:eastAsia="Arial" w:hAnsi="Arial"/>
                <w:sz w:val="16"/>
                <w:szCs w:val="16"/>
                <w:color w:val="auto"/>
              </w:rPr>
              <w:t>Changes in the unrecognized tax benefits are as follows: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91"/>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 2012</w:t>
            </w: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2011</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Fiscal 2010</w:t>
            </w:r>
          </w:p>
        </w:tc>
        <w:tc>
          <w:tcPr>
            <w:tcW w:w="340" w:type="dxa"/>
            <w:vAlign w:val="bottom"/>
          </w:tcPr>
          <w:p>
            <w:pPr>
              <w:spacing w:after="0"/>
              <w:rPr>
                <w:sz w:val="24"/>
                <w:szCs w:val="24"/>
                <w:color w:val="auto"/>
              </w:rPr>
            </w:pPr>
          </w:p>
        </w:tc>
      </w:tr>
      <w:tr>
        <w:trPr>
          <w:trHeight w:val="270"/>
        </w:trPr>
        <w:tc>
          <w:tcPr>
            <w:tcW w:w="64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(5,387)</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(5,877)</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340" w:type="dxa"/>
            <w:vAlign w:val="bottom"/>
            <w:tcBorders>
              <w:top w:val="single" w:sz="8" w:color="auto"/>
            </w:tcBorders>
            <w:shd w:val="clear" w:color="auto" w:fill="CCEEFF"/>
          </w:tcPr>
          <w:p>
            <w:pPr>
              <w:spacing w:after="0"/>
              <w:rPr>
                <w:sz w:val="23"/>
                <w:szCs w:val="23"/>
                <w:color w:val="auto"/>
              </w:rPr>
            </w:pP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Gross increases - tax positions in a prior period</w:t>
            </w:r>
          </w:p>
        </w:tc>
        <w:tc>
          <w:tcPr>
            <w:tcW w:w="260" w:type="dxa"/>
            <w:vAlign w:val="bottom"/>
          </w:tcPr>
          <w:p>
            <w:pPr>
              <w:spacing w:after="0"/>
              <w:rPr>
                <w:sz w:val="22"/>
                <w:szCs w:val="22"/>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w:t>
            </w:r>
          </w:p>
        </w:tc>
        <w:tc>
          <w:tcPr>
            <w:tcW w:w="340" w:type="dxa"/>
            <w:vAlign w:val="bottom"/>
          </w:tcPr>
          <w:p>
            <w:pPr>
              <w:spacing w:after="0"/>
              <w:rPr>
                <w:sz w:val="22"/>
                <w:szCs w:val="22"/>
                <w:color w:val="auto"/>
              </w:rPr>
            </w:pPr>
          </w:p>
        </w:tc>
      </w:tr>
      <w:tr>
        <w:trPr>
          <w:trHeight w:val="28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2,900</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r>
      <w:tr>
        <w:trPr>
          <w:trHeight w:val="26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60" w:type="dxa"/>
            <w:vAlign w:val="bottom"/>
          </w:tcPr>
          <w:p>
            <w:pPr>
              <w:spacing w:after="0"/>
              <w:rPr>
                <w:sz w:val="22"/>
                <w:szCs w:val="22"/>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22"/>
                <w:szCs w:val="22"/>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2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r>
      <w:tr>
        <w:trPr>
          <w:trHeight w:val="307"/>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(5,228)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(5,387)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340" w:type="dxa"/>
            <w:vAlign w:val="bottom"/>
            <w:tcBorders>
              <w:top w:val="single" w:sz="8" w:color="auto"/>
              <w:bottom w:val="single" w:sz="8" w:color="auto"/>
            </w:tcBorders>
          </w:tcPr>
          <w:p>
            <w:pPr>
              <w:spacing w:after="0"/>
              <w:rPr>
                <w:sz w:val="24"/>
                <w:szCs w:val="24"/>
                <w:color w:val="auto"/>
              </w:rPr>
            </w:pPr>
          </w:p>
        </w:tc>
      </w:tr>
      <w:tr>
        <w:trPr>
          <w:trHeight w:val="267"/>
        </w:trPr>
        <w:tc>
          <w:tcPr>
            <w:tcW w:w="126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51"/>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Accrued interest and penalties (included in unrecognized tax benefits)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(2,398)</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(2,509)</w:t>
            </w:r>
          </w:p>
        </w:tc>
        <w:tc>
          <w:tcPr>
            <w:tcW w:w="340" w:type="dxa"/>
            <w:vAlign w:val="bottom"/>
          </w:tcPr>
          <w:p>
            <w:pPr>
              <w:spacing w:after="0"/>
              <w:rPr>
                <w:sz w:val="21"/>
                <w:szCs w:val="21"/>
                <w:color w:val="auto"/>
              </w:rPr>
            </w:pPr>
          </w:p>
        </w:tc>
      </w:tr>
    </w:tbl>
    <w:p>
      <w:pPr>
        <w:spacing w:after="0" w:line="38" w:lineRule="exact"/>
        <w:rPr>
          <w:sz w:val="20"/>
          <w:szCs w:val="20"/>
          <w:color w:val="auto"/>
        </w:rPr>
      </w:pPr>
    </w:p>
    <w:p>
      <w:pPr>
        <w:ind w:left="340" w:right="240" w:hanging="332"/>
        <w:spacing w:after="0" w:line="209"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The $2.9 million decrease in unrecognized benefit reserves is primarily a reduction of reserves associated with positive settlements of uncertain tax positions related to the finalization of the IRS examination of our federal income tax returns for Fiscal 2006 through Fiscal 2008.</w:t>
      </w:r>
    </w:p>
    <w:p>
      <w:pPr>
        <w:ind w:left="340" w:hanging="332"/>
        <w:spacing w:after="0" w:line="187" w:lineRule="auto"/>
        <w:tabs>
          <w:tab w:leader="none" w:pos="340" w:val="left"/>
        </w:tabs>
        <w:numPr>
          <w:ilvl w:val="0"/>
          <w:numId w:val="24"/>
        </w:numPr>
        <w:rPr>
          <w:rFonts w:ascii="Arial" w:cs="Arial" w:eastAsia="Arial" w:hAnsi="Arial"/>
          <w:sz w:val="21"/>
          <w:szCs w:val="21"/>
          <w:color w:val="auto"/>
          <w:vertAlign w:val="superscript"/>
        </w:rPr>
      </w:pPr>
      <w:r>
        <w:rPr>
          <w:rFonts w:ascii="Arial" w:cs="Arial" w:eastAsia="Arial" w:hAnsi="Arial"/>
          <w:sz w:val="14"/>
          <w:szCs w:val="14"/>
          <w:color w:val="auto"/>
        </w:rPr>
        <w:t>The $546,000 reduction in reserves is actual cash payments as a result of settlements of uncertain tax positions in various taxing jurisdictions.</w:t>
      </w:r>
    </w:p>
    <w:p>
      <w:pPr>
        <w:spacing w:after="0" w:line="190"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If the remaining uncertain positions are ultimately favorably resolved, $3.3 million of unrecognized benefits could have a positive impact on our effective tax rate, as the Company has recorded deferred tax assets associated with these positions, and the valuation allowance associated with this liability has been eliminated. It is our policy to recognize interest and penalties accrued relative to unrecognized tax benefits into tax expense.</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 for Fiscal 2009, with source years 2004 and 2005 as a result of carryback claims, were under examination by the IRS and finalized during Fiscal 2011. This examination was concluded during the fourth quarter of Fiscal 2011, resulting with no changes being recommended by the IRS.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25,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20"/>
                <w:szCs w:val="20"/>
                <w:color w:val="auto"/>
              </w:rPr>
            </w:pPr>
            <w:r>
              <w:rPr>
                <w:rFonts w:ascii="Arial" w:cs="Arial" w:eastAsia="Arial" w:hAnsi="Arial"/>
                <w:sz w:val="16"/>
                <w:szCs w:val="16"/>
                <w:b w:val="1"/>
                <w:bCs w:val="1"/>
                <w:color w:val="auto"/>
              </w:rPr>
              <w:t>Note 13: Non-Operating Income and Expense</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8"/>
        </w:trPr>
        <w:tc>
          <w:tcPr>
            <w:tcW w:w="5460" w:type="dxa"/>
            <w:vAlign w:val="bottom"/>
          </w:tcPr>
          <w:p>
            <w:pPr>
              <w:spacing w:after="0"/>
              <w:rPr>
                <w:sz w:val="20"/>
                <w:szCs w:val="20"/>
                <w:color w:val="auto"/>
              </w:rPr>
            </w:pPr>
            <w:r>
              <w:rPr>
                <w:rFonts w:ascii="Arial" w:cs="Arial" w:eastAsia="Arial" w:hAnsi="Arial"/>
                <w:sz w:val="16"/>
                <w:szCs w:val="16"/>
                <w:color w:val="auto"/>
              </w:rPr>
              <w:t>Non-operating income consists of:</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5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25, 2012</w:t>
            </w:r>
          </w:p>
        </w:tc>
        <w:tc>
          <w:tcPr>
            <w:tcW w:w="22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27, 2011</w:t>
            </w:r>
          </w:p>
        </w:tc>
        <w:tc>
          <w:tcPr>
            <w:tcW w:w="240" w:type="dxa"/>
            <w:vAlign w:val="bottom"/>
          </w:tcPr>
          <w:p>
            <w:pPr>
              <w:spacing w:after="0"/>
              <w:rPr>
                <w:sz w:val="22"/>
                <w:szCs w:val="22"/>
                <w:color w:val="auto"/>
              </w:rPr>
            </w:pPr>
          </w:p>
        </w:tc>
        <w:tc>
          <w:tcPr>
            <w:tcW w:w="16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5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 appreciation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2,788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3,308</w:t>
            </w:r>
          </w:p>
        </w:tc>
      </w:tr>
      <w:tr>
        <w:trPr>
          <w:trHeight w:val="260"/>
        </w:trPr>
        <w:tc>
          <w:tcPr>
            <w:tcW w:w="5460" w:type="dxa"/>
            <w:vAlign w:val="bottom"/>
          </w:tcPr>
          <w:p>
            <w:pPr>
              <w:ind w:left="40"/>
              <w:spacing w:after="0"/>
              <w:rPr>
                <w:sz w:val="20"/>
                <w:szCs w:val="20"/>
                <w:color w:val="auto"/>
              </w:rPr>
            </w:pPr>
            <w:r>
              <w:rPr>
                <w:rFonts w:ascii="Arial" w:cs="Arial" w:eastAsia="Arial" w:hAnsi="Arial"/>
                <w:sz w:val="16"/>
                <w:szCs w:val="16"/>
                <w:color w:val="auto"/>
              </w:rPr>
              <w:t>COLI death benefits</w:t>
            </w:r>
          </w:p>
        </w:tc>
        <w:tc>
          <w:tcPr>
            <w:tcW w:w="220" w:type="dxa"/>
            <w:vAlign w:val="bottom"/>
          </w:tcPr>
          <w:p>
            <w:pPr>
              <w:spacing w:after="0"/>
              <w:rPr>
                <w:sz w:val="22"/>
                <w:szCs w:val="22"/>
                <w:color w:val="auto"/>
              </w:rPr>
            </w:pPr>
          </w:p>
        </w:tc>
        <w:tc>
          <w:tcPr>
            <w:tcW w:w="1680" w:type="dxa"/>
            <w:vAlign w:val="bottom"/>
          </w:tcPr>
          <w:p>
            <w:pPr>
              <w:jc w:val="right"/>
              <w:ind w:right="33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 premiums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(571)</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COLI interest expense</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(1,795)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(1,957)</w:t>
            </w:r>
          </w:p>
        </w:tc>
      </w:tr>
      <w:tr>
        <w:trPr>
          <w:trHeight w:val="250"/>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COLI</w:t>
            </w: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780</w:t>
            </w:r>
          </w:p>
        </w:tc>
      </w:tr>
      <w:tr>
        <w:trPr>
          <w:trHeight w:val="247"/>
        </w:trPr>
        <w:tc>
          <w:tcPr>
            <w:tcW w:w="5460" w:type="dxa"/>
            <w:vAlign w:val="bottom"/>
          </w:tcPr>
          <w:p>
            <w:pPr>
              <w:ind w:left="40"/>
              <w:spacing w:after="0"/>
              <w:rPr>
                <w:sz w:val="20"/>
                <w:szCs w:val="20"/>
                <w:color w:val="auto"/>
              </w:rPr>
            </w:pPr>
            <w:r>
              <w:rPr>
                <w:rFonts w:ascii="Arial" w:cs="Arial" w:eastAsia="Arial" w:hAnsi="Arial"/>
                <w:sz w:val="16"/>
                <w:szCs w:val="16"/>
                <w:color w:val="auto"/>
              </w:rPr>
              <w:t>Wells Fargo termination fee</w:t>
            </w:r>
          </w:p>
        </w:tc>
        <w:tc>
          <w:tcPr>
            <w:tcW w:w="220" w:type="dxa"/>
            <w:vAlign w:val="bottom"/>
          </w:tcPr>
          <w:p>
            <w:pPr>
              <w:spacing w:after="0"/>
              <w:rPr>
                <w:sz w:val="21"/>
                <w:szCs w:val="21"/>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(375)</w:t>
            </w:r>
          </w:p>
        </w:tc>
      </w:tr>
      <w:tr>
        <w:trPr>
          <w:trHeight w:val="27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Line of credit expenses (e.g. commitment fee, unused fee)</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(592)</w:t>
            </w:r>
          </w:p>
        </w:tc>
      </w:tr>
      <w:tr>
        <w:trPr>
          <w:trHeight w:val="25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line of credit expense</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(967)</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420</w:t>
            </w:r>
          </w:p>
        </w:tc>
      </w:tr>
      <w:tr>
        <w:trPr>
          <w:trHeight w:val="264"/>
        </w:trPr>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Gain (loss) on foreign currency transactions</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w:t>
            </w:r>
          </w:p>
        </w:tc>
      </w:tr>
      <w:tr>
        <w:trPr>
          <w:trHeight w:val="24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222</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Stock-Based Compensation Plans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 2004 Incentive Compensation Plan approved by shareholders (as amended, the "Plan") in place which allows us to grant or issue non-qualified stock options, incentive stock options, share awards and other equity compensation to key employees and to non-employee directors. No more than 4.0 million shares of common stock may be issued under the Plan and no more than 2.0 million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stock options, the Plan replaced the 1997 Stock Option Plan. Any stock options previously granted under the 1997</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Stock Option Plan continue to be exercisable in accordance with their original terms and conditions.</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term of any options granted under the Plan may not exceed ten years from the date of the grant. Stock options are granted at the closing market price on the date of grant. Options issued to key employees generally vest over a three-year period in equal annual installment, beginning one year after the date of grant, with immediate vesting upon retirement or upon a change of control (as defined in the Plan), if earlier. Historically, options issued to directors vested six months after grant. Share awards vest based either upon continued employment, beginning one year after the date of grant, with immediate vesting upon retirement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Prior to Fiscal 2007, stock-based compensation generally consisted only of stock options. In Fiscal 2007 and Fiscal 2008, we granted restricted time-based share awards to key employees and directors instead of stock options. No stock options or restricted share awards were granted in Fiscal 2010. In Fiscal 2011 we again granted restricted time-based stock awards to key employees and directors. In Fiscal 2012 the Board of Directors granted 50,000 shares of restricted common stock to Robert J. Olson, retiring Executive Chairman of the Board, in recognition of his contributions to the Company during his 43 years of service.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For Fiscal 2010, Fiscal 2011 and Fiscal 2012, the Human Resources Committee of our Board of Directors established annual incentive plans for the officers that were to be paid in 2/3 cash and 1/3 restricted stock. Certain financial performance metrics had to be met to achieve payment under these plans; these metrics (diluted EPS and ROIC) were not met for Fiscal 2010 and Fiscal 2011. Certain financial performance metrics (pre-tax income and ROIC) were achieved for Fiscal 2012 under the annual incentive plan thus $459,000 of compensation expense was accrued under this plan at the end of Fiscal 2012 of which $120,000 was stock-based. On October 9, 2012, the Human Resources Committee of the Board of Directors approved the award of 9,606 restricted shares to the officers under the annual incentive plan. Of the shares granted, we repurchased 2,408 shares from employees who elected to pay their payroll tax via shares as opposed to cash. The restricted stock has a one-year restriction on sale upon award.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2010, Fiscal 2011 and Fiscal 2012, the Human Resources Committee of our Board of Directors established three different three-year incentive compensation plans (Officers Long-Term Incentive Plan Fiscal 2010-2012, 2011-2013 and 2012-2014) to serve as an incentive to our senior management team to achieve certain ROE targets. If the ROE target is met, restricted stock will be awarded subsequent to the end of each three year period with a one-year restriction on sale upon award.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of the end of Fiscal 2012, $791,000 of stock-based compensation expense has been accrued for these plans. Specifically, for the 2010-2012 plan, the ROE target was met, thus subsequent to year end, in October 2012 restricted stock was awarded to the officers in this plan. On October 9, 2012, the Human Resources Committee of the Board of Directors approved the award of 25,532 shares to the officers under the 2010-2012 long-term incentive plan. Of the shares granted, we repurchased 7,295 shares from employees who elected to pay their payroll tax via shares as opposed to cash. The restricted stock has a one-year restriction on sale upon award.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2012, there were 26,819 stock units awarded to our non-employee directors in lieu of cash compensation. The aggregate intrinsic value of these awards as of August 25, 2012 was $1,294,000 with 117,535 stock units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4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Stock-Based Compensation</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80" w:type="dxa"/>
            <w:vAlign w:val="bottom"/>
            <w:gridSpan w:val="12"/>
          </w:tcPr>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3"/>
          </w:tcPr>
          <w:p>
            <w:pPr>
              <w:ind w:left="240"/>
              <w:spacing w:after="0"/>
              <w:rPr>
                <w:sz w:val="20"/>
                <w:szCs w:val="20"/>
                <w:color w:val="auto"/>
              </w:rPr>
            </w:pPr>
            <w:r>
              <w:rPr>
                <w:rFonts w:ascii="Arial" w:cs="Arial" w:eastAsia="Arial" w:hAnsi="Arial"/>
                <w:sz w:val="16"/>
                <w:szCs w:val="16"/>
                <w:b w:val="1"/>
                <w:bCs w:val="1"/>
                <w:color w:val="auto"/>
              </w:rPr>
              <w:t>August 25, 2012</w:t>
            </w:r>
          </w:p>
        </w:tc>
        <w:tc>
          <w:tcPr>
            <w:tcW w:w="180" w:type="dxa"/>
            <w:vAlign w:val="bottom"/>
          </w:tcPr>
          <w:p>
            <w:pPr>
              <w:spacing w:after="0"/>
              <w:rPr>
                <w:sz w:val="22"/>
                <w:szCs w:val="22"/>
                <w:color w:val="auto"/>
              </w:rPr>
            </w:pPr>
          </w:p>
        </w:tc>
        <w:tc>
          <w:tcPr>
            <w:tcW w:w="164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August 27, 2011</w:t>
            </w:r>
          </w:p>
        </w:tc>
        <w:tc>
          <w:tcPr>
            <w:tcW w:w="1700" w:type="dxa"/>
            <w:vAlign w:val="bottom"/>
            <w:gridSpan w:val="3"/>
          </w:tcPr>
          <w:p>
            <w:pPr>
              <w:jc w:val="right"/>
              <w:ind w:right="164"/>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70"/>
        </w:trPr>
        <w:tc>
          <w:tcPr>
            <w:tcW w:w="33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9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080" w:type="dxa"/>
            <w:vAlign w:val="bottom"/>
            <w:gridSpan w:val="4"/>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87"/>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8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08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Performance-based long-term plan employee award expense</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300" w:type="dxa"/>
            <w:vAlign w:val="bottom"/>
            <w:gridSpan w:val="2"/>
          </w:tcPr>
          <w:p>
            <w:pPr>
              <w:ind w:left="180"/>
              <w:spacing w:after="0"/>
              <w:rPr>
                <w:sz w:val="20"/>
                <w:szCs w:val="20"/>
                <w:color w:val="auto"/>
              </w:rPr>
            </w:pPr>
            <w:r>
              <w:rPr>
                <w:rFonts w:ascii="Arial" w:cs="Arial" w:eastAsia="Arial" w:hAnsi="Arial"/>
                <w:sz w:val="16"/>
                <w:szCs w:val="16"/>
                <w:color w:val="auto"/>
              </w:rPr>
              <w:t>Time-based employee award expense</w:t>
            </w: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8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Time-based directors award expense</w:t>
            </w:r>
          </w:p>
        </w:tc>
        <w:tc>
          <w:tcPr>
            <w:tcW w:w="9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Directors stock unit expense</w:t>
            </w:r>
          </w:p>
        </w:tc>
        <w:tc>
          <w:tcPr>
            <w:tcW w:w="9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687"/>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3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gridSpan w:val="7"/>
          </w:tcPr>
          <w:p>
            <w:pPr>
              <w:spacing w:after="0"/>
              <w:rPr>
                <w:sz w:val="20"/>
                <w:szCs w:val="20"/>
                <w:color w:val="auto"/>
              </w:rPr>
            </w:pPr>
            <w:r>
              <w:rPr>
                <w:rFonts w:ascii="Arial" w:cs="Arial" w:eastAsia="Arial" w:hAnsi="Arial"/>
                <w:sz w:val="16"/>
                <w:szCs w:val="16"/>
                <w:color w:val="auto"/>
              </w:rPr>
              <w:t>A summary of stock option activity for Fiscal 2012, 2011 and 2010 is as follows:</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94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August 25, 2012</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0" w:type="dxa"/>
            <w:vAlign w:val="bottom"/>
            <w:tcBorders>
              <w:bottom w:val="single" w:sz="8" w:color="auto"/>
            </w:tcBorders>
            <w:gridSpan w:val="4"/>
          </w:tcPr>
          <w:p>
            <w:pPr>
              <w:jc w:val="center"/>
              <w:ind w:left="587"/>
              <w:spacing w:after="0"/>
              <w:rPr>
                <w:sz w:val="20"/>
                <w:szCs w:val="20"/>
                <w:color w:val="auto"/>
              </w:rPr>
            </w:pPr>
            <w:r>
              <w:rPr>
                <w:rFonts w:ascii="Arial" w:cs="Arial" w:eastAsia="Arial" w:hAnsi="Arial"/>
                <w:sz w:val="14"/>
                <w:szCs w:val="14"/>
                <w:b w:val="1"/>
                <w:bCs w:val="1"/>
                <w:color w:val="auto"/>
              </w:rPr>
              <w:t>August 27, 2011</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August 28, 2010</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Wtd. Avg.</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Wtd. Avg.</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per</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Price/Share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Shares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Price/Share</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Price/Share</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812,983</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$18 - $36</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4"/>
                <w:szCs w:val="14"/>
                <w:color w:val="auto"/>
              </w:rPr>
              <w:t>940,815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 $36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1,010,224</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$9 - $36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64"/>
        </w:trPr>
        <w:tc>
          <w:tcPr>
            <w:tcW w:w="3300" w:type="dxa"/>
            <w:vAlign w:val="bottom"/>
            <w:gridSpan w:val="2"/>
          </w:tcPr>
          <w:p>
            <w:pPr>
              <w:ind w:left="40"/>
              <w:spacing w:after="0"/>
              <w:rPr>
                <w:sz w:val="20"/>
                <w:szCs w:val="20"/>
                <w:color w:val="auto"/>
              </w:rPr>
            </w:pPr>
            <w:r>
              <w:rPr>
                <w:rFonts w:ascii="Arial" w:cs="Arial" w:eastAsia="Arial" w:hAnsi="Arial"/>
                <w:sz w:val="14"/>
                <w:szCs w:val="14"/>
                <w:color w:val="auto"/>
              </w:rPr>
              <w:t>Options granted</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9 - 11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(30,500)</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9 - 11</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Options canceled</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(85,319)</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19 - 32</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(118,832)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9 - 32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(38,909)</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9 - 36</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29.18</w:t>
            </w:r>
          </w:p>
        </w:tc>
        <w:tc>
          <w:tcPr>
            <w:tcW w:w="0" w:type="dxa"/>
            <w:vAlign w:val="bottom"/>
          </w:tcPr>
          <w:p>
            <w:pPr>
              <w:spacing w:after="0"/>
              <w:rPr>
                <w:sz w:val="1"/>
                <w:szCs w:val="1"/>
                <w:color w:val="auto"/>
              </w:rPr>
            </w:pPr>
          </w:p>
        </w:tc>
      </w:tr>
      <w:tr>
        <w:trPr>
          <w:trHeight w:val="250"/>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727,664</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$18 - $36</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812,983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 $36</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940,815</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$9 - $36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250"/>
        </w:trPr>
        <w:tc>
          <w:tcPr>
            <w:tcW w:w="3300" w:type="dxa"/>
            <w:vAlign w:val="bottom"/>
            <w:gridSpan w:val="2"/>
          </w:tcPr>
          <w:p>
            <w:pPr>
              <w:ind w:left="40"/>
              <w:spacing w:after="0"/>
              <w:rPr>
                <w:sz w:val="20"/>
                <w:szCs w:val="20"/>
                <w:color w:val="auto"/>
              </w:rPr>
            </w:pPr>
            <w:r>
              <w:rPr>
                <w:rFonts w:ascii="Arial" w:cs="Arial" w:eastAsia="Arial" w:hAnsi="Arial"/>
                <w:sz w:val="14"/>
                <w:szCs w:val="14"/>
                <w:color w:val="auto"/>
              </w:rPr>
              <w:t>Exercisable at end of year</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727,664</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$18 - $36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812,983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 $36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28.84</w:t>
            </w:r>
          </w:p>
        </w:tc>
        <w:tc>
          <w:tcPr>
            <w:tcW w:w="100" w:type="dxa"/>
            <w:vAlign w:val="bottom"/>
          </w:tcPr>
          <w:p>
            <w:pPr>
              <w:spacing w:after="0"/>
              <w:rPr>
                <w:sz w:val="21"/>
                <w:szCs w:val="21"/>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940,815</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$9 - $36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25, 2012 was 2.1 years. There was no aggregate intrinsic value for the options outstanding and exercisable at August 25, 2012. Other values related to options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2012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Fiscal 2010</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500" w:type="dxa"/>
            <w:vAlign w:val="bottom"/>
          </w:tcPr>
          <w:p>
            <w:pPr>
              <w:spacing w:after="0"/>
              <w:rPr>
                <w:sz w:val="21"/>
                <w:szCs w:val="21"/>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500" w:type="dxa"/>
            <w:vAlign w:val="bottom"/>
          </w:tcPr>
          <w:p>
            <w:pPr>
              <w:spacing w:after="0"/>
              <w:rPr>
                <w:sz w:val="23"/>
                <w:szCs w:val="23"/>
                <w:color w:val="auto"/>
              </w:rPr>
            </w:pPr>
          </w:p>
        </w:tc>
        <w:tc>
          <w:tcPr>
            <w:tcW w:w="148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Awards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award activity for Fiscal 2012, 2011 and 2010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3480" w:type="dxa"/>
            <w:vAlign w:val="bottom"/>
          </w:tcPr>
          <w:p>
            <w:pPr>
              <w:spacing w:after="0"/>
              <w:rPr>
                <w:sz w:val="22"/>
                <w:szCs w:val="22"/>
                <w:color w:val="auto"/>
              </w:rPr>
            </w:pPr>
          </w:p>
        </w:tc>
        <w:tc>
          <w:tcPr>
            <w:tcW w:w="25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25, 2012</w:t>
            </w:r>
          </w:p>
        </w:tc>
        <w:tc>
          <w:tcPr>
            <w:tcW w:w="100" w:type="dxa"/>
            <w:vAlign w:val="bottom"/>
          </w:tcPr>
          <w:p>
            <w:pPr>
              <w:spacing w:after="0"/>
              <w:rPr>
                <w:sz w:val="22"/>
                <w:szCs w:val="22"/>
                <w:color w:val="auto"/>
              </w:rPr>
            </w:pPr>
          </w:p>
        </w:tc>
        <w:tc>
          <w:tcPr>
            <w:tcW w:w="200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August 27, 2011</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August 28, 2010</w:t>
            </w:r>
          </w:p>
        </w:tc>
      </w:tr>
      <w:tr>
        <w:trPr>
          <w:trHeight w:val="198"/>
        </w:trPr>
        <w:tc>
          <w:tcPr>
            <w:tcW w:w="3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280" w:type="dxa"/>
            <w:vAlign w:val="bottom"/>
          </w:tcPr>
          <w:p>
            <w:pPr>
              <w:spacing w:after="0"/>
              <w:rPr>
                <w:sz w:val="17"/>
                <w:szCs w:val="17"/>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9"/>
              </w:rPr>
              <w:t>Weighted</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Average Grant</w:t>
            </w:r>
          </w:p>
        </w:tc>
        <w:tc>
          <w:tcPr>
            <w:tcW w:w="128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Average Grant</w:t>
            </w:r>
          </w:p>
        </w:tc>
        <w:tc>
          <w:tcPr>
            <w:tcW w:w="12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Average Grant</w:t>
            </w:r>
          </w:p>
        </w:tc>
      </w:tr>
      <w:tr>
        <w:trPr>
          <w:trHeight w:val="228"/>
        </w:trPr>
        <w:tc>
          <w:tcPr>
            <w:tcW w:w="3480" w:type="dxa"/>
            <w:vAlign w:val="bottom"/>
          </w:tcPr>
          <w:p>
            <w:pPr>
              <w:spacing w:after="0"/>
              <w:rPr>
                <w:sz w:val="19"/>
                <w:szCs w:val="19"/>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Date Fair Value</w:t>
            </w: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Date Fair Value</w:t>
            </w: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Date Fair Value</w:t>
            </w:r>
          </w:p>
        </w:tc>
      </w:tr>
      <w:tr>
        <w:trPr>
          <w:trHeight w:val="257"/>
        </w:trPr>
        <w:tc>
          <w:tcPr>
            <w:tcW w:w="3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148,500</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0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28,110</w:t>
            </w:r>
          </w:p>
        </w:tc>
        <w:tc>
          <w:tcPr>
            <w:tcW w:w="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82,240</w:t>
            </w: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29.97</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151,000</w:t>
            </w:r>
          </w:p>
        </w:tc>
        <w:tc>
          <w:tcPr>
            <w:tcW w:w="7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(120,044)</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(30,610)</w:t>
            </w:r>
          </w:p>
        </w:tc>
        <w:tc>
          <w:tcPr>
            <w:tcW w:w="7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30.90</w:t>
            </w:r>
          </w:p>
        </w:tc>
      </w:tr>
      <w:tr>
        <w:trPr>
          <w:trHeight w:val="264"/>
        </w:trPr>
        <w:tc>
          <w:tcPr>
            <w:tcW w:w="3480" w:type="dxa"/>
            <w:vAlign w:val="bottom"/>
          </w:tcPr>
          <w:p>
            <w:pPr>
              <w:ind w:left="40"/>
              <w:spacing w:after="0"/>
              <w:rPr>
                <w:sz w:val="20"/>
                <w:szCs w:val="20"/>
                <w:color w:val="auto"/>
              </w:rPr>
            </w:pPr>
            <w:r>
              <w:rPr>
                <w:rFonts w:ascii="Arial" w:cs="Arial" w:eastAsia="Arial" w:hAnsi="Arial"/>
                <w:sz w:val="16"/>
                <w:szCs w:val="16"/>
                <w:color w:val="auto"/>
              </w:rPr>
              <w:t>Canceled</w:t>
            </w:r>
          </w:p>
        </w:tc>
        <w:tc>
          <w:tcPr>
            <w:tcW w:w="1260" w:type="dxa"/>
            <w:vAlign w:val="bottom"/>
          </w:tcPr>
          <w:p>
            <w:pPr>
              <w:jc w:val="right"/>
              <w:spacing w:after="0"/>
              <w:rPr>
                <w:sz w:val="20"/>
                <w:szCs w:val="20"/>
                <w:color w:val="auto"/>
              </w:rPr>
            </w:pPr>
            <w:r>
              <w:rPr>
                <w:rFonts w:ascii="Arial" w:cs="Arial" w:eastAsia="Arial" w:hAnsi="Arial"/>
                <w:sz w:val="16"/>
                <w:szCs w:val="16"/>
                <w:color w:val="auto"/>
              </w:rPr>
              <w:t>(7,500)</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28.21</w:t>
            </w:r>
          </w:p>
        </w:tc>
      </w:tr>
      <w:tr>
        <w:trPr>
          <w:trHeight w:val="240"/>
        </w:trPr>
        <w:tc>
          <w:tcPr>
            <w:tcW w:w="3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70,956</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148,500</w:t>
            </w:r>
          </w:p>
        </w:tc>
        <w:tc>
          <w:tcPr>
            <w:tcW w:w="7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28,110</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r>
      <w:tr>
        <w:trPr>
          <w:trHeight w:val="20"/>
        </w:trPr>
        <w:tc>
          <w:tcPr>
            <w:tcW w:w="3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25, 2012 was $781,000.</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As of August 25, 2012, there was $474,000 of unrecognized compensation expense related to restricted stock awards that is expected to be recognized over a weighted average period of 1.5 years. The total fair value of awards vested during Fiscal 2012, 2011 and 2010 was $1.2 million, $582,000 and $1.7 million,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18"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Human Resources Committee of the Board of Directors of Winnebago Industries, Inc. recommended the award of, and on October 10, 2012, the full Board of Directors approved the award of, grants of 141,600 shares of our restricted common stock under the Plan to our key management group (approximately 60 employees). The Board of Directors also granted 14,000 shares of our restricted common stock to the non-management members of the Board.</w:t>
      </w:r>
    </w:p>
    <w:p>
      <w:pPr>
        <w:spacing w:after="0" w:line="17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$12.20. The fair value of this award to employees is amortized on a straight-line basis over the requisite service period of three years or to an employee's eligible retirement date, if earlier; thus restricted stock awards are expensed immediately upon grant for retirement-eligible employees. Estimated non-cash stock compensation expense based on this restricted stock grant will be approximately $550,000 for the first quarter of Fiscal 2013 and $850,000 for Fiscal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20"/>
                <w:szCs w:val="20"/>
                <w:color w:val="auto"/>
              </w:rPr>
            </w:pPr>
            <w:r>
              <w:rPr>
                <w:rFonts w:ascii="Arial" w:cs="Arial" w:eastAsia="Arial" w:hAnsi="Arial"/>
                <w:sz w:val="16"/>
                <w:szCs w:val="16"/>
                <w:b w:val="1"/>
                <w:bCs w:val="1"/>
                <w:color w:val="auto"/>
              </w:rPr>
              <w:t>Note 15: Net Revenues Classifications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240" w:type="dxa"/>
            <w:vAlign w:val="bottom"/>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25, 2012</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27, 2011</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483,532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443,232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415,277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Towables</w:t>
            </w: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56,784</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16,712</w:t>
            </w: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 parts and services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12,661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13,105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13,655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28,702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23,369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20,552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581,679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496,418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449,484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August 25, 2012</w:t>
            </w:r>
          </w:p>
        </w:tc>
        <w:tc>
          <w:tcPr>
            <w:tcW w:w="340" w:type="dxa"/>
            <w:vAlign w:val="bottom"/>
          </w:tcPr>
          <w:p>
            <w:pPr>
              <w:spacing w:after="0"/>
              <w:rPr>
                <w:sz w:val="22"/>
                <w:szCs w:val="22"/>
                <w:color w:val="auto"/>
              </w:rPr>
            </w:pPr>
          </w:p>
        </w:tc>
        <w:tc>
          <w:tcPr>
            <w:tcW w:w="21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August 27, 2011</w:t>
            </w:r>
          </w:p>
        </w:tc>
        <w:tc>
          <w:tcPr>
            <w:tcW w:w="340" w:type="dxa"/>
            <w:vAlign w:val="bottom"/>
          </w:tcPr>
          <w:p>
            <w:pPr>
              <w:spacing w:after="0"/>
              <w:rPr>
                <w:sz w:val="22"/>
                <w:szCs w:val="22"/>
                <w:color w:val="auto"/>
              </w:rPr>
            </w:pPr>
          </w:p>
        </w:tc>
        <w:tc>
          <w:tcPr>
            <w:tcW w:w="19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57"/>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522,515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446,616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413,154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59,164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49,802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36,330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581,679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496,418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449,484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25, 2012</w:t>
            </w:r>
          </w:p>
        </w:tc>
        <w:tc>
          <w:tcPr>
            <w:tcW w:w="180" w:type="dxa"/>
            <w:vAlign w:val="bottom"/>
          </w:tcPr>
          <w:p>
            <w:pPr>
              <w:spacing w:after="0"/>
              <w:rPr>
                <w:sz w:val="22"/>
                <w:szCs w:val="22"/>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27, 2011</w:t>
            </w:r>
          </w:p>
        </w:tc>
        <w:tc>
          <w:tcPr>
            <w:tcW w:w="18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28, 2010</w:t>
            </w:r>
          </w:p>
        </w:tc>
      </w:tr>
      <w:tr>
        <w:trPr>
          <w:trHeight w:val="270"/>
        </w:trPr>
        <w:tc>
          <w:tcPr>
            <w:tcW w:w="6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44,972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11,843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10,247</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29,091</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0.35</w:t>
            </w:r>
          </w:p>
        </w:tc>
      </w:tr>
      <w:tr>
        <w:trPr>
          <w:trHeight w:val="293"/>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10,247</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29,145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29,121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29,091</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29,207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29,101</w:t>
            </w:r>
          </w:p>
        </w:tc>
      </w:tr>
      <w:tr>
        <w:trPr>
          <w:trHeight w:val="28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bl>
    <w:p>
      <w:pPr>
        <w:spacing w:after="0" w:line="191"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 xml:space="preserve">For the fiscal years ended August 25, 2012, August 27, 2011 and August 28, 2010, there were options outstanding to purchase 727,664 shares, 812,983 shares and 927,815 shares, respectively, of common stock at an average price of $29.08, $28.84 and $28.08,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4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50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Note 17: Interim Financial Information (Unaudited)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November 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6"/>
          </w:tcPr>
          <w:p>
            <w:pPr>
              <w:ind w:left="160"/>
              <w:spacing w:after="0"/>
              <w:rPr>
                <w:sz w:val="20"/>
                <w:szCs w:val="20"/>
                <w:color w:val="auto"/>
              </w:rPr>
            </w:pPr>
            <w:r>
              <w:rPr>
                <w:rFonts w:ascii="Arial" w:cs="Arial" w:eastAsia="Arial" w:hAnsi="Arial"/>
                <w:sz w:val="16"/>
                <w:szCs w:val="16"/>
                <w:b w:val="1"/>
                <w:bCs w:val="1"/>
                <w:color w:val="auto"/>
              </w:rPr>
              <w:t>February 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rPr>
              <w:t>May 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98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131,837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color w:val="auto"/>
              </w:rPr>
              <w:t>131,600</w:t>
            </w: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right="399"/>
              <w:spacing w:after="0"/>
              <w:rPr>
                <w:sz w:val="20"/>
                <w:szCs w:val="20"/>
                <w:color w:val="auto"/>
              </w:rPr>
            </w:pPr>
            <w:r>
              <w:rPr>
                <w:rFonts w:ascii="Arial" w:cs="Arial" w:eastAsia="Arial" w:hAnsi="Arial"/>
                <w:sz w:val="16"/>
                <w:szCs w:val="16"/>
                <w:color w:val="auto"/>
              </w:rPr>
              <w:t>$</w:t>
            </w: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155,709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162,533</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4"/>
          </w:tcPr>
          <w:p>
            <w:pPr>
              <w:jc w:val="right"/>
              <w:ind w:right="239"/>
              <w:spacing w:after="0"/>
              <w:rPr>
                <w:sz w:val="20"/>
                <w:szCs w:val="20"/>
                <w:color w:val="auto"/>
              </w:rPr>
            </w:pPr>
            <w:r>
              <w:rPr>
                <w:rFonts w:ascii="Arial" w:cs="Arial" w:eastAsia="Arial" w:hAnsi="Arial"/>
                <w:sz w:val="16"/>
                <w:szCs w:val="16"/>
                <w:color w:val="auto"/>
              </w:rPr>
              <w:t>6,846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12,071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16,267</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color w:val="auto"/>
              </w:rPr>
              <w:t>(1,164)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3,527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4"/>
          </w:tcPr>
          <w:p>
            <w:pPr>
              <w:jc w:val="right"/>
              <w:ind w:right="179"/>
              <w:spacing w:after="0"/>
              <w:rPr>
                <w:sz w:val="20"/>
                <w:szCs w:val="20"/>
                <w:color w:val="auto"/>
              </w:rPr>
            </w:pPr>
            <w:r>
              <w:rPr>
                <w:rFonts w:ascii="Arial" w:cs="Arial" w:eastAsia="Arial" w:hAnsi="Arial"/>
                <w:sz w:val="16"/>
                <w:szCs w:val="16"/>
                <w:color w:val="auto"/>
              </w:rPr>
              <w:t>(912)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3,941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40,908</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share (basic)</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color w:val="auto"/>
              </w:rPr>
              <w:t>(0.03)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5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(loss) per share (diluted)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4"/>
          </w:tcPr>
          <w:p>
            <w:pPr>
              <w:jc w:val="right"/>
              <w:ind w:right="179"/>
              <w:spacing w:after="0"/>
              <w:rPr>
                <w:sz w:val="20"/>
                <w:szCs w:val="20"/>
                <w:color w:val="auto"/>
              </w:rPr>
            </w:pPr>
            <w:r>
              <w:rPr>
                <w:rFonts w:ascii="Arial" w:cs="Arial" w:eastAsia="Arial" w:hAnsi="Arial"/>
                <w:sz w:val="16"/>
                <w:szCs w:val="16"/>
                <w:color w:val="auto"/>
              </w:rPr>
              <w:t>(0.03)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91"/>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6"/>
          </w:tcPr>
          <w:p>
            <w:pPr>
              <w:ind w:left="240"/>
              <w:spacing w:after="0"/>
              <w:rPr>
                <w:sz w:val="20"/>
                <w:szCs w:val="20"/>
                <w:color w:val="auto"/>
              </w:rPr>
            </w:pPr>
            <w:r>
              <w:rPr>
                <w:rFonts w:ascii="Arial" w:cs="Arial" w:eastAsia="Arial" w:hAnsi="Arial"/>
                <w:sz w:val="16"/>
                <w:szCs w:val="16"/>
                <w:b w:val="1"/>
                <w:bCs w:val="1"/>
                <w:color w:val="auto"/>
              </w:rPr>
              <w:t>February 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rPr>
              <w:t>May 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6"/>
                <w:szCs w:val="16"/>
                <w:b w:val="1"/>
                <w:bCs w:val="1"/>
                <w:color w:val="auto"/>
              </w:rPr>
              <w:t>2011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123,711</w:t>
            </w:r>
          </w:p>
        </w:tc>
        <w:tc>
          <w:tcPr>
            <w:tcW w:w="54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106,593</w:t>
            </w: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right="419"/>
              <w:spacing w:after="0"/>
              <w:rPr>
                <w:sz w:val="20"/>
                <w:szCs w:val="20"/>
                <w:color w:val="auto"/>
              </w:rPr>
            </w:pPr>
            <w:r>
              <w:rPr>
                <w:rFonts w:ascii="Arial" w:cs="Arial" w:eastAsia="Arial" w:hAnsi="Arial"/>
                <w:sz w:val="16"/>
                <w:szCs w:val="16"/>
                <w:color w:val="auto"/>
                <w:w w:val="89"/>
              </w:rPr>
              <w:t>$</w:t>
            </w: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135,568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130,546</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6"/>
                <w:szCs w:val="16"/>
                <w:color w:val="auto"/>
              </w:rPr>
              <w:t>11,199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4"/>
          </w:tcPr>
          <w:p>
            <w:pPr>
              <w:jc w:val="right"/>
              <w:ind w:right="19"/>
              <w:spacing w:after="0"/>
              <w:rPr>
                <w:sz w:val="20"/>
                <w:szCs w:val="20"/>
                <w:color w:val="auto"/>
              </w:rPr>
            </w:pPr>
            <w:r>
              <w:rPr>
                <w:rFonts w:ascii="Arial" w:cs="Arial" w:eastAsia="Arial" w:hAnsi="Arial"/>
                <w:sz w:val="16"/>
                <w:szCs w:val="16"/>
                <w:color w:val="auto"/>
              </w:rPr>
              <w:t>11,324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8,703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8,528</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4,925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4,050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6"/>
                <w:szCs w:val="16"/>
                <w:color w:val="auto"/>
              </w:rPr>
              <w:t>3,786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4"/>
          </w:tcPr>
          <w:p>
            <w:pPr>
              <w:jc w:val="right"/>
              <w:ind w:right="19"/>
              <w:spacing w:after="0"/>
              <w:rPr>
                <w:sz w:val="20"/>
                <w:szCs w:val="20"/>
                <w:color w:val="auto"/>
              </w:rPr>
            </w:pPr>
            <w:r>
              <w:rPr>
                <w:rFonts w:ascii="Arial" w:cs="Arial" w:eastAsia="Arial" w:hAnsi="Arial"/>
                <w:sz w:val="16"/>
                <w:szCs w:val="16"/>
                <w:color w:val="auto"/>
              </w:rPr>
              <w:t>3,315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0.13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5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Net income per share (diluted)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4"/>
          </w:tcPr>
          <w:p>
            <w:pPr>
              <w:jc w:val="right"/>
              <w:ind w:right="19"/>
              <w:spacing w:after="0"/>
              <w:rPr>
                <w:sz w:val="20"/>
                <w:szCs w:val="20"/>
                <w:color w:val="auto"/>
              </w:rPr>
            </w:pPr>
            <w:r>
              <w:rPr>
                <w:rFonts w:ascii="Arial" w:cs="Arial" w:eastAsia="Arial" w:hAnsi="Arial"/>
                <w:sz w:val="16"/>
                <w:szCs w:val="16"/>
                <w:color w:val="auto"/>
              </w:rPr>
              <w:t>0.11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gridSpan w:val="5"/>
          </w:tcPr>
          <w:p>
            <w:pPr>
              <w:jc w:val="right"/>
              <w:ind w:right="40"/>
              <w:spacing w:after="0"/>
              <w:rPr>
                <w:sz w:val="20"/>
                <w:szCs w:val="20"/>
                <w:color w:val="auto"/>
              </w:rPr>
            </w:pPr>
            <w:r>
              <w:rPr>
                <w:rFonts w:ascii="Arial" w:cs="Arial" w:eastAsia="Arial" w:hAnsi="Arial"/>
                <w:sz w:val="16"/>
                <w:szCs w:val="16"/>
                <w:color w:val="auto"/>
              </w:rPr>
              <w:t>0.04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78"/>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Note 18: Comprehensive Income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40" w:type="dxa"/>
            <w:vAlign w:val="bottom"/>
            <w:gridSpan w:val="2"/>
          </w:tcPr>
          <w:p>
            <w:pPr>
              <w:spacing w:after="0"/>
              <w:rPr>
                <w:sz w:val="20"/>
                <w:szCs w:val="20"/>
                <w:color w:val="auto"/>
              </w:rPr>
            </w:pPr>
            <w:r>
              <w:rPr>
                <w:rFonts w:ascii="Arial" w:cs="Arial" w:eastAsia="Arial" w:hAnsi="Arial"/>
                <w:sz w:val="16"/>
                <w:szCs w:val="16"/>
                <w:color w:val="auto"/>
              </w:rPr>
              <w:t>Comprehensive income, net of tax, consists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August 25, 2012</w:t>
            </w: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gridSpan w:val="5"/>
          </w:tcPr>
          <w:p>
            <w:pPr>
              <w:jc w:val="center"/>
              <w:ind w:left="219"/>
              <w:spacing w:after="0"/>
              <w:rPr>
                <w:sz w:val="20"/>
                <w:szCs w:val="20"/>
                <w:color w:val="auto"/>
              </w:rPr>
            </w:pPr>
            <w:r>
              <w:rPr>
                <w:rFonts w:ascii="Arial" w:cs="Arial" w:eastAsia="Arial" w:hAnsi="Arial"/>
                <w:sz w:val="16"/>
                <w:szCs w:val="16"/>
                <w:b w:val="1"/>
                <w:bCs w:val="1"/>
                <w:color w:val="auto"/>
              </w:rPr>
              <w:t>August 27, 2011</w:t>
            </w: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August 28, 2010</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44,972</w:t>
            </w:r>
          </w:p>
        </w:tc>
        <w:tc>
          <w:tcPr>
            <w:tcW w:w="1120" w:type="dxa"/>
            <w:vAlign w:val="bottom"/>
            <w:gridSpan w:val="4"/>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11,843</w:t>
            </w: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10,247</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Unrealized (depreciation) appreciation of investments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3"/>
          </w:tcPr>
          <w:p>
            <w:pPr>
              <w:jc w:val="right"/>
              <w:ind w:right="59"/>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644</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(Increase) decrease in actuarial loss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gridSpan w:val="5"/>
          </w:tcPr>
          <w:p>
            <w:pPr>
              <w:jc w:val="right"/>
              <w:ind w:right="59"/>
              <w:spacing w:after="0"/>
              <w:rPr>
                <w:sz w:val="20"/>
                <w:szCs w:val="20"/>
                <w:color w:val="auto"/>
              </w:rPr>
            </w:pPr>
            <w:r>
              <w:rPr>
                <w:rFonts w:ascii="Arial" w:cs="Arial" w:eastAsia="Arial" w:hAnsi="Arial"/>
                <w:sz w:val="16"/>
                <w:szCs w:val="16"/>
                <w:color w:val="auto"/>
              </w:rPr>
              <w:t>(3,630)</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59"/>
              <w:spacing w:after="0"/>
              <w:rPr>
                <w:sz w:val="20"/>
                <w:szCs w:val="20"/>
                <w:color w:val="auto"/>
              </w:rPr>
            </w:pPr>
            <w:r>
              <w:rPr>
                <w:rFonts w:ascii="Arial" w:cs="Arial" w:eastAsia="Arial" w:hAnsi="Arial"/>
                <w:sz w:val="16"/>
                <w:szCs w:val="16"/>
                <w:color w:val="auto"/>
              </w:rPr>
              <w:t>245</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Plan amendment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2,869</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color w:val="auto"/>
              </w:rPr>
              <w:t>(2,801)</w:t>
            </w: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(2,621)</w:t>
            </w: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24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5"/>
            <w:shd w:val="clear" w:color="auto" w:fill="CCEEFF"/>
          </w:tcPr>
          <w:p>
            <w:pPr>
              <w:jc w:val="right"/>
              <w:ind w:right="119"/>
              <w:spacing w:after="0"/>
              <w:rPr>
                <w:sz w:val="20"/>
                <w:szCs w:val="20"/>
                <w:color w:val="auto"/>
              </w:rPr>
            </w:pPr>
            <w:r>
              <w:rPr>
                <w:rFonts w:ascii="Arial" w:cs="Arial" w:eastAsia="Arial" w:hAnsi="Arial"/>
                <w:sz w:val="16"/>
                <w:szCs w:val="16"/>
                <w:color w:val="auto"/>
              </w:rPr>
              <w:t>41,740</w:t>
            </w:r>
          </w:p>
        </w:tc>
        <w:tc>
          <w:tcPr>
            <w:tcW w:w="1120" w:type="dxa"/>
            <w:vAlign w:val="bottom"/>
            <w:gridSpan w:val="4"/>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10,147</w:t>
            </w:r>
          </w:p>
        </w:tc>
        <w:tc>
          <w:tcPr>
            <w:tcW w:w="68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4,949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Components of accumulated other comprehensive loss, net of tax, were:</w:t>
            </w: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3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6"/>
                <w:szCs w:val="16"/>
                <w:b w:val="1"/>
                <w:bCs w:val="1"/>
                <w:color w:val="auto"/>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August 25, 2012</w:t>
            </w:r>
          </w:p>
        </w:tc>
        <w:tc>
          <w:tcPr>
            <w:tcW w:w="2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August 27, 2011</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of investments</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4"/>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Actuarial loss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(14,439)</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(11,452)</w:t>
            </w:r>
          </w:p>
        </w:tc>
        <w:tc>
          <w:tcPr>
            <w:tcW w:w="0" w:type="dxa"/>
            <w:vAlign w:val="bottom"/>
          </w:tcPr>
          <w:p>
            <w:pPr>
              <w:spacing w:after="0"/>
              <w:rPr>
                <w:sz w:val="1"/>
                <w:szCs w:val="1"/>
                <w:color w:val="auto"/>
              </w:rPr>
            </w:pPr>
          </w:p>
        </w:tc>
      </w:tr>
      <w:tr>
        <w:trPr>
          <w:trHeight w:val="27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Prior service benefit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11,112</w:t>
            </w:r>
          </w:p>
        </w:tc>
        <w:tc>
          <w:tcPr>
            <w:tcW w:w="2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4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4"/>
          </w:tcPr>
          <w:p>
            <w:pPr>
              <w:jc w:val="right"/>
              <w:ind w:right="6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20" w:type="dxa"/>
            <w:vAlign w:val="bottom"/>
            <w:gridSpan w:val="3"/>
          </w:tcPr>
          <w:p>
            <w:pPr>
              <w:jc w:val="right"/>
              <w:ind w:right="39"/>
              <w:spacing w:after="0"/>
              <w:rPr>
                <w:sz w:val="20"/>
                <w:szCs w:val="20"/>
                <w:color w:val="auto"/>
              </w:rPr>
            </w:pPr>
            <w:r>
              <w:rPr>
                <w:rFonts w:ascii="Arial" w:cs="Arial" w:eastAsia="Arial" w:hAnsi="Arial"/>
                <w:sz w:val="16"/>
                <w:szCs w:val="16"/>
                <w:color w:val="auto"/>
              </w:rPr>
              <w:t>(3,686)</w:t>
            </w:r>
          </w:p>
        </w:tc>
        <w:tc>
          <w:tcPr>
            <w:tcW w:w="680" w:type="dxa"/>
            <w:vAlign w:val="bottom"/>
            <w:gridSpan w:val="5"/>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9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Related Party Transactions</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president of our Towables operation and former majority owner of SunnyBrook is a majority owner of FFT Land Management which leased manufacturing and office space to us in Middlebury, Indiana from January 1, 2011 to December 31, 2015 with annual payments of $660,000. For the twelve months ended August 25, 2012 and the eight months ended August 27, 2011, we recorded rent expense associated with the lease of $660,000 and $440,000, respectively. We believe that the lease agreement terms are similar to those that would result from arm's-length negotiations between unrelated parties.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25, 2012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2013 Shareholder Proposals" in our Proxy Statement for the Annual Meeting of Shareholders scheduled to be held December 18, 2012, which information is incorporated by reference herein.</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18, 2012,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18, 2012, which information is incorporated by reference herein.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18, 2012,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18, 2012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25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167" w:lineRule="exact"/>
        <w:rPr>
          <w:rFonts w:ascii="Arial" w:cs="Arial" w:eastAsia="Arial" w:hAnsi="Arial"/>
          <w:sz w:val="16"/>
          <w:szCs w:val="16"/>
          <w:color w:val="auto"/>
        </w:rPr>
      </w:pPr>
    </w:p>
    <w:p>
      <w:pPr>
        <w:ind w:left="340" w:right="200"/>
        <w:spacing w:after="0" w:line="260" w:lineRule="auto"/>
        <w:rPr>
          <w:rFonts w:ascii="Arial" w:cs="Arial" w:eastAsia="Arial" w:hAnsi="Arial"/>
          <w:sz w:val="16"/>
          <w:szCs w:val="16"/>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Exhibits: See Exhibit Index on pages 54-56.</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240" w:top="141" w:right="41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Randy J. Potts</w:t>
      </w:r>
    </w:p>
    <w:p>
      <w:pPr>
        <w:spacing w:after="0" w:line="37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23, 2012</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23, 2012, by the following persons on behalf of the Registrant and in the capacities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3"/>
          </w:tcPr>
          <w:p>
            <w:pPr>
              <w:ind w:left="1980"/>
              <w:spacing w:after="0"/>
              <w:rPr>
                <w:sz w:val="20"/>
                <w:szCs w:val="20"/>
                <w:color w:val="auto"/>
              </w:rPr>
            </w:pPr>
            <w:r>
              <w:rPr>
                <w:rFonts w:ascii="Arial" w:cs="Arial" w:eastAsia="Arial" w:hAnsi="Arial"/>
                <w:sz w:val="16"/>
                <w:szCs w:val="16"/>
                <w:b w:val="1"/>
                <w:bCs w:val="1"/>
                <w:color w:val="auto"/>
              </w:rPr>
              <w:t>Signature</w:t>
            </w: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Capacity</w:t>
            </w:r>
          </w:p>
        </w:tc>
      </w:tr>
      <w:tr>
        <w:trPr>
          <w:trHeight w:val="595"/>
        </w:trPr>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740" w:type="dxa"/>
            <w:vAlign w:val="bottom"/>
            <w:tcBorders>
              <w:top w:val="single" w:sz="8" w:color="auto"/>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Randy J. Potts</w:t>
            </w:r>
          </w:p>
        </w:tc>
        <w:tc>
          <w:tcPr>
            <w:tcW w:w="9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195"/>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Sarah N. Nielsen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Sarah N. Nielsen</w:t>
            </w:r>
          </w:p>
        </w:tc>
        <w:tc>
          <w:tcPr>
            <w:tcW w:w="9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Irvin E. Aal</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Irvin E. Aal</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Robert M. Chiusano</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Robert M. Chiusano</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Jerry N. Currie</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Jerry N. Currie</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Lawrence A. Erickson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Lawrence A. Erickson</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Gerald C. Kitch</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Gerald C. Kitch</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Robert J. Olson</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Robert J. Olson</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Mark T. Schroepfer</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00" w:type="dxa"/>
            <w:vAlign w:val="bottom"/>
            <w:gridSpan w:val="3"/>
          </w:tcPr>
          <w:p>
            <w:pPr>
              <w:ind w:left="60"/>
              <w:spacing w:after="0"/>
              <w:rPr>
                <w:sz w:val="20"/>
                <w:szCs w:val="20"/>
                <w:color w:val="auto"/>
              </w:rPr>
            </w:pPr>
            <w:r>
              <w:rPr>
                <w:rFonts w:ascii="Arial" w:cs="Arial" w:eastAsia="Arial" w:hAnsi="Arial"/>
                <w:sz w:val="16"/>
                <w:szCs w:val="16"/>
                <w:color w:val="auto"/>
              </w:rPr>
              <w:t>Mark T. Schroepfer</w:t>
            </w:r>
          </w:p>
        </w:tc>
        <w:tc>
          <w:tcPr>
            <w:tcW w:w="9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459"/>
        </w:trPr>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gridSpan w:val="2"/>
          </w:tcPr>
          <w:p>
            <w:pPr>
              <w:ind w:left="920"/>
              <w:spacing w:after="0"/>
              <w:rPr>
                <w:sz w:val="20"/>
                <w:szCs w:val="20"/>
                <w:color w:val="auto"/>
              </w:rPr>
            </w:pPr>
            <w:r>
              <w:rPr>
                <w:rFonts w:ascii="Arial" w:cs="Arial" w:eastAsia="Arial" w:hAnsi="Arial"/>
                <w:sz w:val="16"/>
                <w:szCs w:val="16"/>
                <w:color w:val="auto"/>
              </w:rPr>
              <w:t>53</w:t>
            </w:r>
          </w:p>
        </w:tc>
        <w:tc>
          <w:tcPr>
            <w:tcW w:w="3460" w:type="dxa"/>
            <w:vAlign w:val="bottom"/>
          </w:tcPr>
          <w:p>
            <w:pPr>
              <w:spacing w:after="0"/>
              <w:rPr>
                <w:sz w:val="24"/>
                <w:szCs w:val="24"/>
                <w:color w:val="auto"/>
              </w:rPr>
            </w:pPr>
          </w:p>
        </w:tc>
      </w:tr>
    </w:tbl>
    <w:p>
      <w:pPr>
        <w:sectPr>
          <w:pgSz w:w="11900" w:h="16838" w:orient="portrait"/>
          <w:cols w:equalWidth="0" w:num="1">
            <w:col w:w="11080"/>
          </w:cols>
          <w:pgMar w:left="240" w:top="141" w:right="57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tab/>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tab/>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80" w:hanging="499"/>
        <w:spacing w:after="0" w:line="191" w:lineRule="exact"/>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5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10b.</w:t>
        <w:tab/>
        <w:t>Winnebago Industries, Inc. 1997 Stock Option Plan previously filed with the Registrant's Annual Report on Form 10-K for the fiscal year ended August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30, 1997 (Commission File Number 001-06403) and incorporated by reference herein.*</w:t>
      </w:r>
    </w:p>
    <w:p>
      <w:pPr>
        <w:spacing w:after="0" w:line="167"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10c.</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20" w:hanging="499"/>
        <w:spacing w:after="0" w:line="253" w:lineRule="auto"/>
        <w:tabs>
          <w:tab w:leader="none" w:pos="480" w:val="left"/>
        </w:tabs>
        <w:rPr>
          <w:sz w:val="20"/>
          <w:szCs w:val="20"/>
          <w:color w:val="auto"/>
        </w:rPr>
      </w:pPr>
      <w:r>
        <w:rPr>
          <w:rFonts w:ascii="Arial" w:cs="Arial" w:eastAsia="Arial" w:hAnsi="Arial"/>
          <w:sz w:val="16"/>
          <w:szCs w:val="16"/>
          <w:color w:val="auto"/>
        </w:rPr>
        <w:t>10d.</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7" w:lineRule="exact"/>
        <w:rPr>
          <w:sz w:val="20"/>
          <w:szCs w:val="20"/>
          <w:color w:val="auto"/>
        </w:rPr>
      </w:pPr>
    </w:p>
    <w:p>
      <w:pPr>
        <w:ind w:left="500" w:right="560" w:hanging="499"/>
        <w:spacing w:after="0" w:line="253" w:lineRule="auto"/>
        <w:tabs>
          <w:tab w:leader="none" w:pos="480" w:val="left"/>
        </w:tabs>
        <w:rPr>
          <w:sz w:val="20"/>
          <w:szCs w:val="20"/>
          <w:color w:val="auto"/>
        </w:rPr>
      </w:pPr>
      <w:r>
        <w:rPr>
          <w:rFonts w:ascii="Arial" w:cs="Arial" w:eastAsia="Arial" w:hAnsi="Arial"/>
          <w:sz w:val="16"/>
          <w:szCs w:val="16"/>
          <w:color w:val="auto"/>
        </w:rPr>
        <w:t>10e.</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4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10f.</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42"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10g.</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10h.</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10i.</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10j.</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49"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10k.</w:t>
        <w:tab/>
        <w:t>Winnebago Industries, Inc. Officers' Long-Term Incentive Plan, fiscal three-year period 2010, 2011 and 2012 previously filed with the Registrant's Current Report on Form 8-K dated June 24, 2009 (Commission File Number 001-06403) and incorporated by reference herein.*</w:t>
      </w:r>
    </w:p>
    <w:p>
      <w:pPr>
        <w:spacing w:after="0" w:line="142" w:lineRule="exact"/>
        <w:rPr>
          <w:sz w:val="20"/>
          <w:szCs w:val="20"/>
          <w:color w:val="auto"/>
        </w:rPr>
      </w:pPr>
    </w:p>
    <w:p>
      <w:pPr>
        <w:ind w:left="500" w:right="160" w:hanging="485"/>
        <w:spacing w:after="0" w:line="260" w:lineRule="auto"/>
        <w:rPr>
          <w:sz w:val="20"/>
          <w:szCs w:val="20"/>
          <w:color w:val="auto"/>
        </w:rPr>
      </w:pPr>
      <w:r>
        <w:rPr>
          <w:rFonts w:ascii="Arial" w:cs="Arial" w:eastAsia="Arial" w:hAnsi="Arial"/>
          <w:sz w:val="16"/>
          <w:szCs w:val="16"/>
          <w:color w:val="auto"/>
        </w:rPr>
        <w:t>10l. Winnebago Industries, Inc. Officers' Long-Term Incentive Plan, fiscal three-year period 2011, 2012 and 2013 previously filed with the Registrant's Current Report on Form 8-K dated July 22, 2010 (Commission File Number 001-06403)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500" w:right="60" w:hanging="485"/>
        <w:spacing w:after="0" w:line="260" w:lineRule="auto"/>
        <w:rPr>
          <w:sz w:val="20"/>
          <w:szCs w:val="20"/>
          <w:color w:val="auto"/>
        </w:rPr>
      </w:pPr>
      <w:r>
        <w:rPr>
          <w:rFonts w:ascii="Arial" w:cs="Arial" w:eastAsia="Arial" w:hAnsi="Arial"/>
          <w:sz w:val="16"/>
          <w:szCs w:val="16"/>
          <w:color w:val="auto"/>
        </w:rPr>
        <w:t>10m. Winnebago Industries, Inc. Officers' Long-Term Incentive Plan, fiscal three-year period 2012, 2013 and 2014 previously filed with the Registrant's Current Report on Form 8-K dated June 21, 2011 (Commission File Number 001-06403) and incorporated by reference herein.*</w:t>
      </w:r>
    </w:p>
    <w:p>
      <w:pPr>
        <w:spacing w:after="0" w:line="142" w:lineRule="exact"/>
        <w:rPr>
          <w:sz w:val="20"/>
          <w:szCs w:val="20"/>
          <w:color w:val="auto"/>
        </w:rPr>
      </w:pPr>
    </w:p>
    <w:p>
      <w:pPr>
        <w:jc w:val="both"/>
        <w:ind w:left="500" w:right="100" w:hanging="485"/>
        <w:spacing w:after="0" w:line="260" w:lineRule="auto"/>
        <w:rPr>
          <w:sz w:val="20"/>
          <w:szCs w:val="20"/>
          <w:color w:val="auto"/>
        </w:rPr>
      </w:pPr>
      <w:r>
        <w:rPr>
          <w:rFonts w:ascii="Arial" w:cs="Arial" w:eastAsia="Arial" w:hAnsi="Arial"/>
          <w:sz w:val="16"/>
          <w:szCs w:val="16"/>
          <w:color w:val="auto"/>
        </w:rPr>
        <w:t>10n. Winnebago Industries, Inc. Officers' Long-Term Incentive Plan, fiscal three-year period 2013, 2014 and 2015 previously filed with the Registrant's Current Report on Form 8-K dated June 20, 2012 (Commission File Number 001-06403) and incorporated by reference herein.*</w:t>
      </w:r>
    </w:p>
    <w:p>
      <w:pPr>
        <w:spacing w:after="0" w:line="142" w:lineRule="exact"/>
        <w:rPr>
          <w:sz w:val="20"/>
          <w:szCs w:val="20"/>
          <w:color w:val="auto"/>
        </w:rPr>
      </w:pPr>
    </w:p>
    <w:p>
      <w:pPr>
        <w:jc w:val="both"/>
        <w:ind w:left="500" w:right="100" w:hanging="499"/>
        <w:spacing w:after="0" w:line="253" w:lineRule="auto"/>
        <w:tabs>
          <w:tab w:leader="none" w:pos="480" w:val="left"/>
        </w:tabs>
        <w:rPr>
          <w:sz w:val="20"/>
          <w:szCs w:val="20"/>
          <w:color w:val="auto"/>
        </w:rPr>
      </w:pPr>
      <w:r>
        <w:rPr>
          <w:rFonts w:ascii="Arial" w:cs="Arial" w:eastAsia="Arial" w:hAnsi="Arial"/>
          <w:sz w:val="16"/>
          <w:szCs w:val="16"/>
          <w:color w:val="auto"/>
        </w:rPr>
        <w:t>10o.</w:t>
        <w:tab/>
        <w:t>Amended and Restated Executive Change of Control Agreement dated December 17, 2008 between Winnebago Industries, Inc. and Robert L. Gossett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80" w:hanging="499"/>
        <w:spacing w:after="0" w:line="253" w:lineRule="auto"/>
        <w:tabs>
          <w:tab w:leader="none" w:pos="480" w:val="left"/>
        </w:tabs>
        <w:rPr>
          <w:sz w:val="20"/>
          <w:szCs w:val="20"/>
          <w:color w:val="auto"/>
        </w:rPr>
      </w:pPr>
      <w:r>
        <w:rPr>
          <w:rFonts w:ascii="Arial" w:cs="Arial" w:eastAsia="Arial" w:hAnsi="Arial"/>
          <w:sz w:val="16"/>
          <w:szCs w:val="16"/>
          <w:color w:val="auto"/>
        </w:rPr>
        <w:t>10p.</w:t>
        <w:tab/>
        <w:t>Amended and Restated Executive Change of Control Agreement dated December 17, 2008 between Winnebago Industries, Inc. and William J. O'Leary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10q.</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10r.</w:t>
        <w:tab/>
        <w:t>Amended and Restated Executive Change of Control Agreement dated December 17, 2008 between Winnebago Industries, Inc. and Randy J. Potts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10s.</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ind w:left="500" w:right="180" w:hanging="499"/>
        <w:spacing w:after="0" w:line="253" w:lineRule="auto"/>
        <w:tabs>
          <w:tab w:leader="none" w:pos="480" w:val="left"/>
        </w:tabs>
        <w:rPr>
          <w:sz w:val="20"/>
          <w:szCs w:val="20"/>
          <w:color w:val="auto"/>
        </w:rPr>
      </w:pPr>
      <w:r>
        <w:rPr>
          <w:rFonts w:ascii="Arial" w:cs="Arial" w:eastAsia="Arial" w:hAnsi="Arial"/>
          <w:sz w:val="16"/>
          <w:szCs w:val="16"/>
          <w:color w:val="auto"/>
        </w:rPr>
        <w:t>10t.</w:t>
        <w:tab/>
        <w:t>Executive Change of Control Agreement dated August 1, 2011 between Winnebago Industries, Inc. and Donald L. Heidemann previously filed with the Registrant's Annual Report on Form 10-K for the fiscal year ended August 27, 2011 (Commission File Number 001-06403) and incorporated by reference herein.*</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10u.</w:t>
        <w:tab/>
        <w:t>Executive Change of Control between Winnebago Industries, Inc. and Raymond M. Beebe dated June 1, 2012.*</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10v.</w:t>
        <w:tab/>
        <w:t>Executive Change of Control between Winnebago Industries, Inc. and Steven S. Degnan dated June 20, 2012.*</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10w.</w:t>
        <w:tab/>
        <w:t>Executive Change of Control between Winnebago Industries, Inc. and Scott C. Folkers dated June 20, 2012.*</w:t>
      </w:r>
    </w:p>
    <w:p>
      <w:pPr>
        <w:spacing w:after="0" w:line="167"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10x.</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2012 previously filed with the Registrant's Current Report on Form 8-K dated June 21, 2011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10z.</w:t>
        <w:tab/>
        <w:t>Winnebago Industries, Inc. Officers' Incentive Compensation Plan for Fiscal 2013 previously filed with the Registrant's Current Report on Form 8-K dated June 20, 2012 (Commission File Number 001-06403) and incorporated by reference herein.*</w:t>
      </w:r>
    </w:p>
    <w:p>
      <w:pPr>
        <w:spacing w:after="0" w:line="142" w:lineRule="exact"/>
        <w:rPr>
          <w:sz w:val="20"/>
          <w:szCs w:val="20"/>
          <w:color w:val="auto"/>
        </w:rPr>
      </w:pPr>
    </w:p>
    <w:p>
      <w:pPr>
        <w:ind w:left="500" w:right="18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167" w:lineRule="exact"/>
        <w:rPr>
          <w:sz w:val="20"/>
          <w:szCs w:val="20"/>
          <w:color w:val="auto"/>
        </w:rPr>
      </w:pPr>
    </w:p>
    <w:p>
      <w:pPr>
        <w:ind w:left="500" w:hanging="478"/>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23, 2012.</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23, 2012.</w:t>
      </w:r>
    </w:p>
    <w:p>
      <w:pPr>
        <w:spacing w:after="0" w:line="167" w:lineRule="exact"/>
        <w:rPr>
          <w:sz w:val="20"/>
          <w:szCs w:val="20"/>
          <w:color w:val="auto"/>
        </w:rPr>
      </w:pPr>
    </w:p>
    <w:p>
      <w:pPr>
        <w:ind w:left="500" w:right="42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23, 2012.</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Oxley Act of 2002 dated October 23, 2012.</w:t>
      </w:r>
    </w:p>
    <w:p>
      <w:pPr>
        <w:sectPr>
          <w:pgSz w:w="11900" w:h="16838" w:orient="portrait"/>
          <w:cols w:equalWidth="0" w:num="1">
            <w:col w:w="11400"/>
          </w:cols>
          <w:pgMar w:left="240" w:top="141" w:right="2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800" w:space="1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25, 2012 formatted in XBRL: (i) the Consolidated Balance Sheets, (ii) the Consolidated Statements of Operations, (iii) the Consolidated Statements Stockholders' Equity,</w:t>
      </w:r>
    </w:p>
    <w:p>
      <w:pPr>
        <w:spacing w:after="0" w:line="1" w:lineRule="exact"/>
        <w:rPr>
          <w:sz w:val="20"/>
          <w:szCs w:val="20"/>
          <w:color w:val="auto"/>
        </w:rPr>
      </w:pPr>
    </w:p>
    <w:p>
      <w:pPr>
        <w:ind w:right="100" w:firstLine="8"/>
        <w:spacing w:after="0" w:line="260" w:lineRule="auto"/>
        <w:tabs>
          <w:tab w:leader="none" w:pos="27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Consolidated Statement of Cash Flows, and (v) related notes to these financial statements. Such exhibits are deemed furnished and not filed pursuant to Rule 406T of Regulation S-T.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41"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56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ITEM 6. 11-Year Selected Financial Data</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220" w:type="dxa"/>
            <w:vAlign w:val="bottom"/>
          </w:tcPr>
          <w:p>
            <w:pPr>
              <w:spacing w:after="0"/>
              <w:rPr>
                <w:sz w:val="18"/>
                <w:szCs w:val="18"/>
                <w:color w:val="auto"/>
              </w:rPr>
            </w:pPr>
          </w:p>
        </w:tc>
        <w:tc>
          <w:tcPr>
            <w:tcW w:w="1200" w:type="dxa"/>
            <w:vAlign w:val="bottom"/>
          </w:tcPr>
          <w:p>
            <w:pPr>
              <w:jc w:val="right"/>
              <w:ind w:right="418"/>
              <w:spacing w:after="0"/>
              <w:rPr>
                <w:sz w:val="20"/>
                <w:szCs w:val="20"/>
                <w:color w:val="auto"/>
              </w:rPr>
            </w:pPr>
            <w:r>
              <w:rPr>
                <w:rFonts w:ascii="Arial" w:cs="Arial" w:eastAsia="Arial" w:hAnsi="Arial"/>
                <w:sz w:val="16"/>
                <w:szCs w:val="16"/>
                <w:b w:val="1"/>
                <w:bCs w:val="1"/>
                <w:color w:val="auto"/>
              </w:rPr>
              <w:t>Aug 25,</w:t>
            </w:r>
          </w:p>
        </w:tc>
        <w:tc>
          <w:tcPr>
            <w:tcW w:w="36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 27,</w:t>
            </w:r>
          </w:p>
        </w:tc>
        <w:tc>
          <w:tcPr>
            <w:tcW w:w="30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28,</w:t>
            </w:r>
          </w:p>
        </w:tc>
        <w:tc>
          <w:tcPr>
            <w:tcW w:w="3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 29,</w:t>
            </w: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(Adjusted for the 2-for-1 stock split on March 5, 2004)</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581,679</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496,418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449,484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211,519</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10,107</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11,937</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742</w:t>
            </w:r>
          </w:p>
        </w:tc>
        <w:tc>
          <w:tcPr>
            <w:tcW w:w="3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(58,063)</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Pretax profit (loss) percent of revenue</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1.7 %</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0.2 %</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Pr>
          <w:p>
            <w:pPr>
              <w:spacing w:after="0"/>
              <w:rPr>
                <w:sz w:val="22"/>
                <w:szCs w:val="22"/>
                <w:color w:val="auto"/>
              </w:rPr>
            </w:pPr>
          </w:p>
        </w:tc>
        <w:tc>
          <w:tcPr>
            <w:tcW w:w="1200" w:type="dxa"/>
            <w:vAlign w:val="bottom"/>
          </w:tcPr>
          <w:p>
            <w:pPr>
              <w:jc w:val="right"/>
              <w:ind w:right="198"/>
              <w:spacing w:after="0"/>
              <w:rPr>
                <w:sz w:val="20"/>
                <w:szCs w:val="20"/>
                <w:color w:val="auto"/>
              </w:rPr>
            </w:pPr>
            <w:r>
              <w:rPr>
                <w:rFonts w:ascii="Arial" w:cs="Arial" w:eastAsia="Arial" w:hAnsi="Arial"/>
                <w:sz w:val="16"/>
                <w:szCs w:val="16"/>
                <w:color w:val="auto"/>
              </w:rPr>
              <w:t>(34,865)</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94</w:t>
            </w:r>
          </w:p>
        </w:tc>
        <w:tc>
          <w:tcPr>
            <w:tcW w:w="300" w:type="dxa"/>
            <w:vAlign w:val="bottom"/>
          </w:tcPr>
          <w:p>
            <w:pPr>
              <w:spacing w:after="0"/>
              <w:rPr>
                <w:sz w:val="22"/>
                <w:szCs w:val="22"/>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(9,505)</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20,703</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 rate</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(345.0)%</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(1,281.0)%</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44,972</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11,843</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10,247</w:t>
            </w:r>
          </w:p>
        </w:tc>
        <w:tc>
          <w:tcPr>
            <w:tcW w:w="3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(78,766)</w:t>
            </w: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44,972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11,843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10,247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(78,766)</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per share</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0.41</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Discontinued operations</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Net income (loss) per share</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1.54</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1.54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0.41</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(in thousands)</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29,145</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29,121</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29,091</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29,040</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29,207</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29,148</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29,101</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29,051</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Cash dividends paid per share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Book value per share</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5.05</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3.73</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 xml:space="preserve">Return on assets (ROA) </w:t>
            </w:r>
            <w:r>
              <w:rPr>
                <w:rFonts w:ascii="Arial" w:cs="Arial" w:eastAsia="Arial" w:hAnsi="Arial"/>
                <w:sz w:val="21"/>
                <w:szCs w:val="21"/>
                <w:color w:val="auto"/>
                <w:vertAlign w:val="superscript"/>
              </w:rPr>
              <w:t>(3)</w:t>
            </w:r>
          </w:p>
        </w:tc>
        <w:tc>
          <w:tcPr>
            <w:tcW w:w="220" w:type="dxa"/>
            <w:vAlign w:val="bottom"/>
          </w:tcPr>
          <w:p>
            <w:pPr>
              <w:spacing w:after="0"/>
              <w:rPr>
                <w:sz w:val="24"/>
                <w:szCs w:val="24"/>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6"/>
                <w:szCs w:val="16"/>
                <w:color w:val="auto"/>
              </w:rPr>
              <w:t>17.1 %</w:t>
            </w:r>
          </w:p>
        </w:tc>
        <w:tc>
          <w:tcPr>
            <w:tcW w:w="3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300" w:type="dxa"/>
            <w:vAlign w:val="bottom"/>
          </w:tcPr>
          <w:p>
            <w:pPr>
              <w:spacing w:after="0"/>
              <w:rPr>
                <w:sz w:val="24"/>
                <w:szCs w:val="2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4.6 %</w:t>
            </w: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Return on equity (ROE)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35.5 %</w:t>
            </w:r>
          </w:p>
        </w:tc>
        <w:tc>
          <w:tcPr>
            <w:tcW w:w="36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3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10.8 %</w:t>
            </w:r>
          </w:p>
        </w:tc>
        <w:tc>
          <w:tcPr>
            <w:tcW w:w="3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 xml:space="preserve">Return on invested capital (ROIC) </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6"/>
                <w:szCs w:val="16"/>
                <w:color w:val="auto"/>
              </w:rPr>
              <w:t>31.9 %</w:t>
            </w:r>
          </w:p>
        </w:tc>
        <w:tc>
          <w:tcPr>
            <w:tcW w:w="3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4"/>
                <w:szCs w:val="24"/>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color w:val="auto"/>
              </w:rPr>
              <w:t>8.4 %</w:t>
            </w:r>
          </w:p>
        </w:tc>
        <w:tc>
          <w:tcPr>
            <w:tcW w:w="3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 sales</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2,579</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2,436</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2,452</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319</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1,744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1,856</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1,745</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Total motor homes</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4,642</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4,395</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4,433</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60"/>
              <w:spacing w:after="0"/>
              <w:rPr>
                <w:sz w:val="20"/>
                <w:szCs w:val="20"/>
                <w:color w:val="auto"/>
              </w:rPr>
            </w:pPr>
            <w:r>
              <w:rPr>
                <w:rFonts w:ascii="Arial" w:cs="Arial" w:eastAsia="Arial" w:hAnsi="Arial"/>
                <w:sz w:val="16"/>
                <w:szCs w:val="16"/>
                <w:color w:val="auto"/>
              </w:rPr>
              <w:t>Travel trailers</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1,372</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575</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100" w:type="dxa"/>
            <w:vAlign w:val="bottom"/>
          </w:tcPr>
          <w:p>
            <w:pPr>
              <w:spacing w:after="0"/>
              <w:rPr>
                <w:sz w:val="23"/>
                <w:szCs w:val="23"/>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Fifth wheels</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966</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194</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552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color w:val="auto"/>
              </w:rPr>
              <w:t>Total towables</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2,338</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769</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At Year End</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286,072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239,927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227,357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220,466</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144,691</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108,730</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97,527</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92,331</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Market capitalization</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315,481</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208,027</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263,492</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337,991</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126,050</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113,536</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91,345</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79,460</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Current ratio</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3.1 to 1</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3.2 to 1</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2.8 to 1</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2.6 to 1</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Number of employees</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2,380</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2,130</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1,950</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5520" w:type="dxa"/>
            <w:vAlign w:val="bottom"/>
            <w:gridSpan w:val="2"/>
          </w:tcPr>
          <w:p>
            <w:pPr>
              <w:ind w:left="20"/>
              <w:spacing w:after="0"/>
              <w:rPr>
                <w:sz w:val="20"/>
                <w:szCs w:val="20"/>
                <w:color w:val="auto"/>
              </w:rPr>
            </w:pPr>
            <w:r>
              <w:rPr>
                <w:rFonts w:ascii="Arial" w:cs="Arial" w:eastAsia="Arial" w:hAnsi="Arial"/>
                <w:sz w:val="16"/>
                <w:szCs w:val="16"/>
                <w:color w:val="auto"/>
              </w:rPr>
              <w:t>Motor home dealer inventory</w:t>
            </w:r>
          </w:p>
        </w:tc>
        <w:tc>
          <w:tcPr>
            <w:tcW w:w="220" w:type="dxa"/>
            <w:vAlign w:val="bottom"/>
          </w:tcPr>
          <w:p>
            <w:pPr>
              <w:spacing w:after="0"/>
              <w:rPr>
                <w:sz w:val="22"/>
                <w:szCs w:val="22"/>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color w:val="auto"/>
              </w:rPr>
              <w:t>1,927</w:t>
            </w:r>
          </w:p>
        </w:tc>
        <w:tc>
          <w:tcPr>
            <w:tcW w:w="36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1,958</w:t>
            </w:r>
          </w:p>
        </w:tc>
        <w:tc>
          <w:tcPr>
            <w:tcW w:w="300" w:type="dxa"/>
            <w:vAlign w:val="bottom"/>
          </w:tcPr>
          <w:p>
            <w:pPr>
              <w:spacing w:after="0"/>
              <w:rPr>
                <w:sz w:val="22"/>
                <w:szCs w:val="22"/>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2,044</w:t>
            </w:r>
          </w:p>
        </w:tc>
        <w:tc>
          <w:tcPr>
            <w:tcW w:w="300" w:type="dxa"/>
            <w:vAlign w:val="bottom"/>
          </w:tcPr>
          <w:p>
            <w:pPr>
              <w:spacing w:after="0"/>
              <w:rPr>
                <w:sz w:val="22"/>
                <w:szCs w:val="22"/>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Towables dealer inventory</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1,365</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966</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9"/>
          <w:szCs w:val="9"/>
          <w:i w:val="1"/>
          <w:iCs w:val="1"/>
          <w:color w:val="auto"/>
        </w:rPr>
      </w:pPr>
      <w:r>
        <w:rPr>
          <w:rFonts w:ascii="Arial" w:cs="Arial" w:eastAsia="Arial" w:hAnsi="Arial"/>
          <w:sz w:val="13"/>
          <w:szCs w:val="13"/>
          <w:i w:val="1"/>
          <w:iCs w:val="1"/>
          <w:color w:val="auto"/>
        </w:rPr>
        <w:t>The fiscal years ended August 31, 2002 and August 30, 2008 contained 53 weeks; all other fiscal years contained 52 weeks.</w:t>
      </w:r>
    </w:p>
    <w:p>
      <w:pPr>
        <w:spacing w:after="0" w:line="14" w:lineRule="exact"/>
        <w:rPr>
          <w:rFonts w:ascii="Arial" w:cs="Arial" w:eastAsia="Arial" w:hAnsi="Arial"/>
          <w:sz w:val="9"/>
          <w:szCs w:val="9"/>
          <w:i w:val="1"/>
          <w:iCs w:val="1"/>
          <w:color w:val="auto"/>
        </w:rPr>
      </w:pPr>
    </w:p>
    <w:p>
      <w:pPr>
        <w:spacing w:after="0"/>
        <w:rPr>
          <w:rFonts w:ascii="Arial" w:cs="Arial" w:eastAsia="Arial" w:hAnsi="Arial"/>
          <w:sz w:val="9"/>
          <w:szCs w:val="9"/>
          <w:i w:val="1"/>
          <w:iCs w:val="1"/>
          <w:color w:val="auto"/>
        </w:rPr>
      </w:pPr>
      <w:r>
        <w:rPr>
          <w:rFonts w:ascii="Arial" w:cs="Arial" w:eastAsia="Arial" w:hAnsi="Arial"/>
          <w:sz w:val="17"/>
          <w:szCs w:val="17"/>
          <w:i w:val="1"/>
          <w:iCs w:val="1"/>
          <w:color w:val="auto"/>
          <w:vertAlign w:val="superscript"/>
        </w:rPr>
        <w:t>(2)</w:t>
      </w:r>
      <w:r>
        <w:rPr>
          <w:rFonts w:ascii="Arial" w:cs="Arial" w:eastAsia="Arial" w:hAnsi="Arial"/>
          <w:sz w:val="13"/>
          <w:szCs w:val="13"/>
          <w:i w:val="1"/>
          <w:iCs w:val="1"/>
          <w:color w:val="auto"/>
        </w:rPr>
        <w:t>Includes discontinued operations of Winnebago Acceptance Corporation for all years presented</w:t>
      </w:r>
      <w:r>
        <w:rPr>
          <w:rFonts w:ascii="Arial" w:cs="Arial" w:eastAsia="Arial" w:hAnsi="Arial"/>
          <w:sz w:val="14"/>
          <w:szCs w:val="14"/>
          <w:i w:val="1"/>
          <w:iCs w:val="1"/>
          <w:color w:val="auto"/>
        </w:rPr>
        <w:t>.</w:t>
      </w:r>
    </w:p>
    <w:p>
      <w:pPr>
        <w:sectPr>
          <w:pgSz w:w="11900" w:h="16838" w:orient="portrait"/>
          <w:cols w:equalWidth="0" w:num="1">
            <w:col w:w="11340"/>
          </w:cols>
          <w:pgMar w:left="240" w:top="118" w:right="319" w:bottom="1440" w:gutter="0" w:footer="0" w:header="0"/>
        </w:sect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40"/>
          </w:cols>
          <w:pgMar w:left="240" w:top="118" w:right="31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Aug 28,</w:t>
            </w:r>
          </w:p>
        </w:tc>
        <w:tc>
          <w:tcPr>
            <w:tcW w:w="38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25,</w:t>
            </w:r>
          </w:p>
        </w:tc>
        <w:tc>
          <w:tcPr>
            <w:tcW w:w="400" w:type="dxa"/>
            <w:vAlign w:val="bottom"/>
          </w:tcPr>
          <w:p>
            <w:pPr>
              <w:spacing w:after="0"/>
              <w:rPr>
                <w:sz w:val="16"/>
                <w:szCs w:val="16"/>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 26,</w:t>
            </w:r>
          </w:p>
        </w:tc>
        <w:tc>
          <w:tcPr>
            <w:tcW w:w="40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Aug 27,</w:t>
            </w:r>
          </w:p>
        </w:tc>
        <w:tc>
          <w:tcPr>
            <w:tcW w:w="400" w:type="dxa"/>
            <w:vAlign w:val="bottom"/>
          </w:tcPr>
          <w:p>
            <w:pPr>
              <w:spacing w:after="0"/>
              <w:rPr>
                <w:sz w:val="16"/>
                <w:szCs w:val="16"/>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28,</w:t>
            </w:r>
          </w:p>
        </w:tc>
        <w:tc>
          <w:tcPr>
            <w:tcW w:w="420" w:type="dxa"/>
            <w:vAlign w:val="bottom"/>
          </w:tcPr>
          <w:p>
            <w:pPr>
              <w:spacing w:after="0"/>
              <w:rPr>
                <w:sz w:val="16"/>
                <w:szCs w:val="16"/>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Aug 30,</w:t>
            </w:r>
          </w:p>
        </w:tc>
        <w:tc>
          <w:tcPr>
            <w:tcW w:w="440" w:type="dxa"/>
            <w:vAlign w:val="bottom"/>
          </w:tcPr>
          <w:p>
            <w:pPr>
              <w:spacing w:after="0"/>
              <w:rPr>
                <w:sz w:val="16"/>
                <w:szCs w:val="16"/>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 2,</w:t>
            </w:r>
          </w:p>
        </w:tc>
      </w:tr>
      <w:tr>
        <w:trPr>
          <w:trHeight w:val="241"/>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9"/>
              <w:spacing w:after="0" w:line="234" w:lineRule="exact"/>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2007</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2006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2005</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2004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2003</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9"/>
              <w:spacing w:after="0" w:line="234" w:lineRule="exact"/>
              <w:rPr>
                <w:sz w:val="20"/>
                <w:szCs w:val="20"/>
                <w:color w:val="auto"/>
              </w:rPr>
            </w:pPr>
            <w:r>
              <w:rPr>
                <w:rFonts w:ascii="Arial" w:cs="Arial" w:eastAsia="Arial" w:hAnsi="Arial"/>
                <w:sz w:val="16"/>
                <w:szCs w:val="16"/>
                <w:b w:val="1"/>
                <w:bCs w:val="1"/>
                <w:color w:val="auto"/>
              </w:rPr>
              <w:t>2002</w:t>
            </w:r>
            <w:r>
              <w:rPr>
                <w:rFonts w:ascii="Arial" w:cs="Arial" w:eastAsia="Arial" w:hAnsi="Arial"/>
                <w:sz w:val="21"/>
                <w:szCs w:val="21"/>
                <w:b w:val="1"/>
                <w:bCs w:val="1"/>
                <w:color w:val="auto"/>
                <w:vertAlign w:val="superscript"/>
              </w:rPr>
              <w:t>(1)</w:t>
            </w:r>
          </w:p>
        </w:tc>
      </w:tr>
      <w:tr>
        <w:trPr>
          <w:trHeight w:val="270"/>
        </w:trPr>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604,352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870,152</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864,403</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991,975</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1,114,154</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845,210</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825,269</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(5,441)</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61,409</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68,195</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100,890</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112,234</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78,693</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81,324</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(8,225)</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19,845</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23,451</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35,817</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41,593</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29,961</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28,431</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35.5%</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37.1%</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38.1%</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2,784</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41,564</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44,744</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65,073</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70,641</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48,732</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52,893</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1,152</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1,778</w:t>
            </w: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2,784</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41,564</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44,744</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65,073</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70,641</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49,884</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54,671</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0.10</w:t>
            </w: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1.39</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1.95</w:t>
            </w: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2.06</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1.35</w:t>
            </w: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1.37</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0.10</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1.32</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1.37</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1.92</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2.03</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1.33</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1.34</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0.03</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0.04</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0.03</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0.04</w:t>
            </w:r>
          </w:p>
        </w:tc>
      </w:tr>
      <w:tr>
        <w:trPr>
          <w:trHeight w:val="270"/>
        </w:trPr>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0.10</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1.39</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1.95</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2.06</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1.38</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1.41</w:t>
            </w:r>
          </w:p>
        </w:tc>
      </w:tr>
      <w:tr>
        <w:trPr>
          <w:trHeight w:val="264"/>
        </w:trPr>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0.10</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1.32</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1.37</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1.92</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1.36</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1.38</w:t>
            </w:r>
          </w:p>
        </w:tc>
      </w:tr>
      <w:tr>
        <w:trPr>
          <w:trHeight w:val="270"/>
        </w:trPr>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29,093</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31,162</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32,265</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33,382</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34,214</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36,974</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39,898</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29,144</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31,415</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32,550</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33,812</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34,789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37,636</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40,768</w:t>
            </w: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0.48</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0.40</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0.36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0.28</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0.20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0.10</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0.10</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5.98</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7.05</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7.01</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7.15</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6.01</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5.78</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4.81</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0.8 %</w:t>
            </w:r>
          </w:p>
        </w:tc>
        <w:tc>
          <w:tcPr>
            <w:tcW w:w="38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40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16.1%</w:t>
            </w:r>
          </w:p>
        </w:tc>
        <w:tc>
          <w:tcPr>
            <w:tcW w:w="40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18.3%</w:t>
            </w:r>
          </w:p>
        </w:tc>
        <w:tc>
          <w:tcPr>
            <w:tcW w:w="4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15.9%</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1.5 %</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34.4%</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25.6%</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38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15.1%</w:t>
            </w:r>
          </w:p>
        </w:tc>
        <w:tc>
          <w:tcPr>
            <w:tcW w:w="400" w:type="dxa"/>
            <w:vAlign w:val="bottom"/>
          </w:tcPr>
          <w:p>
            <w:pPr>
              <w:spacing w:after="0"/>
              <w:rPr>
                <w:sz w:val="22"/>
                <w:szCs w:val="22"/>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15.4%</w:t>
            </w:r>
          </w:p>
        </w:tc>
        <w:tc>
          <w:tcPr>
            <w:tcW w:w="40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31.4%</w:t>
            </w:r>
          </w:p>
        </w:tc>
        <w:tc>
          <w:tcPr>
            <w:tcW w:w="4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25.5%</w:t>
            </w: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29.1%</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3,029</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5,031</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4,455</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6,674</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8,108</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6,705</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6,725</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308</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763</w:t>
            </w:r>
          </w:p>
        </w:tc>
      </w:tr>
      <w:tr>
        <w:trPr>
          <w:trHeight w:val="264"/>
        </w:trPr>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3,238</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4,438</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5,388</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3,963</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4,408</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4,021</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4,329</w:t>
            </w:r>
          </w:p>
        </w:tc>
      </w:tr>
      <w:tr>
        <w:trPr>
          <w:trHeight w:val="264"/>
        </w:trPr>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6,407</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9,469</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9,843</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10,637</w:t>
            </w:r>
          </w:p>
        </w:tc>
        <w:tc>
          <w:tcPr>
            <w:tcW w:w="4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12,516</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11,034</w:t>
            </w:r>
          </w:p>
        </w:tc>
        <w:tc>
          <w:tcPr>
            <w:tcW w:w="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11,817</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70"/>
        </w:trPr>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305,455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366,510</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384,715</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412,960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394,556</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377,462</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337,077</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173,924</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208,354</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218,322</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235,887</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201,875</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210,626</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179,815</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329,956</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821,282</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884,789</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1,073,165</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1,071,570</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898,010</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713,500</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108,548</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168,863</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187,038</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197,469</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164,175</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164,017</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144,303</w:t>
            </w:r>
          </w:p>
        </w:tc>
      </w:tr>
      <w:tr>
        <w:trPr>
          <w:trHeight w:val="260"/>
        </w:trPr>
        <w:tc>
          <w:tcPr>
            <w:tcW w:w="180" w:type="dxa"/>
            <w:vAlign w:val="bottom"/>
          </w:tcPr>
          <w:p>
            <w:pPr>
              <w:spacing w:after="0"/>
              <w:rPr>
                <w:sz w:val="22"/>
                <w:szCs w:val="22"/>
                <w:color w:val="auto"/>
              </w:rPr>
            </w:pPr>
          </w:p>
        </w:tc>
        <w:tc>
          <w:tcPr>
            <w:tcW w:w="1040" w:type="dxa"/>
            <w:vAlign w:val="bottom"/>
          </w:tcPr>
          <w:p>
            <w:pPr>
              <w:ind w:left="120"/>
              <w:spacing w:after="0"/>
              <w:rPr>
                <w:sz w:val="20"/>
                <w:szCs w:val="20"/>
                <w:color w:val="auto"/>
              </w:rPr>
            </w:pPr>
            <w:r>
              <w:rPr>
                <w:rFonts w:ascii="Arial" w:cs="Arial" w:eastAsia="Arial" w:hAnsi="Arial"/>
                <w:sz w:val="16"/>
                <w:szCs w:val="16"/>
                <w:color w:val="auto"/>
              </w:rPr>
              <w:t>3.0 to 1</w:t>
            </w:r>
          </w:p>
        </w:tc>
        <w:tc>
          <w:tcPr>
            <w:tcW w:w="380" w:type="dxa"/>
            <w:vAlign w:val="bottom"/>
          </w:tcPr>
          <w:p>
            <w:pPr>
              <w:spacing w:after="0"/>
              <w:rPr>
                <w:sz w:val="22"/>
                <w:szCs w:val="22"/>
                <w:color w:val="auto"/>
              </w:rPr>
            </w:pPr>
          </w:p>
        </w:tc>
        <w:tc>
          <w:tcPr>
            <w:tcW w:w="1120" w:type="dxa"/>
            <w:vAlign w:val="bottom"/>
          </w:tcPr>
          <w:p>
            <w:pPr>
              <w:ind w:left="260"/>
              <w:spacing w:after="0"/>
              <w:rPr>
                <w:sz w:val="20"/>
                <w:szCs w:val="20"/>
                <w:color w:val="auto"/>
              </w:rPr>
            </w:pPr>
            <w:r>
              <w:rPr>
                <w:rFonts w:ascii="Arial" w:cs="Arial" w:eastAsia="Arial" w:hAnsi="Arial"/>
                <w:sz w:val="16"/>
                <w:szCs w:val="16"/>
                <w:color w:val="auto"/>
              </w:rPr>
              <w:t>2.9 to 1</w:t>
            </w:r>
          </w:p>
        </w:tc>
        <w:tc>
          <w:tcPr>
            <w:tcW w:w="400" w:type="dxa"/>
            <w:vAlign w:val="bottom"/>
          </w:tcPr>
          <w:p>
            <w:pPr>
              <w:spacing w:after="0"/>
              <w:rPr>
                <w:sz w:val="22"/>
                <w:szCs w:val="22"/>
                <w:color w:val="auto"/>
              </w:rPr>
            </w:pPr>
          </w:p>
        </w:tc>
        <w:tc>
          <w:tcPr>
            <w:tcW w:w="1140" w:type="dxa"/>
            <w:vAlign w:val="bottom"/>
          </w:tcPr>
          <w:p>
            <w:pPr>
              <w:ind w:left="260"/>
              <w:spacing w:after="0"/>
              <w:rPr>
                <w:sz w:val="20"/>
                <w:szCs w:val="20"/>
                <w:color w:val="auto"/>
              </w:rPr>
            </w:pPr>
            <w:r>
              <w:rPr>
                <w:rFonts w:ascii="Arial" w:cs="Arial" w:eastAsia="Arial" w:hAnsi="Arial"/>
                <w:sz w:val="16"/>
                <w:szCs w:val="16"/>
                <w:color w:val="auto"/>
              </w:rPr>
              <w:t>3.3 to 1</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3.2 to 1</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2.6 to 1</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2.8 to 1</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2.6 to 1</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2,250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3,310</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3,150</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3,610</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4,220</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3,750</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3,685</w:t>
            </w:r>
          </w:p>
        </w:tc>
      </w:tr>
      <w:tr>
        <w:trPr>
          <w:trHeight w:val="260"/>
        </w:trPr>
        <w:tc>
          <w:tcPr>
            <w:tcW w:w="18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3,551</w:t>
            </w:r>
          </w:p>
        </w:tc>
        <w:tc>
          <w:tcPr>
            <w:tcW w:w="3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4,471</w:t>
            </w:r>
          </w:p>
        </w:tc>
        <w:tc>
          <w:tcPr>
            <w:tcW w:w="40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4,733</w:t>
            </w:r>
          </w:p>
        </w:tc>
        <w:tc>
          <w:tcPr>
            <w:tcW w:w="400" w:type="dxa"/>
            <w:vAlign w:val="bottom"/>
          </w:tcPr>
          <w:p>
            <w:pPr>
              <w:spacing w:after="0"/>
              <w:rPr>
                <w:sz w:val="22"/>
                <w:szCs w:val="22"/>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4,794</w:t>
            </w:r>
          </w:p>
        </w:tc>
        <w:tc>
          <w:tcPr>
            <w:tcW w:w="400" w:type="dxa"/>
            <w:vAlign w:val="bottom"/>
          </w:tcPr>
          <w:p>
            <w:pPr>
              <w:spacing w:after="0"/>
              <w:rPr>
                <w:sz w:val="22"/>
                <w:szCs w:val="22"/>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4,978</w:t>
            </w:r>
          </w:p>
        </w:tc>
        <w:tc>
          <w:tcPr>
            <w:tcW w:w="420" w:type="dxa"/>
            <w:vAlign w:val="bottom"/>
          </w:tcPr>
          <w:p>
            <w:pPr>
              <w:spacing w:after="0"/>
              <w:rPr>
                <w:sz w:val="22"/>
                <w:szCs w:val="22"/>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3,945</w:t>
            </w:r>
          </w:p>
        </w:tc>
        <w:tc>
          <w:tcPr>
            <w:tcW w:w="440" w:type="dxa"/>
            <w:vAlign w:val="bottom"/>
          </w:tcPr>
          <w:p>
            <w:pPr>
              <w:spacing w:after="0"/>
              <w:rPr>
                <w:sz w:val="22"/>
                <w:szCs w:val="22"/>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4,000</w:t>
            </w:r>
          </w:p>
        </w:tc>
      </w:tr>
      <w:tr>
        <w:trPr>
          <w:trHeight w:val="280"/>
        </w:trPr>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bl>
    <w:p>
      <w:pPr>
        <w:spacing w:after="0" w:line="14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discontinued operations of Winnebago Acceptance Corporation for all years presented.</w:t>
      </w:r>
    </w:p>
    <w:p>
      <w:pPr>
        <w:spacing w:after="0" w:line="11" w:lineRule="exact"/>
        <w:rPr>
          <w:rFonts w:ascii="Arial" w:cs="Arial" w:eastAsia="Arial" w:hAnsi="Arial"/>
          <w:sz w:val="9"/>
          <w:szCs w:val="9"/>
          <w:i w:val="1"/>
          <w:iCs w:val="1"/>
          <w:color w:val="auto"/>
        </w:rPr>
      </w:pPr>
    </w:p>
    <w:p>
      <w:pPr>
        <w:ind w:left="340" w:hanging="332"/>
        <w:spacing w:after="0"/>
        <w:tabs>
          <w:tab w:leader="none" w:pos="340" w:val="left"/>
        </w:tabs>
        <w:numPr>
          <w:ilvl w:val="0"/>
          <w:numId w:val="31"/>
        </w:numPr>
        <w:rPr>
          <w:rFonts w:ascii="Arial" w:cs="Arial" w:eastAsia="Arial" w:hAnsi="Arial"/>
          <w:sz w:val="9"/>
          <w:szCs w:val="9"/>
          <w:i w:val="1"/>
          <w:iCs w:val="1"/>
          <w:color w:val="auto"/>
        </w:rPr>
      </w:pPr>
      <w:r>
        <w:rPr>
          <w:rFonts w:ascii="Arial" w:cs="Arial" w:eastAsia="Arial" w:hAnsi="Arial"/>
          <w:sz w:val="13"/>
          <w:szCs w:val="13"/>
          <w:i w:val="1"/>
          <w:iCs w:val="1"/>
          <w:color w:val="auto"/>
        </w:rPr>
        <w:t>ROE - Current period net income divided by average equity balance using current and previous ending periods.</w:t>
      </w:r>
    </w:p>
    <w:p>
      <w:pPr>
        <w:ind w:left="340" w:hanging="332"/>
        <w:spacing w:after="0"/>
        <w:tabs>
          <w:tab w:leader="none" w:pos="340" w:val="left"/>
        </w:tabs>
        <w:numPr>
          <w:ilvl w:val="0"/>
          <w:numId w:val="31"/>
        </w:numPr>
        <w:rPr>
          <w:rFonts w:ascii="Arial" w:cs="Arial" w:eastAsia="Arial" w:hAnsi="Arial"/>
          <w:sz w:val="9"/>
          <w:szCs w:val="9"/>
          <w:i w:val="1"/>
          <w:iCs w:val="1"/>
          <w:color w:val="auto"/>
        </w:rPr>
      </w:pPr>
      <w:r>
        <w:rPr>
          <w:rFonts w:ascii="Arial" w:cs="Arial" w:eastAsia="Arial" w:hAnsi="Arial"/>
          <w:sz w:val="13"/>
          <w:szCs w:val="13"/>
          <w:i w:val="1"/>
          <w:iCs w:val="1"/>
          <w:color w:val="auto"/>
        </w:rPr>
        <w:t>ROIC - Current period net income divided by average invested capital (total assets minus cash and non-interest bearing current liabilities) using current ending periods.</w:t>
      </w:r>
    </w:p>
    <w:p>
      <w:pPr>
        <w:sectPr>
          <w:pgSz w:w="11900" w:h="16838" w:orient="portrait"/>
          <w:cols w:equalWidth="0" w:num="1">
            <w:col w:w="10860"/>
          </w:cols>
          <w:pgMar w:left="240" w:top="141" w:right="799" w:bottom="1440" w:gutter="0" w:footer="0" w:header="0"/>
        </w:sect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860"/>
          </w:cols>
          <w:pgMar w:left="240" w:top="141" w:right="79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6"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3220" w:type="dxa"/>
            <w:vAlign w:val="bottom"/>
          </w:tcPr>
          <w:p>
            <w:pPr>
              <w:spacing w:after="0"/>
              <w:rPr>
                <w:sz w:val="20"/>
                <w:szCs w:val="20"/>
                <w:color w:val="auto"/>
              </w:rPr>
            </w:pPr>
            <w:r>
              <w:rPr>
                <w:rFonts w:ascii="Arial" w:cs="Arial" w:eastAsia="Arial" w:hAnsi="Arial"/>
                <w:sz w:val="13"/>
                <w:szCs w:val="13"/>
                <w:b w:val="1"/>
                <w:bCs w:val="1"/>
                <w:color w:val="auto"/>
              </w:rPr>
              <w:t>BOARD OF DIRECTORS</w:t>
            </w:r>
          </w:p>
        </w:tc>
        <w:tc>
          <w:tcPr>
            <w:tcW w:w="3980" w:type="dxa"/>
            <w:vAlign w:val="bottom"/>
            <w:gridSpan w:val="5"/>
          </w:tcPr>
          <w:p>
            <w:pPr>
              <w:ind w:left="560"/>
              <w:spacing w:after="0"/>
              <w:rPr>
                <w:sz w:val="20"/>
                <w:szCs w:val="20"/>
                <w:color w:val="auto"/>
              </w:rPr>
            </w:pPr>
            <w:r>
              <w:rPr>
                <w:rFonts w:ascii="Arial" w:cs="Arial" w:eastAsia="Arial" w:hAnsi="Arial"/>
                <w:sz w:val="13"/>
                <w:szCs w:val="13"/>
                <w:b w:val="1"/>
                <w:bCs w:val="1"/>
                <w:color w:val="auto"/>
              </w:rPr>
              <w:t>SHAREHOLDER INFORMATION</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Randy J. Potts (53)</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Publications</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President, Chief Executive Officer,</w:t>
            </w:r>
          </w:p>
        </w:tc>
        <w:tc>
          <w:tcPr>
            <w:tcW w:w="3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180"/>
              <w:spacing w:after="0" w:line="135" w:lineRule="exact"/>
              <w:rPr>
                <w:sz w:val="20"/>
                <w:szCs w:val="20"/>
                <w:color w:val="auto"/>
              </w:rPr>
            </w:pPr>
            <w:r>
              <w:rPr>
                <w:rFonts w:ascii="Arial" w:cs="Arial" w:eastAsia="Arial" w:hAnsi="Arial"/>
                <w:sz w:val="13"/>
                <w:szCs w:val="13"/>
                <w:color w:val="auto"/>
              </w:rPr>
              <w:t>and Chairman of the Board</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A notice of Annual Meeting of Shareholders and Proxy</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Statement is furnished to shareholders upon request in</w:t>
            </w:r>
          </w:p>
        </w:tc>
        <w:tc>
          <w:tcPr>
            <w:tcW w:w="0" w:type="dxa"/>
            <w:vAlign w:val="bottom"/>
          </w:tcPr>
          <w:p>
            <w:pPr>
              <w:spacing w:after="0"/>
              <w:rPr>
                <w:sz w:val="1"/>
                <w:szCs w:val="1"/>
                <w:color w:val="auto"/>
              </w:rPr>
            </w:pPr>
          </w:p>
        </w:tc>
      </w:tr>
      <w:tr>
        <w:trPr>
          <w:trHeight w:val="152"/>
        </w:trPr>
        <w:tc>
          <w:tcPr>
            <w:tcW w:w="3220" w:type="dxa"/>
            <w:vAlign w:val="bottom"/>
            <w:vMerge w:val="restart"/>
          </w:tcPr>
          <w:p>
            <w:pPr>
              <w:spacing w:after="0"/>
              <w:rPr>
                <w:sz w:val="20"/>
                <w:szCs w:val="20"/>
                <w:color w:val="auto"/>
              </w:rPr>
            </w:pPr>
            <w:r>
              <w:rPr>
                <w:rFonts w:ascii="Arial" w:cs="Arial" w:eastAsia="Arial" w:hAnsi="Arial"/>
                <w:sz w:val="13"/>
                <w:szCs w:val="13"/>
                <w:color w:val="auto"/>
              </w:rPr>
              <w:t>Robert J. Olson (61)</w:t>
            </w:r>
          </w:p>
        </w:tc>
        <w:tc>
          <w:tcPr>
            <w:tcW w:w="3980" w:type="dxa"/>
            <w:vAlign w:val="bottom"/>
            <w:gridSpan w:val="5"/>
          </w:tcPr>
          <w:p>
            <w:pPr>
              <w:ind w:left="560"/>
              <w:spacing w:after="0"/>
              <w:rPr>
                <w:sz w:val="20"/>
                <w:szCs w:val="20"/>
                <w:color w:val="auto"/>
              </w:rPr>
            </w:pPr>
            <w:r>
              <w:rPr>
                <w:rFonts w:ascii="Arial" w:cs="Arial" w:eastAsia="Arial" w:hAnsi="Arial"/>
                <w:sz w:val="13"/>
                <w:szCs w:val="13"/>
                <w:color w:val="auto"/>
              </w:rPr>
              <w:t>advance of the annual meeting.</w:t>
            </w:r>
          </w:p>
        </w:tc>
        <w:tc>
          <w:tcPr>
            <w:tcW w:w="0" w:type="dxa"/>
            <w:vAlign w:val="bottom"/>
          </w:tcPr>
          <w:p>
            <w:pPr>
              <w:spacing w:after="0"/>
              <w:rPr>
                <w:sz w:val="1"/>
                <w:szCs w:val="1"/>
                <w:color w:val="auto"/>
              </w:rPr>
            </w:pPr>
          </w:p>
        </w:tc>
      </w:tr>
      <w:tr>
        <w:trPr>
          <w:trHeight w:val="118"/>
        </w:trPr>
        <w:tc>
          <w:tcPr>
            <w:tcW w:w="32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President, Chief Executive Officer,</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Copies of our quarterly financial earnings releases, the</w:t>
            </w:r>
          </w:p>
        </w:tc>
        <w:tc>
          <w:tcPr>
            <w:tcW w:w="0" w:type="dxa"/>
            <w:vAlign w:val="bottom"/>
          </w:tcPr>
          <w:p>
            <w:pPr>
              <w:spacing w:after="0"/>
              <w:rPr>
                <w:sz w:val="1"/>
                <w:szCs w:val="1"/>
                <w:color w:val="auto"/>
              </w:rPr>
            </w:pPr>
          </w:p>
        </w:tc>
      </w:tr>
      <w:tr>
        <w:trPr>
          <w:trHeight w:val="135"/>
        </w:trPr>
        <w:tc>
          <w:tcPr>
            <w:tcW w:w="3220" w:type="dxa"/>
            <w:vAlign w:val="bottom"/>
          </w:tcPr>
          <w:p>
            <w:pPr>
              <w:ind w:left="180"/>
              <w:spacing w:after="0" w:line="135" w:lineRule="exact"/>
              <w:rPr>
                <w:sz w:val="20"/>
                <w:szCs w:val="20"/>
                <w:color w:val="auto"/>
              </w:rPr>
            </w:pPr>
            <w:r>
              <w:rPr>
                <w:rFonts w:ascii="Arial" w:cs="Arial" w:eastAsia="Arial" w:hAnsi="Arial"/>
                <w:sz w:val="13"/>
                <w:szCs w:val="13"/>
                <w:color w:val="auto"/>
              </w:rPr>
              <w:t>and Chairman of the Board</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w w:val="99"/>
              </w:rPr>
              <w:t>annual report on Form 10-K (without exhibits), the quarterly</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reports on Form 10-Q (without exhibits) and current reports</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on Form 8-K (without exhibits) as filed by us with the</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Irvin E. Aal (73) 1,3*</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Securities and Exchange Commission, may be obtained</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General Manager</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without charge from the corporate offices as follows:</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Case Tyler Business Unit of CNH Global</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color w:val="auto"/>
              </w:rPr>
              <w:t>Sheila Davis, PR/IR Manager</w:t>
            </w:r>
          </w:p>
        </w:tc>
        <w:tc>
          <w:tcPr>
            <w:tcW w:w="0" w:type="dxa"/>
            <w:vAlign w:val="bottom"/>
          </w:tcPr>
          <w:p>
            <w:pPr>
              <w:spacing w:after="0"/>
              <w:rPr>
                <w:sz w:val="1"/>
                <w:szCs w:val="1"/>
                <w:color w:val="auto"/>
              </w:rPr>
            </w:pPr>
          </w:p>
        </w:tc>
      </w:tr>
      <w:tr>
        <w:trPr>
          <w:trHeight w:val="118"/>
        </w:trPr>
        <w:tc>
          <w:tcPr>
            <w:tcW w:w="3220" w:type="dxa"/>
            <w:vAlign w:val="bottom"/>
          </w:tcPr>
          <w:p>
            <w:pPr>
              <w:spacing w:after="0"/>
              <w:rPr>
                <w:sz w:val="10"/>
                <w:szCs w:val="10"/>
                <w:color w:val="auto"/>
              </w:rPr>
            </w:pPr>
          </w:p>
        </w:tc>
        <w:tc>
          <w:tcPr>
            <w:tcW w:w="3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Robert M. Chiusano (61) 2</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Winnebago Industries, Inc.</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 and Chief</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605 W. Crystal Lake Road</w:t>
            </w:r>
          </w:p>
        </w:tc>
        <w:tc>
          <w:tcPr>
            <w:tcW w:w="0" w:type="dxa"/>
            <w:vAlign w:val="bottom"/>
          </w:tcPr>
          <w:p>
            <w:pPr>
              <w:spacing w:after="0"/>
              <w:rPr>
                <w:sz w:val="1"/>
                <w:szCs w:val="1"/>
                <w:color w:val="auto"/>
              </w:rPr>
            </w:pPr>
          </w:p>
        </w:tc>
      </w:tr>
      <w:tr>
        <w:trPr>
          <w:trHeight w:val="135"/>
        </w:trPr>
        <w:tc>
          <w:tcPr>
            <w:tcW w:w="3220" w:type="dxa"/>
            <w:vAlign w:val="bottom"/>
          </w:tcPr>
          <w:p>
            <w:pPr>
              <w:ind w:left="180"/>
              <w:spacing w:after="0" w:line="135" w:lineRule="exact"/>
              <w:rPr>
                <w:sz w:val="20"/>
                <w:szCs w:val="20"/>
                <w:color w:val="auto"/>
              </w:rPr>
            </w:pPr>
            <w:r>
              <w:rPr>
                <w:rFonts w:ascii="Arial" w:cs="Arial" w:eastAsia="Arial" w:hAnsi="Arial"/>
                <w:sz w:val="13"/>
                <w:szCs w:val="13"/>
                <w:color w:val="auto"/>
              </w:rPr>
              <w:t>Operating Officer - Commercial Systems</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P.O. Box 152</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Rockwell Collins, Inc.</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Forest City, Iowa 50436-0152</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Telephone: (641) 585-3535</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Jerry N. Currie (67) 1,3</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Fax: (641) 585-6966</w:t>
            </w:r>
          </w:p>
        </w:tc>
        <w:tc>
          <w:tcPr>
            <w:tcW w:w="0" w:type="dxa"/>
            <w:vAlign w:val="bottom"/>
          </w:tcPr>
          <w:p>
            <w:pPr>
              <w:spacing w:after="0"/>
              <w:rPr>
                <w:sz w:val="1"/>
                <w:szCs w:val="1"/>
                <w:color w:val="auto"/>
              </w:rPr>
            </w:pPr>
          </w:p>
        </w:tc>
      </w:tr>
      <w:tr>
        <w:trPr>
          <w:trHeight w:val="128"/>
        </w:trPr>
        <w:tc>
          <w:tcPr>
            <w:tcW w:w="3220" w:type="dxa"/>
            <w:vAlign w:val="bottom"/>
          </w:tcPr>
          <w:p>
            <w:pPr>
              <w:spacing w:after="0" w:line="128" w:lineRule="exact"/>
              <w:rPr>
                <w:sz w:val="20"/>
                <w:szCs w:val="20"/>
                <w:color w:val="auto"/>
              </w:rPr>
            </w:pPr>
            <w:r>
              <w:rPr>
                <w:rFonts w:ascii="Arial" w:cs="Arial" w:eastAsia="Arial" w:hAnsi="Arial"/>
                <w:sz w:val="13"/>
                <w:szCs w:val="13"/>
                <w:color w:val="auto"/>
              </w:rPr>
              <w:t>President and Chief Executive Officer</w:t>
            </w:r>
          </w:p>
        </w:tc>
        <w:tc>
          <w:tcPr>
            <w:tcW w:w="3980" w:type="dxa"/>
            <w:vAlign w:val="bottom"/>
            <w:gridSpan w:val="5"/>
          </w:tcPr>
          <w:p>
            <w:pPr>
              <w:ind w:left="560"/>
              <w:spacing w:after="0" w:line="128" w:lineRule="exact"/>
              <w:rPr>
                <w:sz w:val="20"/>
                <w:szCs w:val="20"/>
                <w:color w:val="auto"/>
              </w:rPr>
            </w:pPr>
            <w:r>
              <w:rPr>
                <w:rFonts w:ascii="Arial" w:cs="Arial" w:eastAsia="Arial" w:hAnsi="Arial"/>
                <w:sz w:val="13"/>
                <w:szCs w:val="13"/>
                <w:color w:val="auto"/>
              </w:rPr>
              <w:t>E-Mail: ir@winnebagoind.com</w:t>
            </w:r>
          </w:p>
        </w:tc>
        <w:tc>
          <w:tcPr>
            <w:tcW w:w="0" w:type="dxa"/>
            <w:vAlign w:val="bottom"/>
          </w:tcPr>
          <w:p>
            <w:pPr>
              <w:spacing w:after="0"/>
              <w:rPr>
                <w:sz w:val="1"/>
                <w:szCs w:val="1"/>
                <w:color w:val="auto"/>
              </w:rPr>
            </w:pPr>
          </w:p>
        </w:tc>
      </w:tr>
      <w:tr>
        <w:trPr>
          <w:trHeight w:val="140"/>
        </w:trPr>
        <w:tc>
          <w:tcPr>
            <w:tcW w:w="3220" w:type="dxa"/>
            <w:vAlign w:val="bottom"/>
          </w:tcPr>
          <w:p>
            <w:pPr>
              <w:spacing w:after="0" w:line="140" w:lineRule="exact"/>
              <w:rPr>
                <w:sz w:val="20"/>
                <w:szCs w:val="20"/>
                <w:color w:val="auto"/>
              </w:rPr>
            </w:pPr>
            <w:r>
              <w:rPr>
                <w:rFonts w:ascii="Arial" w:cs="Arial" w:eastAsia="Arial" w:hAnsi="Arial"/>
                <w:sz w:val="13"/>
                <w:szCs w:val="13"/>
                <w:color w:val="auto"/>
              </w:rPr>
              <w:t>CURRIES Company</w:t>
            </w:r>
          </w:p>
        </w:tc>
        <w:tc>
          <w:tcPr>
            <w:tcW w:w="10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220" w:type="dxa"/>
            <w:vAlign w:val="bottom"/>
          </w:tcPr>
          <w:p>
            <w:pPr>
              <w:spacing w:after="0"/>
              <w:rPr>
                <w:sz w:val="20"/>
                <w:szCs w:val="20"/>
                <w:color w:val="auto"/>
              </w:rPr>
            </w:pPr>
            <w:r>
              <w:rPr>
                <w:rFonts w:ascii="Arial" w:cs="Arial" w:eastAsia="Arial" w:hAnsi="Arial"/>
                <w:sz w:val="13"/>
                <w:szCs w:val="13"/>
                <w:color w:val="auto"/>
              </w:rPr>
              <w:t>Lawrence A. Erickson (63) 1**,2</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Senior Vice President and Chief</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180"/>
              <w:spacing w:after="0" w:line="135" w:lineRule="exact"/>
              <w:rPr>
                <w:sz w:val="20"/>
                <w:szCs w:val="20"/>
                <w:color w:val="auto"/>
              </w:rPr>
            </w:pPr>
            <w:r>
              <w:rPr>
                <w:rFonts w:ascii="Arial" w:cs="Arial" w:eastAsia="Arial" w:hAnsi="Arial"/>
                <w:sz w:val="13"/>
                <w:szCs w:val="13"/>
                <w:color w:val="auto"/>
              </w:rPr>
              <w:t>Financial Officer</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Rockwell Collins, Inc.</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220" w:type="dxa"/>
            <w:vAlign w:val="bottom"/>
          </w:tcPr>
          <w:p>
            <w:pPr>
              <w:spacing w:after="0"/>
              <w:rPr>
                <w:sz w:val="20"/>
                <w:szCs w:val="20"/>
                <w:color w:val="auto"/>
              </w:rPr>
            </w:pPr>
            <w:r>
              <w:rPr>
                <w:rFonts w:ascii="Arial" w:cs="Arial" w:eastAsia="Arial" w:hAnsi="Arial"/>
                <w:sz w:val="13"/>
                <w:szCs w:val="13"/>
                <w:color w:val="auto"/>
              </w:rPr>
              <w:t>Gerald C. Kitch (74) *,2*,3</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Pentair, Inc.</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220" w:type="dxa"/>
            <w:vAlign w:val="bottom"/>
          </w:tcPr>
          <w:p>
            <w:pPr>
              <w:spacing w:after="0"/>
              <w:rPr>
                <w:sz w:val="20"/>
                <w:szCs w:val="20"/>
                <w:color w:val="auto"/>
              </w:rPr>
            </w:pPr>
            <w:r>
              <w:rPr>
                <w:rFonts w:ascii="Arial" w:cs="Arial" w:eastAsia="Arial" w:hAnsi="Arial"/>
                <w:sz w:val="13"/>
                <w:szCs w:val="13"/>
                <w:color w:val="auto"/>
              </w:rPr>
              <w:t>Mark T. Schroepfer (65) 1</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Lincoln Industrial Corp</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Arial" w:cs="Arial" w:eastAsia="Arial" w:hAnsi="Arial"/>
                <w:sz w:val="13"/>
                <w:szCs w:val="13"/>
                <w:color w:val="auto"/>
              </w:rPr>
              <w:t>Board Committee/Members</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color w:val="auto"/>
              </w:rPr>
              <w:t>All news releases issued by us, reports filed by us with the</w:t>
            </w:r>
          </w:p>
        </w:tc>
        <w:tc>
          <w:tcPr>
            <w:tcW w:w="0" w:type="dxa"/>
            <w:vAlign w:val="bottom"/>
          </w:tcPr>
          <w:p>
            <w:pPr>
              <w:spacing w:after="0"/>
              <w:rPr>
                <w:sz w:val="1"/>
                <w:szCs w:val="1"/>
                <w:color w:val="auto"/>
              </w:rPr>
            </w:pPr>
          </w:p>
        </w:tc>
      </w:tr>
      <w:tr>
        <w:trPr>
          <w:trHeight w:val="41"/>
        </w:trPr>
        <w:tc>
          <w:tcPr>
            <w:tcW w:w="3220" w:type="dxa"/>
            <w:vAlign w:val="bottom"/>
            <w:vMerge w:val="restart"/>
          </w:tcPr>
          <w:p>
            <w:pPr>
              <w:spacing w:after="0" w:line="135" w:lineRule="exact"/>
              <w:rPr>
                <w:sz w:val="20"/>
                <w:szCs w:val="20"/>
                <w:color w:val="auto"/>
              </w:rPr>
            </w:pPr>
            <w:r>
              <w:rPr>
                <w:rFonts w:ascii="Arial" w:cs="Arial" w:eastAsia="Arial" w:hAnsi="Arial"/>
                <w:sz w:val="13"/>
                <w:szCs w:val="13"/>
                <w:color w:val="auto"/>
              </w:rPr>
              <w:t>1. Audit</w:t>
            </w:r>
          </w:p>
        </w:tc>
        <w:tc>
          <w:tcPr>
            <w:tcW w:w="3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220" w:type="dxa"/>
            <w:vAlign w:val="bottom"/>
            <w:vMerge w:val="continue"/>
          </w:tcPr>
          <w:p>
            <w:pPr>
              <w:spacing w:after="0"/>
              <w:rPr>
                <w:sz w:val="8"/>
                <w:szCs w:val="8"/>
                <w:color w:val="auto"/>
              </w:rPr>
            </w:pPr>
          </w:p>
        </w:tc>
        <w:tc>
          <w:tcPr>
            <w:tcW w:w="3980" w:type="dxa"/>
            <w:vAlign w:val="bottom"/>
            <w:gridSpan w:val="5"/>
            <w:vMerge w:val="restart"/>
          </w:tcPr>
          <w:p>
            <w:pPr>
              <w:ind w:left="560"/>
              <w:spacing w:after="0" w:line="135" w:lineRule="exact"/>
              <w:rPr>
                <w:sz w:val="20"/>
                <w:szCs w:val="20"/>
                <w:color w:val="auto"/>
              </w:rPr>
            </w:pPr>
            <w:r>
              <w:rPr>
                <w:rFonts w:ascii="Arial" w:cs="Arial" w:eastAsia="Arial" w:hAnsi="Arial"/>
                <w:sz w:val="13"/>
                <w:szCs w:val="13"/>
                <w:color w:val="auto"/>
              </w:rPr>
              <w:t>Securities and Exchange Commission (including exhibits)</w:t>
            </w:r>
          </w:p>
        </w:tc>
        <w:tc>
          <w:tcPr>
            <w:tcW w:w="0" w:type="dxa"/>
            <w:vAlign w:val="bottom"/>
          </w:tcPr>
          <w:p>
            <w:pPr>
              <w:spacing w:after="0"/>
              <w:rPr>
                <w:sz w:val="1"/>
                <w:szCs w:val="1"/>
                <w:color w:val="auto"/>
              </w:rPr>
            </w:pPr>
          </w:p>
        </w:tc>
      </w:tr>
      <w:tr>
        <w:trPr>
          <w:trHeight w:val="41"/>
        </w:trPr>
        <w:tc>
          <w:tcPr>
            <w:tcW w:w="3220" w:type="dxa"/>
            <w:vAlign w:val="bottom"/>
            <w:vMerge w:val="restart"/>
          </w:tcPr>
          <w:p>
            <w:pPr>
              <w:spacing w:after="0" w:line="135" w:lineRule="exact"/>
              <w:rPr>
                <w:sz w:val="20"/>
                <w:szCs w:val="20"/>
                <w:color w:val="auto"/>
              </w:rPr>
            </w:pPr>
            <w:r>
              <w:rPr>
                <w:rFonts w:ascii="Arial" w:cs="Arial" w:eastAsia="Arial" w:hAnsi="Arial"/>
                <w:sz w:val="13"/>
                <w:szCs w:val="13"/>
                <w:color w:val="auto"/>
              </w:rPr>
              <w:t>2. Human Resources</w:t>
            </w:r>
          </w:p>
        </w:tc>
        <w:tc>
          <w:tcPr>
            <w:tcW w:w="3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220" w:type="dxa"/>
            <w:vAlign w:val="bottom"/>
            <w:vMerge w:val="continue"/>
          </w:tcPr>
          <w:p>
            <w:pPr>
              <w:spacing w:after="0"/>
              <w:rPr>
                <w:sz w:val="8"/>
                <w:szCs w:val="8"/>
                <w:color w:val="auto"/>
              </w:rPr>
            </w:pPr>
          </w:p>
        </w:tc>
        <w:tc>
          <w:tcPr>
            <w:tcW w:w="3980" w:type="dxa"/>
            <w:vAlign w:val="bottom"/>
            <w:gridSpan w:val="5"/>
            <w:vMerge w:val="restart"/>
          </w:tcPr>
          <w:p>
            <w:pPr>
              <w:ind w:left="560"/>
              <w:spacing w:after="0" w:line="135" w:lineRule="exact"/>
              <w:rPr>
                <w:sz w:val="20"/>
                <w:szCs w:val="20"/>
                <w:color w:val="auto"/>
              </w:rPr>
            </w:pPr>
            <w:r>
              <w:rPr>
                <w:rFonts w:ascii="Arial" w:cs="Arial" w:eastAsia="Arial" w:hAnsi="Arial"/>
                <w:sz w:val="13"/>
                <w:szCs w:val="13"/>
                <w:color w:val="auto"/>
              </w:rPr>
              <w:t>and information on our Corporate Governance Policies and</w:t>
            </w:r>
          </w:p>
        </w:tc>
        <w:tc>
          <w:tcPr>
            <w:tcW w:w="0" w:type="dxa"/>
            <w:vAlign w:val="bottom"/>
          </w:tcPr>
          <w:p>
            <w:pPr>
              <w:spacing w:after="0"/>
              <w:rPr>
                <w:sz w:val="1"/>
                <w:szCs w:val="1"/>
                <w:color w:val="auto"/>
              </w:rPr>
            </w:pPr>
          </w:p>
        </w:tc>
      </w:tr>
      <w:tr>
        <w:trPr>
          <w:trHeight w:val="41"/>
        </w:trPr>
        <w:tc>
          <w:tcPr>
            <w:tcW w:w="3220" w:type="dxa"/>
            <w:vAlign w:val="bottom"/>
            <w:vMerge w:val="restart"/>
          </w:tcPr>
          <w:p>
            <w:pPr>
              <w:spacing w:after="0" w:line="135" w:lineRule="exact"/>
              <w:rPr>
                <w:sz w:val="20"/>
                <w:szCs w:val="20"/>
                <w:color w:val="auto"/>
              </w:rPr>
            </w:pPr>
            <w:r>
              <w:rPr>
                <w:rFonts w:ascii="Arial" w:cs="Arial" w:eastAsia="Arial" w:hAnsi="Arial"/>
                <w:sz w:val="13"/>
                <w:szCs w:val="13"/>
                <w:color w:val="auto"/>
              </w:rPr>
              <w:t>3. Nominating and Governance</w:t>
            </w:r>
          </w:p>
        </w:tc>
        <w:tc>
          <w:tcPr>
            <w:tcW w:w="3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220" w:type="dxa"/>
            <w:vAlign w:val="bottom"/>
            <w:vMerge w:val="continue"/>
          </w:tcPr>
          <w:p>
            <w:pPr>
              <w:spacing w:after="0"/>
              <w:rPr>
                <w:sz w:val="8"/>
                <w:szCs w:val="8"/>
                <w:color w:val="auto"/>
              </w:rPr>
            </w:pPr>
          </w:p>
        </w:tc>
        <w:tc>
          <w:tcPr>
            <w:tcW w:w="3980" w:type="dxa"/>
            <w:vAlign w:val="bottom"/>
            <w:gridSpan w:val="5"/>
            <w:vMerge w:val="restart"/>
          </w:tcPr>
          <w:p>
            <w:pPr>
              <w:ind w:left="560"/>
              <w:spacing w:after="0" w:line="135" w:lineRule="exact"/>
              <w:rPr>
                <w:sz w:val="20"/>
                <w:szCs w:val="20"/>
                <w:color w:val="auto"/>
              </w:rPr>
            </w:pPr>
            <w:r>
              <w:rPr>
                <w:rFonts w:ascii="Arial" w:cs="Arial" w:eastAsia="Arial" w:hAnsi="Arial"/>
                <w:sz w:val="13"/>
                <w:szCs w:val="13"/>
                <w:color w:val="auto"/>
                <w:w w:val="96"/>
              </w:rPr>
              <w:t>Procedures may also be viewed at the Winnebago Industries'</w:t>
            </w:r>
          </w:p>
        </w:tc>
        <w:tc>
          <w:tcPr>
            <w:tcW w:w="0" w:type="dxa"/>
            <w:vAlign w:val="bottom"/>
          </w:tcPr>
          <w:p>
            <w:pPr>
              <w:spacing w:after="0"/>
              <w:rPr>
                <w:sz w:val="1"/>
                <w:szCs w:val="1"/>
                <w:color w:val="auto"/>
              </w:rPr>
            </w:pPr>
          </w:p>
        </w:tc>
      </w:tr>
      <w:tr>
        <w:trPr>
          <w:trHeight w:val="41"/>
        </w:trPr>
        <w:tc>
          <w:tcPr>
            <w:tcW w:w="3220" w:type="dxa"/>
            <w:vAlign w:val="bottom"/>
            <w:vMerge w:val="restart"/>
          </w:tcPr>
          <w:p>
            <w:pPr>
              <w:spacing w:after="0" w:line="135" w:lineRule="exact"/>
              <w:rPr>
                <w:sz w:val="20"/>
                <w:szCs w:val="20"/>
                <w:color w:val="auto"/>
              </w:rPr>
            </w:pPr>
            <w:r>
              <w:rPr>
                <w:rFonts w:ascii="Arial" w:cs="Arial" w:eastAsia="Arial" w:hAnsi="Arial"/>
                <w:sz w:val="13"/>
                <w:szCs w:val="13"/>
                <w:color w:val="auto"/>
              </w:rPr>
              <w:t>* Committee Chairman</w:t>
            </w:r>
          </w:p>
        </w:tc>
        <w:tc>
          <w:tcPr>
            <w:tcW w:w="3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3220" w:type="dxa"/>
            <w:vAlign w:val="bottom"/>
            <w:vMerge w:val="continue"/>
          </w:tcPr>
          <w:p>
            <w:pPr>
              <w:spacing w:after="0"/>
              <w:rPr>
                <w:sz w:val="8"/>
                <w:szCs w:val="8"/>
                <w:color w:val="auto"/>
              </w:rPr>
            </w:pPr>
          </w:p>
        </w:tc>
        <w:tc>
          <w:tcPr>
            <w:tcW w:w="3980" w:type="dxa"/>
            <w:vAlign w:val="bottom"/>
            <w:gridSpan w:val="5"/>
            <w:vMerge w:val="restart"/>
          </w:tcPr>
          <w:p>
            <w:pPr>
              <w:ind w:left="560"/>
              <w:spacing w:after="0" w:line="141" w:lineRule="exact"/>
              <w:rPr>
                <w:sz w:val="20"/>
                <w:szCs w:val="20"/>
                <w:color w:val="auto"/>
              </w:rPr>
            </w:pPr>
            <w:r>
              <w:rPr>
                <w:rFonts w:ascii="Arial" w:cs="Arial" w:eastAsia="Arial" w:hAnsi="Arial"/>
                <w:sz w:val="13"/>
                <w:szCs w:val="13"/>
                <w:color w:val="auto"/>
                <w:w w:val="99"/>
              </w:rPr>
              <w:t>website: http://winnebagoind.com/investor.html. Information</w:t>
            </w:r>
          </w:p>
        </w:tc>
        <w:tc>
          <w:tcPr>
            <w:tcW w:w="0" w:type="dxa"/>
            <w:vAlign w:val="bottom"/>
          </w:tcPr>
          <w:p>
            <w:pPr>
              <w:spacing w:after="0"/>
              <w:rPr>
                <w:sz w:val="1"/>
                <w:szCs w:val="1"/>
                <w:color w:val="auto"/>
              </w:rPr>
            </w:pPr>
          </w:p>
        </w:tc>
      </w:tr>
      <w:tr>
        <w:trPr>
          <w:trHeight w:val="47"/>
        </w:trPr>
        <w:tc>
          <w:tcPr>
            <w:tcW w:w="3220" w:type="dxa"/>
            <w:vAlign w:val="bottom"/>
            <w:vMerge w:val="restart"/>
          </w:tcPr>
          <w:p>
            <w:pPr>
              <w:spacing w:after="0"/>
              <w:rPr>
                <w:sz w:val="20"/>
                <w:szCs w:val="20"/>
                <w:color w:val="auto"/>
              </w:rPr>
            </w:pPr>
            <w:r>
              <w:rPr>
                <w:rFonts w:ascii="Arial" w:cs="Arial" w:eastAsia="Arial" w:hAnsi="Arial"/>
                <w:sz w:val="13"/>
                <w:szCs w:val="13"/>
                <w:color w:val="auto"/>
              </w:rPr>
              <w:t>** Lead Independent Director</w:t>
            </w:r>
          </w:p>
        </w:tc>
        <w:tc>
          <w:tcPr>
            <w:tcW w:w="39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2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220" w:type="dxa"/>
            <w:vAlign w:val="bottom"/>
            <w:vMerge w:val="continue"/>
          </w:tcPr>
          <w:p>
            <w:pPr>
              <w:spacing w:after="0"/>
              <w:rPr>
                <w:sz w:val="7"/>
                <w:szCs w:val="7"/>
                <w:color w:val="auto"/>
              </w:rPr>
            </w:pPr>
          </w:p>
        </w:tc>
        <w:tc>
          <w:tcPr>
            <w:tcW w:w="3980" w:type="dxa"/>
            <w:vAlign w:val="bottom"/>
            <w:gridSpan w:val="5"/>
            <w:vMerge w:val="restart"/>
          </w:tcPr>
          <w:p>
            <w:pPr>
              <w:ind w:left="560"/>
              <w:spacing w:after="0" w:line="123" w:lineRule="exact"/>
              <w:rPr>
                <w:sz w:val="20"/>
                <w:szCs w:val="20"/>
                <w:color w:val="auto"/>
              </w:rPr>
            </w:pPr>
            <w:r>
              <w:rPr>
                <w:rFonts w:ascii="Arial" w:cs="Arial" w:eastAsia="Arial" w:hAnsi="Arial"/>
                <w:sz w:val="13"/>
                <w:szCs w:val="13"/>
                <w:color w:val="auto"/>
              </w:rPr>
              <w:t>contained on Winnebago Industries' website is not</w:t>
            </w:r>
          </w:p>
        </w:tc>
        <w:tc>
          <w:tcPr>
            <w:tcW w:w="0" w:type="dxa"/>
            <w:vAlign w:val="bottom"/>
          </w:tcPr>
          <w:p>
            <w:pPr>
              <w:spacing w:after="0"/>
              <w:rPr>
                <w:sz w:val="1"/>
                <w:szCs w:val="1"/>
                <w:color w:val="auto"/>
              </w:rPr>
            </w:pPr>
          </w:p>
        </w:tc>
      </w:tr>
      <w:tr>
        <w:trPr>
          <w:trHeight w:val="37"/>
        </w:trPr>
        <w:tc>
          <w:tcPr>
            <w:tcW w:w="3220" w:type="dxa"/>
            <w:vAlign w:val="bottom"/>
          </w:tcPr>
          <w:p>
            <w:pPr>
              <w:spacing w:after="0"/>
              <w:rPr>
                <w:sz w:val="3"/>
                <w:szCs w:val="3"/>
                <w:color w:val="auto"/>
              </w:rPr>
            </w:pPr>
          </w:p>
        </w:tc>
        <w:tc>
          <w:tcPr>
            <w:tcW w:w="3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incorporated into this Annual Report or other securities</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3980" w:type="dxa"/>
            <w:vAlign w:val="bottom"/>
            <w:gridSpan w:val="5"/>
          </w:tcPr>
          <w:p>
            <w:pPr>
              <w:ind w:left="560"/>
              <w:spacing w:after="0"/>
              <w:rPr>
                <w:sz w:val="20"/>
                <w:szCs w:val="20"/>
                <w:color w:val="auto"/>
              </w:rPr>
            </w:pPr>
            <w:r>
              <w:rPr>
                <w:rFonts w:ascii="Arial" w:cs="Arial" w:eastAsia="Arial" w:hAnsi="Arial"/>
                <w:sz w:val="13"/>
                <w:szCs w:val="13"/>
                <w:color w:val="auto"/>
              </w:rPr>
              <w:t>filings.</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20"/>
                <w:szCs w:val="20"/>
                <w:color w:val="auto"/>
              </w:rPr>
            </w:pPr>
            <w:r>
              <w:rPr>
                <w:rFonts w:ascii="Arial" w:cs="Arial" w:eastAsia="Arial" w:hAnsi="Arial"/>
                <w:sz w:val="13"/>
                <w:szCs w:val="13"/>
                <w:b w:val="1"/>
                <w:bCs w:val="1"/>
                <w:color w:val="auto"/>
              </w:rPr>
              <w:t>OFFICERS</w:t>
            </w:r>
          </w:p>
        </w:tc>
        <w:tc>
          <w:tcPr>
            <w:tcW w:w="3980" w:type="dxa"/>
            <w:vAlign w:val="bottom"/>
            <w:gridSpan w:val="5"/>
          </w:tcPr>
          <w:p>
            <w:pPr>
              <w:ind w:left="560"/>
              <w:spacing w:after="0"/>
              <w:rPr>
                <w:sz w:val="20"/>
                <w:szCs w:val="20"/>
                <w:color w:val="auto"/>
              </w:rPr>
            </w:pPr>
            <w:r>
              <w:rPr>
                <w:rFonts w:ascii="Arial" w:cs="Arial" w:eastAsia="Arial" w:hAnsi="Arial"/>
                <w:sz w:val="13"/>
                <w:szCs w:val="13"/>
                <w:b w:val="1"/>
                <w:bCs w:val="1"/>
                <w:color w:val="auto"/>
              </w:rPr>
              <w:t>Number of Shareholders of Record</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As of October 9, 2012, Winnebago Industries had 3,343</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Randy J. Potts (53)</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shareholders of record.</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Chief Executive Officer and President</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Dividends Paid</w:t>
            </w:r>
          </w:p>
        </w:tc>
        <w:tc>
          <w:tcPr>
            <w:tcW w:w="0" w:type="dxa"/>
            <w:vAlign w:val="bottom"/>
          </w:tcPr>
          <w:p>
            <w:pPr>
              <w:spacing w:after="0"/>
              <w:rPr>
                <w:sz w:val="1"/>
                <w:szCs w:val="1"/>
                <w:color w:val="auto"/>
              </w:rPr>
            </w:pPr>
          </w:p>
        </w:tc>
      </w:tr>
      <w:tr>
        <w:trPr>
          <w:trHeight w:val="118"/>
        </w:trPr>
        <w:tc>
          <w:tcPr>
            <w:tcW w:w="3220" w:type="dxa"/>
            <w:vAlign w:val="bottom"/>
          </w:tcPr>
          <w:p>
            <w:pPr>
              <w:spacing w:after="0"/>
              <w:rPr>
                <w:sz w:val="10"/>
                <w:szCs w:val="10"/>
                <w:color w:val="auto"/>
              </w:rPr>
            </w:pPr>
          </w:p>
        </w:tc>
        <w:tc>
          <w:tcPr>
            <w:tcW w:w="3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Steven S. Degnan (47)</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No dividends were paid in Fiscal 2012. Cash dividend</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Vice President, Sales and Marketing</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w w:val="99"/>
              </w:rPr>
              <w:t>payments were suspended starting with the second quarter</w:t>
            </w:r>
          </w:p>
        </w:tc>
        <w:tc>
          <w:tcPr>
            <w:tcW w:w="0" w:type="dxa"/>
            <w:vAlign w:val="bottom"/>
          </w:tcPr>
          <w:p>
            <w:pPr>
              <w:spacing w:after="0"/>
              <w:rPr>
                <w:sz w:val="1"/>
                <w:szCs w:val="1"/>
                <w:color w:val="auto"/>
              </w:rPr>
            </w:pPr>
          </w:p>
        </w:tc>
      </w:tr>
      <w:tr>
        <w:trPr>
          <w:trHeight w:val="152"/>
        </w:trPr>
        <w:tc>
          <w:tcPr>
            <w:tcW w:w="3220" w:type="dxa"/>
            <w:vAlign w:val="bottom"/>
            <w:vMerge w:val="restart"/>
          </w:tcPr>
          <w:p>
            <w:pPr>
              <w:spacing w:after="0"/>
              <w:rPr>
                <w:sz w:val="20"/>
                <w:szCs w:val="20"/>
                <w:color w:val="auto"/>
              </w:rPr>
            </w:pPr>
            <w:r>
              <w:rPr>
                <w:rFonts w:ascii="Arial" w:cs="Arial" w:eastAsia="Arial" w:hAnsi="Arial"/>
                <w:sz w:val="13"/>
                <w:szCs w:val="13"/>
                <w:color w:val="auto"/>
              </w:rPr>
              <w:t>Scott C. Folkers (50)</w:t>
            </w:r>
          </w:p>
        </w:tc>
        <w:tc>
          <w:tcPr>
            <w:tcW w:w="3980" w:type="dxa"/>
            <w:vAlign w:val="bottom"/>
            <w:gridSpan w:val="5"/>
          </w:tcPr>
          <w:p>
            <w:pPr>
              <w:ind w:left="560"/>
              <w:spacing w:after="0"/>
              <w:rPr>
                <w:sz w:val="20"/>
                <w:szCs w:val="20"/>
                <w:color w:val="auto"/>
              </w:rPr>
            </w:pPr>
            <w:r>
              <w:rPr>
                <w:rFonts w:ascii="Arial" w:cs="Arial" w:eastAsia="Arial" w:hAnsi="Arial"/>
                <w:sz w:val="13"/>
                <w:szCs w:val="13"/>
                <w:color w:val="auto"/>
              </w:rPr>
              <w:t>of Fiscal 2009.</w:t>
            </w:r>
          </w:p>
        </w:tc>
        <w:tc>
          <w:tcPr>
            <w:tcW w:w="0" w:type="dxa"/>
            <w:vAlign w:val="bottom"/>
          </w:tcPr>
          <w:p>
            <w:pPr>
              <w:spacing w:after="0"/>
              <w:rPr>
                <w:sz w:val="1"/>
                <w:szCs w:val="1"/>
                <w:color w:val="auto"/>
              </w:rPr>
            </w:pPr>
          </w:p>
        </w:tc>
      </w:tr>
      <w:tr>
        <w:trPr>
          <w:trHeight w:val="118"/>
        </w:trPr>
        <w:tc>
          <w:tcPr>
            <w:tcW w:w="3220" w:type="dxa"/>
            <w:vAlign w:val="bottom"/>
            <w:vMerge w:val="continue"/>
          </w:tcPr>
          <w:p>
            <w:pPr>
              <w:spacing w:after="0"/>
              <w:rPr>
                <w:sz w:val="10"/>
                <w:szCs w:val="10"/>
                <w:color w:val="auto"/>
              </w:rPr>
            </w:pP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Shareholder Account Assistance</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Vice President, General Counsel and Secretary</w:t>
            </w:r>
          </w:p>
        </w:tc>
        <w:tc>
          <w:tcPr>
            <w:tcW w:w="3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Transfer Agent to contact for address changes, account</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Robert J. Gossett (61)</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certificates and stock holdings:</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Vice President, Administration</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color w:val="auto"/>
              </w:rPr>
              <w:t>Wells Fargo Shareowner Services</w:t>
            </w:r>
          </w:p>
        </w:tc>
        <w:tc>
          <w:tcPr>
            <w:tcW w:w="0" w:type="dxa"/>
            <w:vAlign w:val="bottom"/>
          </w:tcPr>
          <w:p>
            <w:pPr>
              <w:spacing w:after="0"/>
              <w:rPr>
                <w:sz w:val="1"/>
                <w:szCs w:val="1"/>
                <w:color w:val="auto"/>
              </w:rPr>
            </w:pPr>
          </w:p>
        </w:tc>
      </w:tr>
      <w:tr>
        <w:trPr>
          <w:trHeight w:val="118"/>
        </w:trPr>
        <w:tc>
          <w:tcPr>
            <w:tcW w:w="3220" w:type="dxa"/>
            <w:vAlign w:val="bottom"/>
          </w:tcPr>
          <w:p>
            <w:pPr>
              <w:spacing w:after="0"/>
              <w:rPr>
                <w:sz w:val="10"/>
                <w:szCs w:val="10"/>
                <w:color w:val="auto"/>
              </w:rPr>
            </w:pPr>
          </w:p>
        </w:tc>
        <w:tc>
          <w:tcPr>
            <w:tcW w:w="3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Daryl W. Krieger (49)</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P.O. Box 64854</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Vice President, Manufacturing</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St. Paul, Minnesota 55164-0854 or</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1110 Centre Pointe Curve, Suite 101</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Sarah N. Nielsen (39)</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Mendota Heights, MN 55120</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Vice President, Chief Financial Officer</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Telephone: (800) 468-9716 or (651) 450-4064</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Inquiries:</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William J. O'Leary (63)</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www.wellsfargo.com/shareownerservices</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20"/>
                <w:szCs w:val="20"/>
                <w:color w:val="auto"/>
              </w:rPr>
            </w:pPr>
            <w:r>
              <w:rPr>
                <w:rFonts w:ascii="Arial" w:cs="Arial" w:eastAsia="Arial" w:hAnsi="Arial"/>
                <w:sz w:val="13"/>
                <w:szCs w:val="13"/>
                <w:color w:val="auto"/>
              </w:rPr>
              <w:t>Vice President, Product Development</w:t>
            </w:r>
          </w:p>
        </w:tc>
        <w:tc>
          <w:tcPr>
            <w:tcW w:w="3980" w:type="dxa"/>
            <w:vAlign w:val="bottom"/>
            <w:gridSpan w:val="5"/>
            <w:vMerge w:val="restart"/>
          </w:tcPr>
          <w:p>
            <w:pPr>
              <w:ind w:left="560"/>
              <w:spacing w:after="0"/>
              <w:rPr>
                <w:sz w:val="20"/>
                <w:szCs w:val="20"/>
                <w:color w:val="auto"/>
              </w:rPr>
            </w:pPr>
            <w:r>
              <w:rPr>
                <w:rFonts w:ascii="Arial" w:cs="Arial" w:eastAsia="Arial" w:hAnsi="Arial"/>
                <w:sz w:val="13"/>
                <w:szCs w:val="13"/>
                <w:b w:val="1"/>
                <w:bCs w:val="1"/>
                <w:color w:val="auto"/>
              </w:rPr>
              <w:t>Annual Meeting</w:t>
            </w:r>
          </w:p>
        </w:tc>
        <w:tc>
          <w:tcPr>
            <w:tcW w:w="0" w:type="dxa"/>
            <w:vAlign w:val="bottom"/>
          </w:tcPr>
          <w:p>
            <w:pPr>
              <w:spacing w:after="0"/>
              <w:rPr>
                <w:sz w:val="1"/>
                <w:szCs w:val="1"/>
                <w:color w:val="auto"/>
              </w:rPr>
            </w:pPr>
          </w:p>
        </w:tc>
      </w:tr>
      <w:tr>
        <w:trPr>
          <w:trHeight w:val="118"/>
        </w:trPr>
        <w:tc>
          <w:tcPr>
            <w:tcW w:w="3220" w:type="dxa"/>
            <w:vAlign w:val="bottom"/>
          </w:tcPr>
          <w:p>
            <w:pPr>
              <w:spacing w:after="0"/>
              <w:rPr>
                <w:sz w:val="10"/>
                <w:szCs w:val="10"/>
                <w:color w:val="auto"/>
              </w:rPr>
            </w:pPr>
          </w:p>
        </w:tc>
        <w:tc>
          <w:tcPr>
            <w:tcW w:w="3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Donald L. Heidemann (40)</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w w:val="97"/>
              </w:rPr>
              <w:t>The Annual Meeting of Shareholders is scheduled to be held</w:t>
            </w:r>
          </w:p>
        </w:tc>
        <w:tc>
          <w:tcPr>
            <w:tcW w:w="0" w:type="dxa"/>
            <w:vAlign w:val="bottom"/>
          </w:tcPr>
          <w:p>
            <w:pPr>
              <w:spacing w:after="0"/>
              <w:rPr>
                <w:sz w:val="1"/>
                <w:szCs w:val="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Treasurer/Director of Finance</w:t>
            </w: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on Tuesday, December 18, 2012 at 4:00 p.m. (CST) in</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3980" w:type="dxa"/>
            <w:vAlign w:val="bottom"/>
            <w:gridSpan w:val="5"/>
          </w:tcPr>
          <w:p>
            <w:pPr>
              <w:ind w:left="560"/>
              <w:spacing w:after="0" w:line="135" w:lineRule="exact"/>
              <w:rPr>
                <w:sz w:val="20"/>
                <w:szCs w:val="20"/>
                <w:color w:val="auto"/>
              </w:rPr>
            </w:pPr>
            <w:r>
              <w:rPr>
                <w:rFonts w:ascii="Arial" w:cs="Arial" w:eastAsia="Arial" w:hAnsi="Arial"/>
                <w:sz w:val="13"/>
                <w:szCs w:val="13"/>
                <w:color w:val="auto"/>
              </w:rPr>
              <w:t>Winnebago Industries' South Office Complex Theater, 605</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3980" w:type="dxa"/>
            <w:vAlign w:val="bottom"/>
            <w:gridSpan w:val="5"/>
          </w:tcPr>
          <w:p>
            <w:pPr>
              <w:ind w:left="560"/>
              <w:spacing w:after="0"/>
              <w:rPr>
                <w:sz w:val="20"/>
                <w:szCs w:val="20"/>
                <w:color w:val="auto"/>
              </w:rPr>
            </w:pPr>
            <w:r>
              <w:rPr>
                <w:rFonts w:ascii="Arial" w:cs="Arial" w:eastAsia="Arial" w:hAnsi="Arial"/>
                <w:sz w:val="13"/>
                <w:szCs w:val="13"/>
                <w:color w:val="auto"/>
              </w:rPr>
              <w:t>W. Crystal Lake Road, Forest City, Iowa.</w:t>
            </w:r>
          </w:p>
        </w:tc>
        <w:tc>
          <w:tcPr>
            <w:tcW w:w="0" w:type="dxa"/>
            <w:vAlign w:val="bottom"/>
          </w:tcPr>
          <w:p>
            <w:pPr>
              <w:spacing w:after="0"/>
              <w:rPr>
                <w:sz w:val="1"/>
                <w:szCs w:val="1"/>
                <w:color w:val="auto"/>
              </w:rPr>
            </w:pPr>
          </w:p>
        </w:tc>
      </w:tr>
      <w:tr>
        <w:trPr>
          <w:trHeight w:val="456"/>
        </w:trPr>
        <w:tc>
          <w:tcPr>
            <w:tcW w:w="3220" w:type="dxa"/>
            <w:vAlign w:val="bottom"/>
          </w:tcPr>
          <w:p>
            <w:pPr>
              <w:spacing w:after="0"/>
              <w:rPr>
                <w:sz w:val="24"/>
                <w:szCs w:val="24"/>
                <w:color w:val="auto"/>
              </w:rPr>
            </w:pPr>
          </w:p>
        </w:tc>
        <w:tc>
          <w:tcPr>
            <w:tcW w:w="3200" w:type="dxa"/>
            <w:vAlign w:val="bottom"/>
            <w:gridSpan w:val="4"/>
          </w:tcPr>
          <w:p>
            <w:pPr>
              <w:ind w:left="2120"/>
              <w:spacing w:after="0"/>
              <w:rPr>
                <w:sz w:val="20"/>
                <w:szCs w:val="20"/>
                <w:color w:val="auto"/>
              </w:rPr>
            </w:pPr>
            <w:r>
              <w:rPr>
                <w:rFonts w:ascii="Arial" w:cs="Arial" w:eastAsia="Arial" w:hAnsi="Arial"/>
                <w:sz w:val="16"/>
                <w:szCs w:val="16"/>
                <w:color w:val="auto"/>
              </w:rPr>
              <w:t>65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340"/>
        <w:spacing w:after="0" w:line="230" w:lineRule="auto"/>
        <w:rPr>
          <w:sz w:val="20"/>
          <w:szCs w:val="20"/>
          <w:color w:val="auto"/>
        </w:rPr>
      </w:pPr>
      <w:r>
        <w:rPr>
          <w:rFonts w:ascii="Arial" w:cs="Arial" w:eastAsia="Arial" w:hAnsi="Arial"/>
          <w:sz w:val="13"/>
          <w:szCs w:val="13"/>
          <w:color w:val="auto"/>
        </w:rPr>
        <w:t>Minneapolis, Minnesota 55402-1538 (612) 397-4000</w:t>
      </w:r>
    </w:p>
    <w:p>
      <w:pPr>
        <w:spacing w:after="0" w:line="103" w:lineRule="exact"/>
        <w:rPr>
          <w:sz w:val="20"/>
          <w:szCs w:val="20"/>
          <w:color w:val="auto"/>
        </w:rPr>
      </w:pPr>
    </w:p>
    <w:p>
      <w:pPr>
        <w:ind w:right="58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2012 Annual Report on Form 10-K,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1572260</wp:posOffset>
            </wp:positionV>
            <wp:extent cx="737235"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2">
            <w:col w:w="7480" w:space="400"/>
            <w:col w:w="3360"/>
          </w:cols>
          <w:pgMar w:left="240" w:top="141" w:right="419" w:bottom="1440" w:gutter="0" w:footer="0" w:header="0"/>
        </w:sectPr>
      </w:pPr>
    </w:p>
    <w:bookmarkStart w:id="62" w:name="page63"/>
    <w:bookmarkEnd w:id="62"/>
    <w:p>
      <w:pPr>
        <w:spacing w:after="0" w:line="3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RAYMOND M. BEEBE, Attorney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Attorney Retainer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PERSONAL AND CONFIDENTIAL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PROTECTED UNDER ATTORNEY-CLIENT PRIVILEGE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purpose of this Attorney Retainer Agreement (“Agreement”) is to set forth our understanding and agreement, pursuant to which I, Raymond M. Beebe (“Beebe” or “Attorney”), have agreed to represent Winnebago Industries, Inc., (“Client” or “you”) in the following referenced matter(s): all legal matters as requested by Client's General Counsel or other members of the executive management team (“Matters”).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OF ATTORNEY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Client is in need of legal advice and counsel and hereby employs Beebe under the following conditions:</w:t>
      </w:r>
    </w:p>
    <w:p>
      <w:pPr>
        <w:spacing w:after="0" w:line="220" w:lineRule="exact"/>
        <w:rPr>
          <w:sz w:val="20"/>
          <w:szCs w:val="20"/>
          <w:color w:val="auto"/>
        </w:rPr>
      </w:pPr>
    </w:p>
    <w:p>
      <w:pPr>
        <w:ind w:left="660" w:right="20" w:hanging="652"/>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Beebe will represent the Client in the above-referenced Matters by advising and counseling, by investigating the law and facts, and in any other way that Beebe and the Client agree upon</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Client hereby authorizes Beebe to act as its agent in all matters regarding any work agreed upon by Beebe and the Client.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COMPUTATION OF FEES</w:t>
      </w:r>
    </w:p>
    <w:p>
      <w:pPr>
        <w:spacing w:after="0" w:line="202" w:lineRule="exact"/>
        <w:rPr>
          <w:sz w:val="20"/>
          <w:szCs w:val="20"/>
          <w:color w:val="auto"/>
        </w:rPr>
      </w:pPr>
    </w:p>
    <w:p>
      <w:pPr>
        <w:jc w:val="both"/>
        <w:ind w:left="660" w:hanging="652"/>
        <w:spacing w:after="0" w:line="248" w:lineRule="auto"/>
        <w:tabs>
          <w:tab w:leader="none" w:pos="6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consideration for the services rendered and to be rendered on the Client's behalf by Beebe, the Client hereby agrees to pay Beebe the sum of $100.00 per hour for services rendered. In addition, the Client shall reimburse Beebe for any expenses he incurs in performing any services rendered hereunder. Beebe may submit an invoice for payment of such fees on a monthly basis for any services rendered. Payment shall be made promptly and in no event later than 30 days following submission of the invoice.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WITHDRAWAL FROM EMPLOYMENT</w:t>
      </w:r>
    </w:p>
    <w:p>
      <w:pPr>
        <w:spacing w:after="0" w:line="20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Beebe may withdraw from the representation of the Client in the above referenced Matter at any time if:</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Client renders it unreasonably difficult for Beebe to carry out its employment;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Client insists that Beebe engage in conduct that is contrary to the judgment or advice of Beebe;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63" w:name="page64"/>
    <w:bookmarkEnd w:id="63"/>
    <w:p>
      <w:pPr>
        <w:jc w:val="both"/>
        <w:ind w:left="1300" w:hanging="644"/>
        <w:spacing w:after="0" w:line="253"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Client deliberately disregards an agreement or obligation to Beebe as to expenses or fees, or for services rendered, including not paying bills upon presentation or in advance, such as when a retainer is requested or required by Beebe;</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Beebe determines that a conflict of interest has arisen as a result of the representation of the Client and Beebe and Client agree that the conflict requires new counsel; or</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Client refuses to indemnify Beebe prior to any actions that the Client has requested Beebe to undertake and that Beebe believes and has advised the Client might result in possible sanctions for alleged groundless or bad faith actions or defenses.</w:t>
      </w:r>
    </w:p>
    <w:p>
      <w:pPr>
        <w:spacing w:after="0" w:line="226" w:lineRule="exact"/>
        <w:rPr>
          <w:rFonts w:ascii="Arial" w:cs="Arial" w:eastAsia="Arial" w:hAnsi="Arial"/>
          <w:sz w:val="22"/>
          <w:szCs w:val="22"/>
          <w:color w:val="auto"/>
        </w:rPr>
      </w:pPr>
    </w:p>
    <w:p>
      <w:pPr>
        <w:jc w:val="both"/>
        <w:ind w:left="660" w:hanging="652"/>
        <w:spacing w:after="0" w:line="248"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event that Beebe's financial arrangements are not met by the Client or in the event that any of the above events in subparagraph III.A. occur, or any other matter or issue presents itself during the representation that makes it difficult for Beebe to continue the representation, Beebe may withdraw as counsel. The Client specifically agrees to Beebe's withdrawal if Beebe's fees and expenses are not timely paid by the Client as set forth herein or any of the events in subparagraph III.A. above occur.</w:t>
      </w:r>
    </w:p>
    <w:p>
      <w:pPr>
        <w:spacing w:after="0" w:line="232" w:lineRule="exact"/>
        <w:rPr>
          <w:rFonts w:ascii="Arial" w:cs="Arial" w:eastAsia="Arial" w:hAnsi="Arial"/>
          <w:sz w:val="22"/>
          <w:szCs w:val="22"/>
          <w:color w:val="auto"/>
        </w:rPr>
      </w:pPr>
    </w:p>
    <w:p>
      <w:pPr>
        <w:jc w:val="both"/>
        <w:ind w:left="660" w:hanging="652"/>
        <w:spacing w:after="0" w:line="302" w:lineRule="auto"/>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Client has the right to terminate the relationship with Beebe at any time and upon written notification. The Client's termination of Beebe does relinquish any of the financial obligations or other obligations set forth herein. If the Client terminates Beebe's representation, Beebe will promptly return to the Client any and all papers and property, as well as the balance of the Retainer not previously applied against outstanding invoices or the last month's fees and expenses.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202"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Client will advise Beebe in writing of any change of address within ten (10) days of the making of such change.</w:t>
      </w:r>
    </w:p>
    <w:p>
      <w:pPr>
        <w:spacing w:after="0" w:line="231"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case any one or more of the provisions contained in this Agreement shall be held to be invalid, illegal, or unenforceable in any respect, such invalidity, or unenforceability shall not affect any other provisions, and this Agreement shall be construed as if such invalid, illegal, or unenforceable provision does not exist.</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Client hereby acknowledges that the Client has carefully read this entire Agreement, and the Client fully understands and agrees to abide by all of the terms, conditions and obligations of this Agreement, and that the Client has received a true and correct copy of this Agreement.</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Agreement constitutes the full and complete understanding and agreement of the parties hereto, supersedes all prior understandings and agreements, if any, and cannot be changed or terminated orally. All changes or modifications must be in writing and signed by the parties hereto.</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Agreement shall be construed in accordance with the laws of the State of Iowa. This Agreement shall be binding upon, and inure to the benefit of, the parties and their respective heirs, executors, administrators, legal representatives, successors and assigns.</w:t>
      </w:r>
    </w:p>
    <w:p>
      <w:pPr>
        <w:spacing w:after="0" w:line="185"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Client should become seriously displeased or dissatisfied with any aspect whatsoever of his legal representation or in the event the Client should have any serious question concerning the 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4" w:name="page65"/>
    <w:bookmarkEnd w:id="64"/>
    <w:p>
      <w:pPr>
        <w:ind w:left="660" w:right="20"/>
        <w:spacing w:after="0" w:line="263" w:lineRule="auto"/>
        <w:rPr>
          <w:sz w:val="20"/>
          <w:szCs w:val="20"/>
          <w:color w:val="auto"/>
        </w:rPr>
      </w:pPr>
      <w:r>
        <w:rPr>
          <w:rFonts w:ascii="Arial" w:cs="Arial" w:eastAsia="Arial" w:hAnsi="Arial"/>
          <w:sz w:val="22"/>
          <w:szCs w:val="22"/>
          <w:color w:val="auto"/>
        </w:rPr>
        <w:t>ame, Client should notify the attorney in writing by certified mail, return receipt requested of that dissatisfaction or question.</w:t>
      </w:r>
    </w:p>
    <w:p>
      <w:pPr>
        <w:spacing w:after="0" w:line="175" w:lineRule="exact"/>
        <w:rPr>
          <w:sz w:val="20"/>
          <w:szCs w:val="20"/>
          <w:color w:val="auto"/>
        </w:rPr>
      </w:pPr>
    </w:p>
    <w:p>
      <w:pPr>
        <w:jc w:val="both"/>
        <w:ind w:left="660" w:hanging="652"/>
        <w:spacing w:after="0" w:line="250" w:lineRule="auto"/>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We recognize that technology is ever-evolving and that electronic communications can not be fully protected from unauthorized interception. In addition, human error may at times result in electronic communications being sent in error. Nevertheless, for efficiency purposes we may transmit information, including information of a confidential nature, by email to you unless you request us not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OF INTEREST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the date of this agreement, Attorney has conducted an extensive search of his other client relationships in order to determine whether representation of Client would create a conflict of interest in connection with other attorney-client relationships of the Attorney. The Attorney's search for relationships will be a continuing one. The Attorney has discovered no existing attorney-client relationships that create a present conflict of interest. Notwithstanding that fact, issues involving the legal affairs of other clients of the Attorney, while not present now, may raise an adverse interest of such other Attorney clients and Client may be adversed at a future date. In the event such circumstance occurs, the Attorney would not represent Client in matters adverse to another Attorney's client. Client would be required to retain counsel other than the Attorney to represent its interest in such matter. In addition, if such adverse representation pertains to an Attorney's client, with whom the Attorney has an attorney-client relationship as of the date of this agreement, to the extent the Attorney's representation of such existing Attorney's client is acceptable by that client as being permitted under applicable ethical standards, and to the extent permitted by law, Client consents to the Attorney's continued representation of such existing Attorney's client and Client will not object to any disqualification of Attorney as the legal representation of such other Attorney's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of this page left intentionally blank)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color w:val="auto"/>
        </w:rPr>
        <w:t>UNDERSTOOD and AGREED TO this first day of June,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WINNEBAGO INDUSTRIES,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Scott C. Folkers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Scott C. Folkers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Its Vice President, General Counsel &amp;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Forest City, IA 50436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(641) 585-6809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Mobile: (605) 940-1876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Raymond M. Beebe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Raymond M. Beebe, Esq.</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3315 Sage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Forest City, IA 50436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(641) 581-2117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Mobile: (641) 590-1526</w:t>
      </w:r>
    </w:p>
    <w:p>
      <w:pPr>
        <w:spacing w:after="0" w:line="200" w:lineRule="exact"/>
        <w:rPr>
          <w:sz w:val="20"/>
          <w:szCs w:val="20"/>
          <w:color w:val="auto"/>
        </w:rPr>
      </w:pP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01" w:right="1440"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20"/>
          <w:szCs w:val="20"/>
          <w:b w:val="1"/>
          <w:bCs w:val="1"/>
          <w:color w:val="auto"/>
        </w:rPr>
        <w:t>EXECUTIVE CHANGE OF CONTROL AGREEMENT</w:t>
      </w:r>
    </w:p>
    <w:p>
      <w:pPr>
        <w:spacing w:after="0" w:line="200" w:lineRule="exact"/>
        <w:rPr>
          <w:sz w:val="20"/>
          <w:szCs w:val="20"/>
          <w:color w:val="auto"/>
        </w:rPr>
      </w:pPr>
    </w:p>
    <w:p>
      <w:pPr>
        <w:spacing w:after="0" w:line="259" w:lineRule="exact"/>
        <w:rPr>
          <w:sz w:val="20"/>
          <w:szCs w:val="20"/>
          <w:color w:val="auto"/>
        </w:rPr>
      </w:pPr>
    </w:p>
    <w:p>
      <w:pPr>
        <w:ind w:right="900" w:firstLine="648"/>
        <w:spacing w:after="0" w:line="267" w:lineRule="auto"/>
        <w:rPr>
          <w:sz w:val="20"/>
          <w:szCs w:val="20"/>
          <w:color w:val="auto"/>
        </w:rPr>
      </w:pPr>
      <w:r>
        <w:rPr>
          <w:rFonts w:ascii="Arial" w:cs="Arial" w:eastAsia="Arial" w:hAnsi="Arial"/>
          <w:sz w:val="20"/>
          <w:szCs w:val="20"/>
          <w:color w:val="auto"/>
        </w:rPr>
        <w:t xml:space="preserve">This EXECUTIVE CHANGE OF CONTROL AGREEMENT is made as of June 20, 2012, by and between </w:t>
      </w:r>
      <w:r>
        <w:rPr>
          <w:rFonts w:ascii="Arial" w:cs="Arial" w:eastAsia="Arial" w:hAnsi="Arial"/>
          <w:sz w:val="20"/>
          <w:szCs w:val="20"/>
          <w:b w:val="1"/>
          <w:bCs w:val="1"/>
          <w:color w:val="auto"/>
        </w:rPr>
        <w:t>WINNEBAGO</w:t>
      </w:r>
      <w:r>
        <w:rPr>
          <w:rFonts w:ascii="Arial" w:cs="Arial" w:eastAsia="Arial" w:hAnsi="Arial"/>
          <w:sz w:val="20"/>
          <w:szCs w:val="20"/>
          <w:color w:val="auto"/>
        </w:rPr>
        <w:t xml:space="preserve"> </w:t>
      </w:r>
      <w:r>
        <w:rPr>
          <w:rFonts w:ascii="Arial" w:cs="Arial" w:eastAsia="Arial" w:hAnsi="Arial"/>
          <w:sz w:val="20"/>
          <w:szCs w:val="20"/>
          <w:b w:val="1"/>
          <w:bCs w:val="1"/>
          <w:color w:val="auto"/>
        </w:rPr>
        <w:t>INDUSTRIES, INC.</w:t>
      </w:r>
      <w:r>
        <w:rPr>
          <w:rFonts w:ascii="Arial" w:cs="Arial" w:eastAsia="Arial" w:hAnsi="Arial"/>
          <w:sz w:val="20"/>
          <w:szCs w:val="20"/>
          <w:color w:val="auto"/>
        </w:rPr>
        <w:t>, an Iowa corporation (the "Company"), and S. Scott Degnan (the "Executive").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 E C I T A L S :</w:t>
      </w:r>
    </w:p>
    <w:p>
      <w:pPr>
        <w:spacing w:after="0" w:line="229"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Executive is a senior executive and officer of the Company and has made and is expected to continue to make major</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to the profitability, growth and financial strength of the Company;</w:t>
      </w:r>
    </w:p>
    <w:p>
      <w:pPr>
        <w:spacing w:after="0" w:line="177"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recognizes that, as is the case for most publicly held companies, the possibility of a Change of Control (as</w:t>
      </w:r>
      <w:r>
        <w:rPr>
          <w:rFonts w:ascii="Arial" w:cs="Arial" w:eastAsia="Arial" w:hAnsi="Arial"/>
          <w:sz w:val="20"/>
          <w:szCs w:val="20"/>
          <w:b w:val="1"/>
          <w:bCs w:val="1"/>
          <w:color w:val="auto"/>
        </w:rPr>
        <w:t xml:space="preserve"> </w:t>
      </w:r>
      <w:r>
        <w:rPr>
          <w:rFonts w:ascii="Arial" w:cs="Arial" w:eastAsia="Arial" w:hAnsi="Arial"/>
          <w:sz w:val="20"/>
          <w:szCs w:val="20"/>
          <w:color w:val="auto"/>
        </w:rPr>
        <w:t>hereafter defined) exists;</w:t>
      </w:r>
    </w:p>
    <w:p>
      <w:pPr>
        <w:spacing w:after="0" w:line="177" w:lineRule="exact"/>
        <w:rPr>
          <w:sz w:val="20"/>
          <w:szCs w:val="20"/>
          <w:color w:val="auto"/>
        </w:rPr>
      </w:pPr>
    </w:p>
    <w:p>
      <w:pPr>
        <w:ind w:right="640"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interests of the Company, considering the past and future services of the Executive, to improve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and climate for objective decision making by providing for the personal security of the Executive upon a Change of Control.</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past and future services rendered and to be rendered by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Executive to the Company and of the mutual covenants and agreements hereinafter set forth, the parties agree as follows: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 G R E E M E N T :</w:t>
      </w:r>
    </w:p>
    <w:p>
      <w:pPr>
        <w:spacing w:after="0" w:line="229" w:lineRule="exact"/>
        <w:rPr>
          <w:sz w:val="20"/>
          <w:szCs w:val="20"/>
          <w:color w:val="auto"/>
        </w:rPr>
      </w:pPr>
    </w:p>
    <w:p>
      <w:pPr>
        <w:jc w:val="both"/>
        <w:ind w:right="340" w:firstLine="656"/>
        <w:spacing w:after="0" w:line="285" w:lineRule="auto"/>
        <w:tabs>
          <w:tab w:leader="none" w:pos="84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64" w:lineRule="exact"/>
        <w:rPr>
          <w:rFonts w:ascii="Arial" w:cs="Arial" w:eastAsia="Arial" w:hAnsi="Arial"/>
          <w:sz w:val="18"/>
          <w:szCs w:val="18"/>
          <w:b w:val="1"/>
          <w:bCs w:val="1"/>
          <w:color w:val="auto"/>
        </w:rPr>
      </w:pPr>
    </w:p>
    <w:p>
      <w:pPr>
        <w:ind w:firstLine="656"/>
        <w:spacing w:after="0" w:line="257" w:lineRule="auto"/>
        <w:tabs>
          <w:tab w:leader="none" w:pos="84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the term Change of Control means the time when (i) any Person becomes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Acquiring Person, or (ii) individuals who shall qualify as Continuing Directors of the Company shall have ceased for any reason to constitute at least a majority of the Board of Directors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 of the foregoing definition of Change of Control, the capitalized terms shall have the following meanings:</w:t>
      </w:r>
    </w:p>
    <w:p>
      <w:pPr>
        <w:spacing w:after="0" w:line="229" w:lineRule="exact"/>
        <w:rPr>
          <w:sz w:val="20"/>
          <w:szCs w:val="20"/>
          <w:color w:val="auto"/>
        </w:rPr>
      </w:pPr>
    </w:p>
    <w:p>
      <w:pPr>
        <w:ind w:left="1300" w:right="60" w:hanging="644"/>
        <w:spacing w:after="0" w:line="282"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08" w:right="259" w:bottom="1440" w:gutter="0" w:footer="0" w:header="0"/>
        </w:sectPr>
      </w:pPr>
    </w:p>
    <w:bookmarkStart w:id="67" w:name="page68"/>
    <w:bookmarkEnd w:id="67"/>
    <w:p>
      <w:pPr>
        <w:ind w:left="1280" w:right="20"/>
        <w:spacing w:after="0" w:line="278" w:lineRule="auto"/>
        <w:rPr>
          <w:sz w:val="20"/>
          <w:szCs w:val="20"/>
          <w:color w:val="auto"/>
        </w:rPr>
      </w:pPr>
      <w:r>
        <w:rPr>
          <w:rFonts w:ascii="Arial" w:cs="Arial" w:eastAsia="Arial" w:hAnsi="Arial"/>
          <w:sz w:val="20"/>
          <w:szCs w:val="20"/>
          <w:color w:val="auto"/>
        </w:rPr>
        <w:t>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7" w:lineRule="exact"/>
        <w:rPr>
          <w:sz w:val="20"/>
          <w:szCs w:val="20"/>
          <w:color w:val="auto"/>
        </w:rPr>
      </w:pPr>
    </w:p>
    <w:p>
      <w:pPr>
        <w:ind w:left="1280" w:right="60" w:hanging="644"/>
        <w:spacing w:after="0" w:line="250" w:lineRule="auto"/>
        <w:tabs>
          <w:tab w:leader="none" w:pos="1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99" w:lineRule="exact"/>
        <w:rPr>
          <w:rFonts w:ascii="Arial" w:cs="Arial" w:eastAsia="Arial" w:hAnsi="Arial"/>
          <w:sz w:val="20"/>
          <w:szCs w:val="20"/>
          <w:color w:val="auto"/>
        </w:rPr>
      </w:pPr>
    </w:p>
    <w:p>
      <w:pPr>
        <w:ind w:left="1280" w:right="80" w:hanging="644"/>
        <w:spacing w:after="0" w:line="260" w:lineRule="auto"/>
        <w:tabs>
          <w:tab w:leader="none" w:pos="1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Affiliate means a Person that directly or indirectly through one or more intermediaries, controls, or is controlled by, or is under common control with, the person specified.</w:t>
      </w:r>
    </w:p>
    <w:p>
      <w:pPr>
        <w:spacing w:after="0" w:line="190" w:lineRule="exact"/>
        <w:rPr>
          <w:rFonts w:ascii="Arial" w:cs="Arial" w:eastAsia="Arial" w:hAnsi="Arial"/>
          <w:sz w:val="20"/>
          <w:szCs w:val="20"/>
          <w:color w:val="auto"/>
        </w:rPr>
      </w:pPr>
    </w:p>
    <w:p>
      <w:pPr>
        <w:ind w:left="1280" w:hanging="644"/>
        <w:spacing w:after="0" w:line="259" w:lineRule="auto"/>
        <w:tabs>
          <w:tab w:leader="none" w:pos="12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192" w:lineRule="exact"/>
        <w:rPr>
          <w:rFonts w:ascii="Arial" w:cs="Arial" w:eastAsia="Arial" w:hAnsi="Arial"/>
          <w:sz w:val="19"/>
          <w:szCs w:val="19"/>
          <w:color w:val="auto"/>
        </w:rPr>
      </w:pPr>
    </w:p>
    <w:p>
      <w:pPr>
        <w:ind w:left="1280" w:right="680" w:hanging="644"/>
        <w:spacing w:after="0" w:line="260" w:lineRule="auto"/>
        <w:tabs>
          <w:tab w:leader="none" w:pos="1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Person means an individual, corporation, limited liability company, partnership, association, joint stock company, trust, unincorporated organization or government or political subdivision thereof.</w:t>
      </w:r>
    </w:p>
    <w:p>
      <w:pPr>
        <w:spacing w:after="0" w:line="184" w:lineRule="exact"/>
        <w:rPr>
          <w:sz w:val="20"/>
          <w:szCs w:val="20"/>
          <w:color w:val="auto"/>
        </w:rPr>
      </w:pPr>
    </w:p>
    <w:p>
      <w:pPr>
        <w:ind w:left="-20" w:right="20" w:firstLine="656"/>
        <w:spacing w:after="0" w:line="260" w:lineRule="auto"/>
        <w:tabs>
          <w:tab w:leader="none" w:pos="826" w:val="left"/>
        </w:tabs>
        <w:numPr>
          <w:ilvl w:val="1"/>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Following a 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If a change of Control shall have occurred while the Executive is still an employee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92" w:lineRule="exact"/>
        <w:rPr>
          <w:rFonts w:ascii="Arial" w:cs="Arial" w:eastAsia="Arial" w:hAnsi="Arial"/>
          <w:sz w:val="19"/>
          <w:szCs w:val="19"/>
          <w:b w:val="1"/>
          <w:bCs w:val="1"/>
          <w:color w:val="auto"/>
        </w:rPr>
      </w:pPr>
    </w:p>
    <w:p>
      <w:pPr>
        <w:ind w:left="-20" w:right="80" w:firstLine="575"/>
        <w:spacing w:after="0" w:line="246" w:lineRule="auto"/>
        <w:tabs>
          <w:tab w:leader="none" w:pos="816"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If, as a result of the Executives incapacity due to physical or mental illness, the Executive shall have been absent from his</w:t>
      </w:r>
      <w:r>
        <w:rPr>
          <w:rFonts w:ascii="Arial" w:cs="Arial" w:eastAsia="Arial" w:hAnsi="Arial"/>
          <w:sz w:val="20"/>
          <w:szCs w:val="20"/>
          <w:i w:val="1"/>
          <w:iCs w:val="1"/>
          <w:color w:val="auto"/>
        </w:rPr>
        <w:t xml:space="preserve"> </w:t>
      </w:r>
      <w:r>
        <w:rPr>
          <w:rFonts w:ascii="Arial" w:cs="Arial" w:eastAsia="Arial" w:hAnsi="Arial"/>
          <w:sz w:val="20"/>
          <w:szCs w:val="20"/>
          <w:color w:val="auto"/>
        </w:rPr>
        <w:t>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200" w:lineRule="exact"/>
        <w:rPr>
          <w:sz w:val="20"/>
          <w:szCs w:val="20"/>
          <w:color w:val="auto"/>
        </w:rPr>
      </w:pPr>
    </w:p>
    <w:p>
      <w:pPr>
        <w:spacing w:after="0" w:line="235" w:lineRule="exact"/>
        <w:rPr>
          <w:sz w:val="20"/>
          <w:szCs w:val="20"/>
          <w:color w:val="auto"/>
        </w:rPr>
      </w:pPr>
    </w:p>
    <w:p>
      <w:pPr>
        <w:ind w:left="-20" w:right="360" w:firstLine="656"/>
        <w:spacing w:after="0" w:line="250" w:lineRule="auto"/>
        <w:tabs>
          <w:tab w:leader="none" w:pos="909"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The term Retirement as used in this Agreement shall mean termination by the Company or the Executive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Executives employment based on the Executive having attained the age of 65 or such other age as shall have been fixed in any arrangement established with the Executives consent with respect to the Executive.</w:t>
      </w:r>
    </w:p>
    <w:p>
      <w:pPr>
        <w:spacing w:after="0" w:line="199" w:lineRule="exact"/>
        <w:rPr>
          <w:rFonts w:ascii="Arial" w:cs="Arial" w:eastAsia="Arial" w:hAnsi="Arial"/>
          <w:sz w:val="20"/>
          <w:szCs w:val="20"/>
          <w:color w:val="auto"/>
        </w:rPr>
      </w:pPr>
    </w:p>
    <w:p>
      <w:pPr>
        <w:ind w:left="-20" w:right="140" w:firstLine="656"/>
        <w:spacing w:after="0" w:line="256" w:lineRule="auto"/>
        <w:tabs>
          <w:tab w:leader="none" w:pos="897"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The Company may terminate the Executives employment for Cause. For purposes of this Agreement only,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59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detail. Nothing herein shall limit the right of the Executive or his beneficiaries to contest the validity or propriety of any such determination.</w:t>
      </w:r>
    </w:p>
    <w:p>
      <w:pPr>
        <w:spacing w:after="0" w:line="252" w:lineRule="exact"/>
        <w:rPr>
          <w:sz w:val="20"/>
          <w:szCs w:val="20"/>
          <w:color w:val="auto"/>
        </w:rPr>
      </w:pPr>
    </w:p>
    <w:p>
      <w:pPr>
        <w:ind w:right="260" w:firstLine="656"/>
        <w:spacing w:after="0" w:line="316" w:lineRule="auto"/>
        <w:tabs>
          <w:tab w:leader="none" w:pos="92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The Executive may terminate the Executives employment for Good Reason at any time during the term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purposes of this Agreement Good Reason shall mean any of the following (without the Executives express written consent):</w:t>
      </w:r>
    </w:p>
    <w:p>
      <w:pPr>
        <w:spacing w:after="0" w:line="144" w:lineRule="exact"/>
        <w:rPr>
          <w:sz w:val="20"/>
          <w:szCs w:val="20"/>
          <w:color w:val="auto"/>
        </w:rPr>
      </w:pPr>
    </w:p>
    <w:p>
      <w:pPr>
        <w:ind w:left="660" w:right="60" w:hanging="4"/>
        <w:spacing w:after="0" w:line="260" w:lineRule="auto"/>
        <w:tabs>
          <w:tab w:leader="none" w:pos="89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94" w:lineRule="exact"/>
        <w:rPr>
          <w:rFonts w:ascii="Arial" w:cs="Arial" w:eastAsia="Arial" w:hAnsi="Arial"/>
          <w:sz w:val="19"/>
          <w:szCs w:val="19"/>
          <w:color w:val="auto"/>
        </w:rPr>
      </w:pPr>
    </w:p>
    <w:p>
      <w:pPr>
        <w:jc w:val="both"/>
        <w:ind w:left="660" w:right="20" w:hanging="4"/>
        <w:spacing w:after="0" w:line="282" w:lineRule="auto"/>
        <w:tabs>
          <w:tab w:leader="none" w:pos="9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75" w:lineRule="exact"/>
        <w:rPr>
          <w:rFonts w:ascii="Arial" w:cs="Arial" w:eastAsia="Arial" w:hAnsi="Arial"/>
          <w:sz w:val="18"/>
          <w:szCs w:val="18"/>
          <w:color w:val="auto"/>
        </w:rPr>
      </w:pPr>
    </w:p>
    <w:p>
      <w:pPr>
        <w:ind w:left="660" w:right="60" w:hanging="4"/>
        <w:spacing w:after="0" w:line="276" w:lineRule="auto"/>
        <w:tabs>
          <w:tab w:leader="none" w:pos="10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78" w:lineRule="exact"/>
        <w:rPr>
          <w:rFonts w:ascii="Arial" w:cs="Arial" w:eastAsia="Arial" w:hAnsi="Arial"/>
          <w:sz w:val="18"/>
          <w:szCs w:val="18"/>
          <w:color w:val="auto"/>
        </w:rPr>
      </w:pPr>
    </w:p>
    <w:p>
      <w:pPr>
        <w:ind w:left="660" w:hanging="4"/>
        <w:spacing w:after="0" w:line="242" w:lineRule="auto"/>
        <w:tabs>
          <w:tab w:leader="none" w:pos="995"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211" w:lineRule="exact"/>
        <w:rPr>
          <w:rFonts w:ascii="Arial" w:cs="Arial" w:eastAsia="Arial" w:hAnsi="Arial"/>
          <w:sz w:val="20"/>
          <w:szCs w:val="20"/>
          <w:color w:val="auto"/>
        </w:rPr>
      </w:pPr>
    </w:p>
    <w:p>
      <w:pPr>
        <w:jc w:val="both"/>
        <w:ind w:left="660" w:right="440" w:hanging="4"/>
        <w:spacing w:after="0" w:line="282"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75" w:lineRule="exact"/>
        <w:rPr>
          <w:rFonts w:ascii="Arial" w:cs="Arial" w:eastAsia="Arial" w:hAnsi="Arial"/>
          <w:sz w:val="18"/>
          <w:szCs w:val="18"/>
          <w:color w:val="auto"/>
        </w:rPr>
      </w:pPr>
    </w:p>
    <w:p>
      <w:pPr>
        <w:ind w:left="660" w:right="60" w:hanging="4"/>
        <w:spacing w:after="0" w:line="250" w:lineRule="auto"/>
        <w:tabs>
          <w:tab w:leader="none" w:pos="995"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2" w:right="259" w:bottom="1440" w:gutter="0" w:footer="0" w:header="0"/>
        </w:sectPr>
      </w:pPr>
    </w:p>
    <w:bookmarkStart w:id="69" w:name="page70"/>
    <w:bookmarkEnd w:id="69"/>
    <w:p>
      <w:pPr>
        <w:ind w:left="640" w:right="160"/>
        <w:spacing w:after="0" w:line="260" w:lineRule="auto"/>
        <w:rPr>
          <w:sz w:val="20"/>
          <w:szCs w:val="20"/>
          <w:color w:val="auto"/>
        </w:rPr>
      </w:pPr>
      <w:r>
        <w:rPr>
          <w:rFonts w:ascii="Arial" w:cs="Arial" w:eastAsia="Arial" w:hAnsi="Arial"/>
          <w:sz w:val="20"/>
          <w:szCs w:val="20"/>
          <w:color w:val="auto"/>
        </w:rPr>
        <w:t>travel by the Executive on the Companys business to an extent substantially consistent with the Executives business travel obligations at the time of a Change in Control of the Company;</w:t>
      </w:r>
    </w:p>
    <w:p>
      <w:pPr>
        <w:spacing w:after="0" w:line="190" w:lineRule="exact"/>
        <w:rPr>
          <w:sz w:val="20"/>
          <w:szCs w:val="20"/>
          <w:color w:val="auto"/>
        </w:rPr>
      </w:pPr>
    </w:p>
    <w:p>
      <w:pPr>
        <w:ind w:left="640" w:right="200" w:hanging="4"/>
        <w:spacing w:after="0" w:line="260" w:lineRule="auto"/>
        <w:tabs>
          <w:tab w:leader="none" w:pos="103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failure by the Company to provide the Executive with the number of paid vacation days to which the Executive is entitled at the time of a Change in Control of the Company;</w:t>
      </w:r>
    </w:p>
    <w:p>
      <w:pPr>
        <w:spacing w:after="0" w:line="190" w:lineRule="exact"/>
        <w:rPr>
          <w:rFonts w:ascii="Arial" w:cs="Arial" w:eastAsia="Arial" w:hAnsi="Arial"/>
          <w:sz w:val="20"/>
          <w:szCs w:val="20"/>
          <w:color w:val="auto"/>
        </w:rPr>
      </w:pPr>
    </w:p>
    <w:p>
      <w:pPr>
        <w:ind w:left="1080" w:hanging="444"/>
        <w:spacing w:after="0"/>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material breach by the Company of any provision of this Agreement;</w:t>
      </w:r>
    </w:p>
    <w:p>
      <w:pPr>
        <w:spacing w:after="0" w:line="229" w:lineRule="exact"/>
        <w:rPr>
          <w:rFonts w:ascii="Arial" w:cs="Arial" w:eastAsia="Arial" w:hAnsi="Arial"/>
          <w:sz w:val="20"/>
          <w:szCs w:val="20"/>
          <w:color w:val="auto"/>
        </w:rPr>
      </w:pPr>
    </w:p>
    <w:p>
      <w:pPr>
        <w:ind w:left="980" w:hanging="344"/>
        <w:spacing w:after="0"/>
        <w:tabs>
          <w:tab w:leader="none" w:pos="9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failure by the Company to obtain the assumption of this Agreement by any successor or assign of the Company; or</w:t>
      </w:r>
    </w:p>
    <w:p>
      <w:pPr>
        <w:spacing w:after="0" w:line="240" w:lineRule="exact"/>
        <w:rPr>
          <w:rFonts w:ascii="Arial" w:cs="Arial" w:eastAsia="Arial" w:hAnsi="Arial"/>
          <w:sz w:val="19"/>
          <w:szCs w:val="19"/>
          <w:color w:val="auto"/>
        </w:rPr>
      </w:pPr>
    </w:p>
    <w:p>
      <w:pPr>
        <w:ind w:left="640" w:right="260" w:hanging="4"/>
        <w:spacing w:after="0" w:line="260" w:lineRule="auto"/>
        <w:tabs>
          <w:tab w:leader="none" w:pos="9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purported termination of the Executives employment which is not effected pursuant to a Notice of Termination satisfying the requirements of Section 3(e) below.</w:t>
      </w:r>
    </w:p>
    <w:p>
      <w:pPr>
        <w:spacing w:after="0" w:line="190" w:lineRule="exact"/>
        <w:rPr>
          <w:sz w:val="20"/>
          <w:szCs w:val="20"/>
          <w:color w:val="auto"/>
        </w:rPr>
      </w:pPr>
    </w:p>
    <w:p>
      <w:pPr>
        <w:ind w:left="-20" w:right="80" w:firstLine="656"/>
        <w:spacing w:after="0" w:line="260" w:lineRule="auto"/>
        <w:tabs>
          <w:tab w:leader="none" w:pos="897"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 xml:space="preserve">Notice of Termination. </w:t>
      </w:r>
      <w:r>
        <w:rPr>
          <w:rFonts w:ascii="Arial" w:cs="Arial" w:eastAsia="Arial" w:hAnsi="Arial"/>
          <w:sz w:val="19"/>
          <w:szCs w:val="19"/>
          <w:color w:val="auto"/>
        </w:rPr>
        <w:t>Any termination by the Company pursuant to Section 3(a), (b) or (c) shall be communicated by a Notice of</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94" w:lineRule="exact"/>
        <w:rPr>
          <w:rFonts w:ascii="Arial" w:cs="Arial" w:eastAsia="Arial" w:hAnsi="Arial"/>
          <w:sz w:val="19"/>
          <w:szCs w:val="19"/>
          <w:color w:val="auto"/>
        </w:rPr>
      </w:pPr>
    </w:p>
    <w:p>
      <w:pPr>
        <w:ind w:left="-20" w:right="40" w:firstLine="656"/>
        <w:spacing w:after="0" w:line="274" w:lineRule="auto"/>
        <w:tabs>
          <w:tab w:leader="none" w:pos="87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Date of Termination. </w:t>
      </w:r>
      <w:r>
        <w:rPr>
          <w:rFonts w:ascii="Arial" w:cs="Arial" w:eastAsia="Arial" w:hAnsi="Arial"/>
          <w:sz w:val="18"/>
          <w:szCs w:val="18"/>
          <w:color w:val="auto"/>
        </w:rPr>
        <w:t>Date of Termination shall mean (a) if this Agreement is terminated by the Company for Disability,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77" w:lineRule="exact"/>
        <w:rPr>
          <w:sz w:val="20"/>
          <w:szCs w:val="20"/>
          <w:color w:val="auto"/>
        </w:rPr>
      </w:pPr>
    </w:p>
    <w:p>
      <w:pPr>
        <w:ind w:left="-20" w:firstLine="656"/>
        <w:spacing w:after="0" w:line="260" w:lineRule="auto"/>
        <w:tabs>
          <w:tab w:leader="none" w:pos="82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Severance Compensation upon 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shall terminate the Executives employment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86" w:lineRule="exact"/>
        <w:rPr>
          <w:rFonts w:ascii="Arial" w:cs="Arial" w:eastAsia="Arial" w:hAnsi="Arial"/>
          <w:sz w:val="19"/>
          <w:szCs w:val="19"/>
          <w:b w:val="1"/>
          <w:bCs w:val="1"/>
          <w:color w:val="auto"/>
        </w:rPr>
      </w:pPr>
    </w:p>
    <w:p>
      <w:pPr>
        <w:ind w:left="840" w:hanging="204"/>
        <w:spacing w:after="0"/>
        <w:tabs>
          <w:tab w:leader="none" w:pos="84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Excise Tax-Additional Payment.</w:t>
      </w:r>
    </w:p>
    <w:p>
      <w:pPr>
        <w:spacing w:after="0" w:line="235" w:lineRule="exact"/>
        <w:rPr>
          <w:sz w:val="20"/>
          <w:szCs w:val="20"/>
          <w:color w:val="auto"/>
        </w:rPr>
      </w:pPr>
    </w:p>
    <w:p>
      <w:pPr>
        <w:ind w:left="-20" w:right="40" w:firstLine="656"/>
        <w:spacing w:after="0" w:line="272" w:lineRule="auto"/>
        <w:tabs>
          <w:tab w:leader="none" w:pos="8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582" w:right="239" w:bottom="1440" w:gutter="0" w:footer="0" w:header="0"/>
        </w:sectPr>
      </w:pPr>
    </w:p>
    <w:bookmarkStart w:id="70" w:name="page71"/>
    <w:bookmarkEnd w:id="70"/>
    <w:p>
      <w:pPr>
        <w:ind w:firstLine="656"/>
        <w:spacing w:after="0" w:line="270" w:lineRule="auto"/>
        <w:tabs>
          <w:tab w:leader="none" w:pos="9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 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83" w:lineRule="exact"/>
        <w:rPr>
          <w:rFonts w:ascii="Arial" w:cs="Arial" w:eastAsia="Arial" w:hAnsi="Arial"/>
          <w:sz w:val="18"/>
          <w:szCs w:val="18"/>
          <w:color w:val="auto"/>
        </w:rPr>
      </w:pPr>
    </w:p>
    <w:p>
      <w:pPr>
        <w:ind w:right="20" w:firstLine="656"/>
        <w:spacing w:after="0" w:line="276" w:lineRule="auto"/>
        <w:tabs>
          <w:tab w:leader="none" w:pos="9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9" w:lineRule="exact"/>
        <w:rPr>
          <w:sz w:val="20"/>
          <w:szCs w:val="20"/>
          <w:color w:val="auto"/>
        </w:rPr>
      </w:pPr>
    </w:p>
    <w:p>
      <w:pPr>
        <w:ind w:left="900" w:hanging="244"/>
        <w:spacing w:after="0"/>
        <w:tabs>
          <w:tab w:leader="none" w:pos="9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give the Company any information reasonably requested relating to such claim,</w:t>
      </w:r>
    </w:p>
    <w:p>
      <w:pPr>
        <w:spacing w:after="0" w:line="229" w:lineRule="exact"/>
        <w:rPr>
          <w:rFonts w:ascii="Arial" w:cs="Arial" w:eastAsia="Arial" w:hAnsi="Arial"/>
          <w:sz w:val="20"/>
          <w:szCs w:val="20"/>
          <w:color w:val="auto"/>
        </w:rPr>
      </w:pPr>
    </w:p>
    <w:p>
      <w:pPr>
        <w:ind w:left="660" w:right="320" w:hanging="4"/>
        <w:spacing w:after="0" w:line="250" w:lineRule="auto"/>
        <w:tabs>
          <w:tab w:leader="none" w:pos="951" w:val="left"/>
        </w:tabs>
        <w:numPr>
          <w:ilvl w:val="0"/>
          <w:numId w:val="52"/>
        </w:numPr>
        <w:rPr>
          <w:rFonts w:ascii="Arial" w:cs="Arial" w:eastAsia="Arial" w:hAnsi="Arial"/>
          <w:sz w:val="20"/>
          <w:szCs w:val="20"/>
          <w:color w:val="auto"/>
        </w:rPr>
      </w:pPr>
      <w:r>
        <w:rPr>
          <w:rFonts w:ascii="Arial" w:cs="Arial" w:eastAsia="Arial" w:hAnsi="Arial"/>
          <w:sz w:val="20"/>
          <w:szCs w:val="20"/>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99" w:lineRule="exact"/>
        <w:rPr>
          <w:rFonts w:ascii="Arial" w:cs="Arial" w:eastAsia="Arial" w:hAnsi="Arial"/>
          <w:sz w:val="20"/>
          <w:szCs w:val="20"/>
          <w:color w:val="auto"/>
        </w:rPr>
      </w:pPr>
    </w:p>
    <w:p>
      <w:pPr>
        <w:ind w:left="1000" w:hanging="344"/>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cooperate with the Company in good faith in order effectively to contest such claim, and</w:t>
      </w:r>
    </w:p>
    <w:p>
      <w:pPr>
        <w:spacing w:after="0" w:line="229" w:lineRule="exact"/>
        <w:rPr>
          <w:rFonts w:ascii="Arial" w:cs="Arial" w:eastAsia="Arial" w:hAnsi="Arial"/>
          <w:sz w:val="20"/>
          <w:szCs w:val="20"/>
          <w:color w:val="auto"/>
        </w:rPr>
      </w:pPr>
    </w:p>
    <w:p>
      <w:pPr>
        <w:ind w:left="1000" w:hanging="344"/>
        <w:spacing w:after="0"/>
        <w:tabs>
          <w:tab w:leader="none" w:pos="10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permit the Company to participate in any proceedings relating to such claim;</w:t>
      </w:r>
    </w:p>
    <w:p>
      <w:pPr>
        <w:spacing w:after="0" w:line="216"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bear and pay directly all costs and expenses (including additional interest and penalties) incurred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11" w:right="239" w:bottom="1440" w:gutter="0" w:footer="0" w:header="0"/>
        </w:sectPr>
      </w:pPr>
    </w:p>
    <w:bookmarkStart w:id="71" w:name="page72"/>
    <w:bookmarkEnd w:id="71"/>
    <w:p>
      <w:pPr>
        <w:ind w:right="60"/>
        <w:spacing w:after="0" w:line="244" w:lineRule="auto"/>
        <w:rPr>
          <w:sz w:val="20"/>
          <w:szCs w:val="20"/>
          <w:color w:val="auto"/>
        </w:rPr>
      </w:pPr>
      <w:r>
        <w:rPr>
          <w:rFonts w:ascii="Arial" w:cs="Arial" w:eastAsia="Arial" w:hAnsi="Arial"/>
          <w:sz w:val="20"/>
          <w:szCs w:val="20"/>
          <w:color w:val="auto"/>
        </w:rPr>
        <w:t xml:space="preserve">imputed income with respect to such advance; and </w:t>
      </w:r>
      <w:r>
        <w:rPr>
          <w:rFonts w:ascii="Arial" w:cs="Arial" w:eastAsia="Arial" w:hAnsi="Arial"/>
          <w:sz w:val="20"/>
          <w:szCs w:val="20"/>
          <w:i w:val="1"/>
          <w:iCs w:val="1"/>
          <w:color w:val="auto"/>
        </w:rPr>
        <w:t>further provided</w:t>
      </w:r>
      <w:r>
        <w:rPr>
          <w:rFonts w:ascii="Arial" w:cs="Arial" w:eastAsia="Arial" w:hAnsi="Arial"/>
          <w:sz w:val="20"/>
          <w:szCs w:val="20"/>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95" w:lineRule="exact"/>
        <w:rPr>
          <w:sz w:val="20"/>
          <w:szCs w:val="20"/>
          <w:color w:val="auto"/>
        </w:rPr>
      </w:pPr>
    </w:p>
    <w:p>
      <w:pPr>
        <w:ind w:firstLine="656"/>
        <w:spacing w:after="0" w:line="273" w:lineRule="auto"/>
        <w:tabs>
          <w:tab w:leader="none" w:pos="9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82" w:lineRule="exact"/>
        <w:rPr>
          <w:rFonts w:ascii="Arial" w:cs="Arial" w:eastAsia="Arial" w:hAnsi="Arial"/>
          <w:sz w:val="18"/>
          <w:szCs w:val="18"/>
          <w:color w:val="auto"/>
        </w:rPr>
      </w:pPr>
    </w:p>
    <w:p>
      <w:pPr>
        <w:ind w:right="300" w:firstLine="656"/>
        <w:spacing w:after="0" w:line="246" w:lineRule="auto"/>
        <w:tabs>
          <w:tab w:leader="none" w:pos="917" w:val="left"/>
        </w:tabs>
        <w:numPr>
          <w:ilvl w:val="0"/>
          <w:numId w:val="53"/>
        </w:numPr>
        <w:rPr>
          <w:rFonts w:ascii="Arial" w:cs="Arial" w:eastAsia="Arial" w:hAnsi="Arial"/>
          <w:sz w:val="20"/>
          <w:szCs w:val="20"/>
          <w:color w:val="auto"/>
        </w:rPr>
      </w:pPr>
      <w:r>
        <w:rPr>
          <w:rFonts w:ascii="Arial" w:cs="Arial" w:eastAsia="Arial" w:hAnsi="Arial"/>
          <w:sz w:val="20"/>
          <w:szCs w:val="20"/>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86" w:lineRule="exact"/>
        <w:rPr>
          <w:sz w:val="20"/>
          <w:szCs w:val="20"/>
          <w:color w:val="auto"/>
        </w:rPr>
      </w:pPr>
    </w:p>
    <w:p>
      <w:pPr>
        <w:ind w:left="860" w:hanging="204"/>
        <w:spacing w:after="0"/>
        <w:tabs>
          <w:tab w:leader="none" w:pos="8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Obligation To Mitigate Damages; No Effect on Other Contractual Rights</w:t>
      </w:r>
      <w:r>
        <w:rPr>
          <w:rFonts w:ascii="Arial" w:cs="Arial" w:eastAsia="Arial" w:hAnsi="Arial"/>
          <w:sz w:val="20"/>
          <w:szCs w:val="20"/>
          <w:color w:val="auto"/>
        </w:rPr>
        <w:t>.</w:t>
      </w:r>
    </w:p>
    <w:p>
      <w:pPr>
        <w:spacing w:after="0" w:line="222" w:lineRule="exact"/>
        <w:rPr>
          <w:sz w:val="20"/>
          <w:szCs w:val="20"/>
          <w:color w:val="auto"/>
        </w:rPr>
      </w:pPr>
    </w:p>
    <w:p>
      <w:pPr>
        <w:ind w:right="480" w:firstLine="656"/>
        <w:spacing w:after="0" w:line="291" w:lineRule="auto"/>
        <w:tabs>
          <w:tab w:leader="none" w:pos="9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51" w:lineRule="exact"/>
        <w:rPr>
          <w:rFonts w:ascii="Arial" w:cs="Arial" w:eastAsia="Arial" w:hAnsi="Arial"/>
          <w:sz w:val="18"/>
          <w:szCs w:val="18"/>
          <w:color w:val="auto"/>
        </w:rPr>
      </w:pPr>
    </w:p>
    <w:p>
      <w:pPr>
        <w:jc w:val="both"/>
        <w:ind w:right="20" w:firstLine="656"/>
        <w:spacing w:after="0" w:line="250" w:lineRule="auto"/>
        <w:tabs>
          <w:tab w:leader="none" w:pos="92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0" w:lineRule="exact"/>
        <w:rPr>
          <w:sz w:val="20"/>
          <w:szCs w:val="20"/>
          <w:color w:val="auto"/>
        </w:rPr>
      </w:pPr>
    </w:p>
    <w:p>
      <w:pPr>
        <w:ind w:left="860" w:hanging="204"/>
        <w:spacing w:after="0"/>
        <w:tabs>
          <w:tab w:leader="none" w:pos="8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 to the Company</w:t>
      </w:r>
      <w:r>
        <w:rPr>
          <w:rFonts w:ascii="Arial" w:cs="Arial" w:eastAsia="Arial" w:hAnsi="Arial"/>
          <w:sz w:val="20"/>
          <w:szCs w:val="20"/>
          <w:b w:val="1"/>
          <w:bCs w:val="1"/>
          <w:i w:val="1"/>
          <w:iCs w:val="1"/>
          <w:color w:val="auto"/>
        </w:rPr>
        <w:t>.</w:t>
      </w:r>
    </w:p>
    <w:p>
      <w:pPr>
        <w:spacing w:after="0" w:line="222" w:lineRule="exact"/>
        <w:rPr>
          <w:sz w:val="20"/>
          <w:szCs w:val="20"/>
          <w:color w:val="auto"/>
        </w:rPr>
      </w:pPr>
    </w:p>
    <w:p>
      <w:pPr>
        <w:ind w:right="40" w:firstLine="656"/>
        <w:spacing w:after="0" w:line="273" w:lineRule="auto"/>
        <w:tabs>
          <w:tab w:leader="none" w:pos="9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69" w:lineRule="exact"/>
        <w:rPr>
          <w:rFonts w:ascii="Arial" w:cs="Arial" w:eastAsia="Arial" w:hAnsi="Arial"/>
          <w:sz w:val="18"/>
          <w:szCs w:val="18"/>
          <w:color w:val="auto"/>
        </w:rPr>
      </w:pPr>
    </w:p>
    <w:p>
      <w:pPr>
        <w:ind w:right="100" w:firstLine="656"/>
        <w:spacing w:after="0" w:line="263" w:lineRule="auto"/>
        <w:tabs>
          <w:tab w:leader="none" w:pos="92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582" w:right="319" w:bottom="1440" w:gutter="0" w:footer="0" w:header="0"/>
        </w:sectPr>
      </w:pPr>
    </w:p>
    <w:bookmarkStart w:id="72" w:name="page73"/>
    <w:bookmarkEnd w:id="72"/>
    <w:p>
      <w:pPr>
        <w:jc w:val="both"/>
        <w:ind w:right="160" w:firstLine="656"/>
        <w:spacing w:after="0" w:line="253" w:lineRule="auto"/>
        <w:tabs>
          <w:tab w:leader="none" w:pos="846"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Guaranty of Employment</w:t>
      </w:r>
      <w:r>
        <w:rPr>
          <w:rFonts w:ascii="Arial" w:cs="Arial" w:eastAsia="Arial" w:hAnsi="Arial"/>
          <w:sz w:val="20"/>
          <w:szCs w:val="20"/>
          <w:color w:val="auto"/>
        </w:rPr>
        <w:t>. Nothing in this Agreement shall be deemed to entitle the Executive to continued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prior to a Change of Control, and the rights of the Company to terminate the employment of the Executive, prior to a Change of Control, shall continue as fully as if this Agreement were not in effect.</w:t>
      </w:r>
    </w:p>
    <w:p>
      <w:pPr>
        <w:spacing w:after="0" w:line="177" w:lineRule="exact"/>
        <w:rPr>
          <w:rFonts w:ascii="Arial" w:cs="Arial" w:eastAsia="Arial" w:hAnsi="Arial"/>
          <w:sz w:val="20"/>
          <w:szCs w:val="20"/>
          <w:b w:val="1"/>
          <w:bCs w:val="1"/>
          <w:color w:val="auto"/>
        </w:rPr>
      </w:pPr>
    </w:p>
    <w:p>
      <w:pPr>
        <w:jc w:val="both"/>
        <w:ind w:right="60" w:firstLine="656"/>
        <w:spacing w:after="0" w:line="253" w:lineRule="auto"/>
        <w:tabs>
          <w:tab w:leader="none" w:pos="846"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For purposes of this Agreement, notices and all other communications provided for in the Agreement shall be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when delivered or mailed by United States registered mail, return receipt registered, postage prepaid,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Winnebago Industries,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Attn: General Counsel</w:t>
      </w:r>
    </w:p>
    <w:p>
      <w:pPr>
        <w:ind w:left="1300"/>
        <w:spacing w:after="0"/>
        <w:rPr>
          <w:sz w:val="20"/>
          <w:szCs w:val="20"/>
          <w:color w:val="auto"/>
        </w:rPr>
      </w:pPr>
      <w:r>
        <w:rPr>
          <w:rFonts w:ascii="Arial" w:cs="Arial" w:eastAsia="Arial" w:hAnsi="Arial"/>
          <w:sz w:val="20"/>
          <w:szCs w:val="20"/>
          <w:color w:val="auto"/>
        </w:rPr>
        <w:t>605 W. Crystal Lake Road</w:t>
      </w:r>
    </w:p>
    <w:p>
      <w:pPr>
        <w:ind w:left="1300"/>
        <w:spacing w:after="0"/>
        <w:rPr>
          <w:sz w:val="20"/>
          <w:szCs w:val="20"/>
          <w:color w:val="auto"/>
        </w:rPr>
      </w:pPr>
      <w:r>
        <w:rPr>
          <w:rFonts w:ascii="Arial" w:cs="Arial" w:eastAsia="Arial" w:hAnsi="Arial"/>
          <w:sz w:val="20"/>
          <w:szCs w:val="20"/>
          <w:color w:val="auto"/>
        </w:rPr>
        <w:t>P.O. Box 152</w:t>
      </w:r>
    </w:p>
    <w:p>
      <w:pPr>
        <w:ind w:left="1300"/>
        <w:spacing w:after="0"/>
        <w:rPr>
          <w:sz w:val="20"/>
          <w:szCs w:val="20"/>
          <w:color w:val="auto"/>
        </w:rPr>
      </w:pPr>
      <w:r>
        <w:rPr>
          <w:rFonts w:ascii="Arial" w:cs="Arial" w:eastAsia="Arial" w:hAnsi="Arial"/>
          <w:sz w:val="20"/>
          <w:szCs w:val="20"/>
          <w:color w:val="auto"/>
        </w:rPr>
        <w:t>Forest City, Iowa 50436</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Executive: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 Scott Degnan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32 Venetian Drive</w:t>
      </w:r>
    </w:p>
    <w:p>
      <w:pPr>
        <w:ind w:left="1300"/>
        <w:spacing w:after="0"/>
        <w:rPr>
          <w:sz w:val="20"/>
          <w:szCs w:val="20"/>
          <w:color w:val="auto"/>
        </w:rPr>
      </w:pPr>
      <w:r>
        <w:rPr>
          <w:rFonts w:ascii="Arial" w:cs="Arial" w:eastAsia="Arial" w:hAnsi="Arial"/>
          <w:sz w:val="20"/>
          <w:szCs w:val="20"/>
          <w:color w:val="auto"/>
        </w:rPr>
        <w:t>Clear Lake, IA 50428</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or such other address as either party may have furnished to the other in writing in accordance herewith, except that notices of change of address shall be effective only upon receipt.</w:t>
      </w:r>
    </w:p>
    <w:p>
      <w:pPr>
        <w:spacing w:after="0" w:line="184" w:lineRule="exact"/>
        <w:rPr>
          <w:sz w:val="20"/>
          <w:szCs w:val="20"/>
          <w:color w:val="auto"/>
        </w:rPr>
      </w:pPr>
    </w:p>
    <w:p>
      <w:pPr>
        <w:ind w:firstLine="656"/>
        <w:spacing w:after="0" w:line="277" w:lineRule="auto"/>
        <w:tabs>
          <w:tab w:leader="none" w:pos="94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60" w:lineRule="exact"/>
        <w:rPr>
          <w:rFonts w:ascii="Arial" w:cs="Arial" w:eastAsia="Arial" w:hAnsi="Arial"/>
          <w:sz w:val="18"/>
          <w:szCs w:val="18"/>
          <w:b w:val="1"/>
          <w:bCs w:val="1"/>
          <w:color w:val="auto"/>
        </w:rPr>
      </w:pPr>
    </w:p>
    <w:p>
      <w:pPr>
        <w:ind w:right="40" w:firstLine="656"/>
        <w:spacing w:after="0" w:line="267" w:lineRule="auto"/>
        <w:tabs>
          <w:tab w:leader="none" w:pos="934"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Validity</w:t>
      </w:r>
      <w:r>
        <w:rPr>
          <w:rFonts w:ascii="Arial" w:cs="Arial" w:eastAsia="Arial" w:hAnsi="Arial"/>
          <w:sz w:val="20"/>
          <w:szCs w:val="20"/>
          <w:color w:val="auto"/>
        </w:rPr>
        <w:t>. The invalidity or unenforceability of any provisions of this Agreement shall not affect the validity or enforceability of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provision of this Agreement, which shall remain in full force and effect.</w:t>
      </w:r>
    </w:p>
    <w:p>
      <w:pPr>
        <w:spacing w:after="0" w:line="163" w:lineRule="exact"/>
        <w:rPr>
          <w:rFonts w:ascii="Arial" w:cs="Arial" w:eastAsia="Arial" w:hAnsi="Arial"/>
          <w:sz w:val="20"/>
          <w:szCs w:val="20"/>
          <w:b w:val="1"/>
          <w:bCs w:val="1"/>
          <w:color w:val="auto"/>
        </w:rPr>
      </w:pPr>
    </w:p>
    <w:p>
      <w:pPr>
        <w:ind w:right="120" w:firstLine="656"/>
        <w:spacing w:after="0" w:line="267" w:lineRule="auto"/>
        <w:tabs>
          <w:tab w:leader="none" w:pos="945"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one or more counterparts, each of which shall be deemed to be an original but</w:t>
      </w:r>
      <w:r>
        <w:rPr>
          <w:rFonts w:ascii="Arial" w:cs="Arial" w:eastAsia="Arial" w:hAnsi="Arial"/>
          <w:sz w:val="20"/>
          <w:szCs w:val="20"/>
          <w:b w:val="1"/>
          <w:bCs w:val="1"/>
          <w:color w:val="auto"/>
        </w:rPr>
        <w:t xml:space="preserve"> </w:t>
      </w:r>
      <w:r>
        <w:rPr>
          <w:rFonts w:ascii="Arial" w:cs="Arial" w:eastAsia="Arial" w:hAnsi="Arial"/>
          <w:sz w:val="20"/>
          <w:szCs w:val="20"/>
          <w:color w:val="auto"/>
        </w:rPr>
        <w:t>all of which together will constitute one and the same instrument.</w:t>
      </w:r>
    </w:p>
    <w:p>
      <w:pPr>
        <w:spacing w:after="0" w:line="163" w:lineRule="exact"/>
        <w:rPr>
          <w:rFonts w:ascii="Arial" w:cs="Arial" w:eastAsia="Arial" w:hAnsi="Arial"/>
          <w:sz w:val="20"/>
          <w:szCs w:val="20"/>
          <w:b w:val="1"/>
          <w:bCs w:val="1"/>
          <w:color w:val="auto"/>
        </w:rPr>
      </w:pPr>
    </w:p>
    <w:p>
      <w:pPr>
        <w:ind w:right="360" w:firstLine="656"/>
        <w:spacing w:after="0" w:line="323" w:lineRule="auto"/>
        <w:tabs>
          <w:tab w:leader="none" w:pos="94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 and Expenses</w:t>
      </w:r>
      <w:r>
        <w:rPr>
          <w:rFonts w:ascii="Arial" w:cs="Arial" w:eastAsia="Arial" w:hAnsi="Arial"/>
          <w:sz w:val="18"/>
          <w:szCs w:val="18"/>
          <w:color w:val="auto"/>
        </w:rPr>
        <w:t>. The Company shall pay all legal fees and expenses which the Executive may incur as a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contesting the validity, enforceability or the Executives interpretation of, or determinations under, this Agreement.</w:t>
      </w:r>
    </w:p>
    <w:p>
      <w:pPr>
        <w:spacing w:after="0" w:line="131" w:lineRule="exact"/>
        <w:rPr>
          <w:rFonts w:ascii="Arial" w:cs="Arial" w:eastAsia="Arial" w:hAnsi="Arial"/>
          <w:sz w:val="18"/>
          <w:szCs w:val="18"/>
          <w:b w:val="1"/>
          <w:bCs w:val="1"/>
          <w:color w:val="auto"/>
        </w:rPr>
      </w:pPr>
    </w:p>
    <w:p>
      <w:pPr>
        <w:ind w:right="120" w:firstLine="656"/>
        <w:spacing w:after="0" w:line="267" w:lineRule="auto"/>
        <w:tabs>
          <w:tab w:leader="none" w:pos="945"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 The Executive shall retain in confidence any and all confidential information known to the Executive concerning</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its business so long as such information is not otherwise publicly disclosed.</w:t>
      </w:r>
    </w:p>
    <w:p>
      <w:pPr>
        <w:spacing w:after="0" w:line="177" w:lineRule="exact"/>
        <w:rPr>
          <w:rFonts w:ascii="Arial" w:cs="Arial" w:eastAsia="Arial" w:hAnsi="Arial"/>
          <w:sz w:val="20"/>
          <w:szCs w:val="20"/>
          <w:b w:val="1"/>
          <w:bCs w:val="1"/>
          <w:color w:val="auto"/>
        </w:rPr>
      </w:pPr>
    </w:p>
    <w:p>
      <w:pPr>
        <w:ind w:right="120" w:firstLine="656"/>
        <w:spacing w:after="0" w:line="253" w:lineRule="auto"/>
        <w:tabs>
          <w:tab w:leader="none" w:pos="945"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intended to satisfy the short-term deferral exception to Internal Revenue code Section 409A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ectPr>
          <w:pgSz w:w="11900" w:h="16838" w:orient="portrait"/>
          <w:cols w:equalWidth="0" w:num="1">
            <w:col w:w="9559"/>
          </w:cols>
          <w:pgMar w:left="900" w:top="576"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WINNEBAGO INDUSTRIES, INC.</w:t>
      </w:r>
    </w:p>
    <w:p>
      <w:pPr>
        <w:spacing w:after="0" w:line="227"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-14605</wp:posOffset>
            </wp:positionV>
            <wp:extent cx="911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1225" cy="889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0"/>
          <w:szCs w:val="20"/>
          <w:color w:val="auto"/>
        </w:rPr>
        <w:t>Randy J. Potts</w:t>
      </w:r>
    </w:p>
    <w:p>
      <w:pPr>
        <w:ind w:left="258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EXECUTIVE:</w:t>
      </w:r>
    </w:p>
    <w:p>
      <w:pPr>
        <w:spacing w:after="0" w:line="216" w:lineRule="exact"/>
        <w:rPr>
          <w:sz w:val="20"/>
          <w:szCs w:val="20"/>
          <w:color w:val="auto"/>
        </w:rPr>
      </w:pPr>
    </w:p>
    <w:p>
      <w:pPr>
        <w:ind w:left="2580"/>
        <w:spacing w:after="0"/>
        <w:rPr>
          <w:sz w:val="20"/>
          <w:szCs w:val="20"/>
          <w:color w:val="auto"/>
        </w:rPr>
      </w:pPr>
      <w:r>
        <w:rPr>
          <w:rFonts w:ascii="Arial" w:cs="Arial" w:eastAsia="Arial" w:hAnsi="Arial"/>
          <w:sz w:val="20"/>
          <w:szCs w:val="20"/>
          <w:i w:val="1"/>
          <w:iCs w:val="1"/>
          <w:u w:val="single" w:color="auto"/>
          <w:color w:val="auto"/>
        </w:rPr>
        <w:t>/s/ S. Scott Degnan</w:t>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S. Scott Degnan</w:t>
      </w: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59"/>
          </w:cols>
          <w:pgMar w:left="900" w:top="576" w:right="1440"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EXECUTIVE CHANGE OF CONTROL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This EXECUTIVE CHANGE OF CONTROL AGREEMENT is made as of June 20, 2012, by and between </w:t>
      </w:r>
      <w:r>
        <w:rPr>
          <w:rFonts w:ascii="Arial" w:cs="Arial" w:eastAsia="Arial" w:hAnsi="Arial"/>
          <w:sz w:val="20"/>
          <w:szCs w:val="20"/>
          <w:b w:val="1"/>
          <w:bCs w:val="1"/>
          <w:color w:val="auto"/>
        </w:rPr>
        <w:t>WINNEBAGO</w:t>
      </w:r>
      <w:r>
        <w:rPr>
          <w:rFonts w:ascii="Arial" w:cs="Arial" w:eastAsia="Arial" w:hAnsi="Arial"/>
          <w:sz w:val="20"/>
          <w:szCs w:val="20"/>
          <w:color w:val="auto"/>
        </w:rPr>
        <w:t xml:space="preserve"> </w:t>
      </w:r>
      <w:r>
        <w:rPr>
          <w:rFonts w:ascii="Arial" w:cs="Arial" w:eastAsia="Arial" w:hAnsi="Arial"/>
          <w:sz w:val="20"/>
          <w:szCs w:val="20"/>
          <w:b w:val="1"/>
          <w:bCs w:val="1"/>
          <w:color w:val="auto"/>
        </w:rPr>
        <w:t>INDUSTRIES, INC.</w:t>
      </w:r>
      <w:r>
        <w:rPr>
          <w:rFonts w:ascii="Arial" w:cs="Arial" w:eastAsia="Arial" w:hAnsi="Arial"/>
          <w:sz w:val="20"/>
          <w:szCs w:val="20"/>
          <w:color w:val="auto"/>
        </w:rPr>
        <w:t>, an Iowa corporation (the "Company"), and Scott C. Folkers (the "Executive").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 E C I T A L S :</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senior executive and officer of the Company and has made and is expected to continue to</w:t>
      </w:r>
      <w:r>
        <w:rPr>
          <w:rFonts w:ascii="Arial" w:cs="Arial" w:eastAsia="Arial" w:hAnsi="Arial"/>
          <w:sz w:val="22"/>
          <w:szCs w:val="22"/>
          <w:b w:val="1"/>
          <w:bCs w:val="1"/>
          <w:color w:val="auto"/>
        </w:rPr>
        <w:t xml:space="preserve"> </w:t>
      </w:r>
      <w:r>
        <w:rPr>
          <w:rFonts w:ascii="Arial" w:cs="Arial" w:eastAsia="Arial" w:hAnsi="Arial"/>
          <w:sz w:val="22"/>
          <w:szCs w:val="22"/>
          <w:color w:val="auto"/>
        </w:rPr>
        <w:t>make major contributions to the profitability, growth and financial strength of the Company;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recognizes that, as is the case for most publicly held companies, the possibility of a Change of</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(as hereafter defined) exists;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in the best interests of the Company, considering the past and future services of the Executive, to improve</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and climate for objective decision making by providing for the personal security of the Executive upon a Change of Control.</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past and future services rendered and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rendered by the Executive to the Company and of the mutual covenants and agreements hereinafter set forth, the parties agree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G R E E M E N T :</w:t>
      </w:r>
    </w:p>
    <w:p>
      <w:pPr>
        <w:spacing w:after="0" w:line="216" w:lineRule="exact"/>
        <w:rPr>
          <w:sz w:val="20"/>
          <w:szCs w:val="20"/>
          <w:color w:val="auto"/>
        </w:rPr>
      </w:pPr>
    </w:p>
    <w:p>
      <w:pPr>
        <w:jc w:val="both"/>
        <w:ind w:firstLine="656"/>
        <w:spacing w:after="0" w:line="285" w:lineRule="auto"/>
        <w:tabs>
          <w:tab w:leader="none" w:pos="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Service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person or entity, in order to effect a Change of Control, commences a tender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efforts to effect such Change of Control or until such Change of Control has occurred.</w:t>
      </w:r>
    </w:p>
    <w:p>
      <w:pPr>
        <w:spacing w:after="0" w:line="151" w:lineRule="exact"/>
        <w:rPr>
          <w:rFonts w:ascii="Arial" w:cs="Arial" w:eastAsia="Arial" w:hAnsi="Arial"/>
          <w:sz w:val="18"/>
          <w:szCs w:val="18"/>
          <w:b w:val="1"/>
          <w:bCs w:val="1"/>
          <w:color w:val="auto"/>
        </w:rPr>
      </w:pPr>
    </w:p>
    <w:p>
      <w:pPr>
        <w:jc w:val="both"/>
        <w:ind w:firstLine="656"/>
        <w:spacing w:after="0" w:line="257" w:lineRule="auto"/>
        <w:tabs>
          <w:tab w:leader="none" w:pos="846"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the term “Change of Control” means the time when (i) any Person becomes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Acquiring Person, or (ii) individuals who shall qualify as Continuing Directors of the Company shall have ceased for any reason to constitute at least a majority of the Board of Directors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 of the foregoing definition of “Change of Control”, the capitalized terms shall have the following meanings:</w:t>
      </w:r>
    </w:p>
    <w:p>
      <w:pPr>
        <w:spacing w:after="0" w:line="227" w:lineRule="exact"/>
        <w:rPr>
          <w:sz w:val="20"/>
          <w:szCs w:val="20"/>
          <w:color w:val="auto"/>
        </w:rPr>
      </w:pPr>
    </w:p>
    <w:p>
      <w:pPr>
        <w:jc w:val="both"/>
        <w:ind w:left="1300" w:hanging="644"/>
        <w:spacing w:after="0" w:line="278"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22" w:right="239" w:bottom="1440" w:gutter="0" w:footer="0" w:header="0"/>
        </w:sectPr>
      </w:pPr>
    </w:p>
    <w:bookmarkStart w:id="75" w:name="page76"/>
    <w:bookmarkEnd w:id="75"/>
    <w:p>
      <w:pPr>
        <w:ind w:left="1300" w:right="20"/>
        <w:spacing w:after="0" w:line="289" w:lineRule="auto"/>
        <w:rPr>
          <w:sz w:val="20"/>
          <w:szCs w:val="20"/>
          <w:color w:val="auto"/>
        </w:rPr>
      </w:pPr>
      <w:r>
        <w:rPr>
          <w:rFonts w:ascii="Arial" w:cs="Arial" w:eastAsia="Arial" w:hAnsi="Arial"/>
          <w:sz w:val="20"/>
          <w:szCs w:val="20"/>
          <w:color w:val="auto"/>
        </w:rPr>
        <w:t>Person or of any affiliate or associate of such Acquiring Person and is recommended or elected to succeed the Continuing Director by a majority of the Continuing Directors.</w:t>
      </w:r>
    </w:p>
    <w:p>
      <w:pPr>
        <w:spacing w:after="0" w:line="162" w:lineRule="exact"/>
        <w:rPr>
          <w:sz w:val="20"/>
          <w:szCs w:val="20"/>
          <w:color w:val="auto"/>
        </w:rPr>
      </w:pPr>
    </w:p>
    <w:p>
      <w:pPr>
        <w:jc w:val="both"/>
        <w:ind w:left="1300" w:hanging="644"/>
        <w:spacing w:after="0" w:line="250"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“Acquiring Person” means any Person or any individual or group of Affiliates or Associates of such Person who acquires beneficial ownership, directly or indirectly, of 20% or more of the outstanding stock of the Company if such acquisition occurs in whole or in part following date of that person's agreement.</w:t>
      </w:r>
    </w:p>
    <w:p>
      <w:pPr>
        <w:spacing w:after="0" w:line="186"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“Affiliate” means a Person that directly or indirectly through one or more intermediaries, controls, or is controlled by, or is under common control with, the person specified.</w:t>
      </w:r>
    </w:p>
    <w:p>
      <w:pPr>
        <w:spacing w:after="0" w:line="176" w:lineRule="exact"/>
        <w:rPr>
          <w:rFonts w:ascii="Arial" w:cs="Arial" w:eastAsia="Arial" w:hAnsi="Arial"/>
          <w:sz w:val="20"/>
          <w:szCs w:val="20"/>
          <w:color w:val="auto"/>
        </w:rPr>
      </w:pPr>
    </w:p>
    <w:p>
      <w:pPr>
        <w:jc w:val="both"/>
        <w:ind w:left="1300" w:hanging="644"/>
        <w:spacing w:after="0" w:line="270"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w:t>
      </w:r>
    </w:p>
    <w:p>
      <w:pPr>
        <w:spacing w:after="0" w:line="2" w:lineRule="exact"/>
        <w:rPr>
          <w:rFonts w:ascii="Arial" w:cs="Arial" w:eastAsia="Arial" w:hAnsi="Arial"/>
          <w:sz w:val="18"/>
          <w:szCs w:val="18"/>
          <w:color w:val="auto"/>
        </w:rPr>
      </w:pPr>
    </w:p>
    <w:p>
      <w:pPr>
        <w:ind w:left="1300"/>
        <w:spacing w:after="0" w:line="244" w:lineRule="auto"/>
        <w:rPr>
          <w:rFonts w:ascii="Arial" w:cs="Arial" w:eastAsia="Arial" w:hAnsi="Arial"/>
          <w:sz w:val="18"/>
          <w:szCs w:val="18"/>
          <w:color w:val="auto"/>
        </w:rPr>
      </w:pPr>
      <w:r>
        <w:rPr>
          <w:rFonts w:ascii="Arial" w:cs="Arial" w:eastAsia="Arial" w:hAnsi="Arial"/>
          <w:sz w:val="20"/>
          <w:szCs w:val="20"/>
          <w:color w:val="auto"/>
        </w:rPr>
        <w:t>(3) any relative or spouse of such person, or any relative of such spouse, or (4) any investment company for which such person or any Affiliate of such person serves as investment advisor.</w:t>
      </w:r>
    </w:p>
    <w:p>
      <w:pPr>
        <w:spacing w:after="0" w:line="191" w:lineRule="exact"/>
        <w:rPr>
          <w:rFonts w:ascii="Arial" w:cs="Arial" w:eastAsia="Arial" w:hAnsi="Arial"/>
          <w:sz w:val="18"/>
          <w:szCs w:val="18"/>
          <w:color w:val="auto"/>
        </w:rPr>
      </w:pPr>
    </w:p>
    <w:p>
      <w:pPr>
        <w:ind w:left="1300" w:right="20" w:hanging="644"/>
        <w:spacing w:after="0" w:line="260" w:lineRule="auto"/>
        <w:tabs>
          <w:tab w:leader="none" w:pos="13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“Person” means an individual, corporation, limited liability company, partnership, association, joint stock company, trust, unincorporated organization or government or political subdivision thereof.</w:t>
      </w:r>
    </w:p>
    <w:p>
      <w:pPr>
        <w:spacing w:after="0" w:line="171" w:lineRule="exact"/>
        <w:rPr>
          <w:sz w:val="20"/>
          <w:szCs w:val="20"/>
          <w:color w:val="auto"/>
        </w:rPr>
      </w:pPr>
    </w:p>
    <w:p>
      <w:pPr>
        <w:jc w:val="both"/>
        <w:ind w:firstLine="656"/>
        <w:spacing w:after="0" w:line="260" w:lineRule="auto"/>
        <w:tabs>
          <w:tab w:leader="none" w:pos="84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Following a Change of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If a change of Control shall have occurred while the Executive is still an employee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79" w:lineRule="exact"/>
        <w:rPr>
          <w:sz w:val="20"/>
          <w:szCs w:val="20"/>
          <w:color w:val="auto"/>
        </w:rPr>
      </w:pPr>
    </w:p>
    <w:p>
      <w:pPr>
        <w:jc w:val="both"/>
        <w:ind w:firstLine="656"/>
        <w:spacing w:after="0" w:line="246" w:lineRule="auto"/>
        <w:tabs>
          <w:tab w:leader="none" w:pos="917"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If, as a result of the Executive's incapacity due to physical or mental illness, the Executive shall have been absent from</w:t>
      </w:r>
      <w:r>
        <w:rPr>
          <w:rFonts w:ascii="Arial" w:cs="Arial" w:eastAsia="Arial" w:hAnsi="Arial"/>
          <w:sz w:val="20"/>
          <w:szCs w:val="20"/>
          <w:i w:val="1"/>
          <w:iCs w:val="1"/>
          <w:color w:val="auto"/>
        </w:rPr>
        <w:t xml:space="preserve"> </w:t>
      </w:r>
      <w:r>
        <w:rPr>
          <w:rFonts w:ascii="Arial" w:cs="Arial" w:eastAsia="Arial" w:hAnsi="Arial"/>
          <w:sz w:val="20"/>
          <w:szCs w:val="20"/>
          <w:color w:val="auto"/>
        </w:rPr>
        <w:t>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91" w:lineRule="exact"/>
        <w:rPr>
          <w:rFonts w:ascii="Arial" w:cs="Arial" w:eastAsia="Arial" w:hAnsi="Arial"/>
          <w:sz w:val="20"/>
          <w:szCs w:val="20"/>
          <w:color w:val="auto"/>
        </w:rPr>
      </w:pPr>
    </w:p>
    <w:p>
      <w:pPr>
        <w:jc w:val="both"/>
        <w:ind w:firstLine="656"/>
        <w:spacing w:after="0" w:line="250" w:lineRule="auto"/>
        <w:tabs>
          <w:tab w:leader="none" w:pos="942" w:val="left"/>
        </w:tabs>
        <w:numPr>
          <w:ilvl w:val="0"/>
          <w:numId w:val="64"/>
        </w:numPr>
        <w:rPr>
          <w:rFonts w:ascii="Arial" w:cs="Arial" w:eastAsia="Arial" w:hAnsi="Arial"/>
          <w:sz w:val="20"/>
          <w:szCs w:val="20"/>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The term “Retirement” as used in this Agreement shall mean termination by the Company or the Executive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Executive's employment based on the Executive having attained the age of 65 or such other age as shall have been fixed in any arrangement established with the Executive's consent with respect to the Executive.</w:t>
      </w:r>
    </w:p>
    <w:p>
      <w:pPr>
        <w:spacing w:after="0" w:line="186" w:lineRule="exact"/>
        <w:rPr>
          <w:rFonts w:ascii="Arial" w:cs="Arial" w:eastAsia="Arial" w:hAnsi="Arial"/>
          <w:sz w:val="20"/>
          <w:szCs w:val="20"/>
          <w:color w:val="auto"/>
        </w:rPr>
      </w:pPr>
    </w:p>
    <w:p>
      <w:pPr>
        <w:jc w:val="both"/>
        <w:ind w:firstLine="656"/>
        <w:spacing w:after="0" w:line="256" w:lineRule="auto"/>
        <w:tabs>
          <w:tab w:leader="none" w:pos="931"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 xml:space="preserve">Cause. </w:t>
      </w:r>
      <w:r>
        <w:rPr>
          <w:rFonts w:ascii="Arial" w:cs="Arial" w:eastAsia="Arial" w:hAnsi="Arial"/>
          <w:sz w:val="19"/>
          <w:szCs w:val="19"/>
          <w:color w:val="auto"/>
        </w:rPr>
        <w:t>The Company may terminate the Executive's employment for Cause. For purposes of this Agreement only,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shall have “Cause” to terminate the Executive's employment hereunder only on the basis of (i) fraud, misappropriation or embezzlement on the part of the Executive; or (ii)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76" w:name="page77"/>
    <w:bookmarkEnd w:id="76"/>
    <w:p>
      <w:pPr>
        <w:ind w:firstLine="656"/>
        <w:spacing w:after="0" w:line="316" w:lineRule="auto"/>
        <w:tabs>
          <w:tab w:leader="none" w:pos="956"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The Executive may terminate the Executive's employment for Good Reason at any time during the term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For purposes of this Agreement “Good Reason” shall mean any of the following (without the Executive's express written consent):</w:t>
      </w:r>
    </w:p>
    <w:p>
      <w:pPr>
        <w:spacing w:after="0" w:line="130" w:lineRule="exact"/>
        <w:rPr>
          <w:rFonts w:ascii="Arial" w:cs="Arial" w:eastAsia="Arial" w:hAnsi="Arial"/>
          <w:sz w:val="18"/>
          <w:szCs w:val="18"/>
          <w:color w:val="auto"/>
        </w:rPr>
      </w:pPr>
    </w:p>
    <w:p>
      <w:pPr>
        <w:jc w:val="both"/>
        <w:ind w:left="820" w:firstLine="647"/>
        <w:spacing w:after="0" w:line="278" w:lineRule="auto"/>
        <w:tabs>
          <w:tab w:leader="none" w:pos="177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assignment to the Executive by the Company of duties inconsistent with the Executive's position, duties,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65" w:lineRule="exact"/>
        <w:rPr>
          <w:rFonts w:ascii="Arial" w:cs="Arial" w:eastAsia="Arial" w:hAnsi="Arial"/>
          <w:sz w:val="18"/>
          <w:szCs w:val="18"/>
          <w:color w:val="auto"/>
        </w:rPr>
      </w:pPr>
    </w:p>
    <w:p>
      <w:pPr>
        <w:jc w:val="both"/>
        <w:ind w:left="820" w:firstLine="647"/>
        <w:spacing w:after="0" w:line="328" w:lineRule="auto"/>
        <w:tabs>
          <w:tab w:leader="none" w:pos="1762"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reduction by the Company in the Executive's base salary as in effect on the date hereof or as the same may be increased from time to time during the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28" w:lineRule="exact"/>
        <w:rPr>
          <w:rFonts w:ascii="Arial" w:cs="Arial" w:eastAsia="Arial" w:hAnsi="Arial"/>
          <w:sz w:val="16"/>
          <w:szCs w:val="16"/>
          <w:color w:val="auto"/>
        </w:rPr>
      </w:pPr>
    </w:p>
    <w:p>
      <w:pPr>
        <w:jc w:val="both"/>
        <w:ind w:left="820" w:firstLine="647"/>
        <w:spacing w:after="0" w:line="243" w:lineRule="auto"/>
        <w:tabs>
          <w:tab w:leader="none" w:pos="1839"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93" w:lineRule="exact"/>
        <w:rPr>
          <w:rFonts w:ascii="Arial" w:cs="Arial" w:eastAsia="Arial" w:hAnsi="Arial"/>
          <w:sz w:val="20"/>
          <w:szCs w:val="20"/>
          <w:color w:val="auto"/>
        </w:rPr>
      </w:pPr>
    </w:p>
    <w:p>
      <w:pPr>
        <w:jc w:val="both"/>
        <w:ind w:left="820" w:firstLine="647"/>
        <w:spacing w:after="0" w:line="257" w:lineRule="auto"/>
        <w:tabs>
          <w:tab w:leader="none" w:pos="1819" w:val="left"/>
        </w:tabs>
        <w:numPr>
          <w:ilvl w:val="1"/>
          <w:numId w:val="65"/>
        </w:numPr>
        <w:rPr>
          <w:rFonts w:ascii="Arial" w:cs="Arial" w:eastAsia="Arial" w:hAnsi="Arial"/>
          <w:sz w:val="19"/>
          <w:szCs w:val="19"/>
          <w:color w:val="auto"/>
        </w:rPr>
      </w:pPr>
      <w:r>
        <w:rPr>
          <w:rFonts w:ascii="Arial" w:cs="Arial" w:eastAsia="Arial" w:hAnsi="Arial"/>
          <w:sz w:val="19"/>
          <w:szCs w:val="19"/>
          <w:color w:val="auto"/>
        </w:rPr>
        <w:t>any failure by the Company to continue in effect any incentive plan or arrangement (including, without limitation, the Company's Officers Incentive Compensation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81" w:lineRule="exact"/>
        <w:rPr>
          <w:rFonts w:ascii="Arial" w:cs="Arial" w:eastAsia="Arial" w:hAnsi="Arial"/>
          <w:sz w:val="19"/>
          <w:szCs w:val="19"/>
          <w:color w:val="auto"/>
        </w:rPr>
      </w:pPr>
    </w:p>
    <w:p>
      <w:pPr>
        <w:jc w:val="both"/>
        <w:ind w:left="820" w:firstLine="647"/>
        <w:spacing w:after="0" w:line="282" w:lineRule="auto"/>
        <w:tabs>
          <w:tab w:leader="none" w:pos="175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61" w:lineRule="exact"/>
        <w:rPr>
          <w:rFonts w:ascii="Arial" w:cs="Arial" w:eastAsia="Arial" w:hAnsi="Arial"/>
          <w:sz w:val="18"/>
          <w:szCs w:val="18"/>
          <w:color w:val="auto"/>
        </w:rPr>
      </w:pPr>
    </w:p>
    <w:p>
      <w:pPr>
        <w:jc w:val="both"/>
        <w:ind w:left="820" w:firstLine="647"/>
        <w:spacing w:after="0" w:line="263" w:lineRule="auto"/>
        <w:tabs>
          <w:tab w:leader="none" w:pos="18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77" w:name="page78"/>
    <w:bookmarkEnd w:id="77"/>
    <w:p>
      <w:pPr>
        <w:ind w:left="820" w:firstLine="647"/>
        <w:spacing w:after="0" w:line="260" w:lineRule="auto"/>
        <w:tabs>
          <w:tab w:leader="none" w:pos="1869"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failure by the Company to provide the Executive with the number of paid vacation days to which the Executive is entitled at the time of a Change in Control of the Company;</w:t>
      </w:r>
    </w:p>
    <w:p>
      <w:pPr>
        <w:spacing w:after="0" w:line="176" w:lineRule="exact"/>
        <w:rPr>
          <w:rFonts w:ascii="Arial" w:cs="Arial" w:eastAsia="Arial" w:hAnsi="Arial"/>
          <w:sz w:val="20"/>
          <w:szCs w:val="20"/>
          <w:color w:val="auto"/>
        </w:rPr>
      </w:pPr>
    </w:p>
    <w:p>
      <w:pPr>
        <w:ind w:left="1920" w:hanging="453"/>
        <w:spacing w:after="0"/>
        <w:tabs>
          <w:tab w:leader="none" w:pos="19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material breach by the Company of any provision of this Agreement;</w:t>
      </w:r>
    </w:p>
    <w:p>
      <w:pPr>
        <w:spacing w:after="0" w:line="215" w:lineRule="exact"/>
        <w:rPr>
          <w:rFonts w:ascii="Arial" w:cs="Arial" w:eastAsia="Arial" w:hAnsi="Arial"/>
          <w:sz w:val="20"/>
          <w:szCs w:val="20"/>
          <w:color w:val="auto"/>
        </w:rPr>
      </w:pPr>
    </w:p>
    <w:p>
      <w:pPr>
        <w:ind w:left="1800" w:hanging="333"/>
        <w:spacing w:after="0"/>
        <w:tabs>
          <w:tab w:leader="none" w:pos="18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or</w:t>
      </w:r>
    </w:p>
    <w:p>
      <w:pPr>
        <w:spacing w:after="0" w:line="238" w:lineRule="exact"/>
        <w:rPr>
          <w:rFonts w:ascii="Arial" w:cs="Arial" w:eastAsia="Arial" w:hAnsi="Arial"/>
          <w:sz w:val="18"/>
          <w:szCs w:val="18"/>
          <w:color w:val="auto"/>
        </w:rPr>
      </w:pPr>
    </w:p>
    <w:p>
      <w:pPr>
        <w:ind w:left="820" w:firstLine="647"/>
        <w:spacing w:after="0" w:line="260" w:lineRule="auto"/>
        <w:tabs>
          <w:tab w:leader="none" w:pos="1779"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purported termination of the Executive's employment which is not effected pursuant to a Notice of Termination satisfying the requirements of Section 3(e) below.</w:t>
      </w:r>
    </w:p>
    <w:p>
      <w:pPr>
        <w:spacing w:after="0" w:line="176" w:lineRule="exact"/>
        <w:rPr>
          <w:rFonts w:ascii="Arial" w:cs="Arial" w:eastAsia="Arial" w:hAnsi="Arial"/>
          <w:sz w:val="20"/>
          <w:szCs w:val="20"/>
          <w:color w:val="auto"/>
        </w:rPr>
      </w:pPr>
    </w:p>
    <w:p>
      <w:pPr>
        <w:jc w:val="both"/>
        <w:ind w:firstLine="656"/>
        <w:spacing w:after="0" w:line="260" w:lineRule="auto"/>
        <w:tabs>
          <w:tab w:leader="none" w:pos="917"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Notice of Termination. </w:t>
      </w:r>
      <w:r>
        <w:rPr>
          <w:rFonts w:ascii="Arial" w:cs="Arial" w:eastAsia="Arial" w:hAnsi="Arial"/>
          <w:sz w:val="19"/>
          <w:szCs w:val="19"/>
          <w:color w:val="auto"/>
        </w:rPr>
        <w:t>Any termination by the Company pursuant to Section 3(a), (b) or (c) shall be communicated by a Notice of</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80" w:lineRule="exact"/>
        <w:rPr>
          <w:rFonts w:ascii="Arial" w:cs="Arial" w:eastAsia="Arial" w:hAnsi="Arial"/>
          <w:sz w:val="19"/>
          <w:szCs w:val="19"/>
          <w:color w:val="auto"/>
        </w:rPr>
      </w:pPr>
    </w:p>
    <w:p>
      <w:pPr>
        <w:jc w:val="both"/>
        <w:ind w:firstLine="656"/>
        <w:spacing w:after="0" w:line="258" w:lineRule="auto"/>
        <w:tabs>
          <w:tab w:leader="none" w:pos="895"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Date of Termination. </w:t>
      </w:r>
      <w:r>
        <w:rPr>
          <w:rFonts w:ascii="Arial" w:cs="Arial" w:eastAsia="Arial" w:hAnsi="Arial"/>
          <w:sz w:val="19"/>
          <w:szCs w:val="19"/>
          <w:color w:val="auto"/>
        </w:rPr>
        <w:t>“Date of Termination” shall mean (a) if this Agreement is terminated by the Company for Disability, 30 days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after Notice of Termination is given to the Executive (provided that the Executive shall not have returned to the performance of the Executive's duties on a full-time basis during such 30-day period) or (b) if the Executive's employment is terminated by the Company for any other reason, the date on which a Notice of Termination is given;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73" w:lineRule="exact"/>
        <w:rPr>
          <w:sz w:val="20"/>
          <w:szCs w:val="20"/>
          <w:color w:val="auto"/>
        </w:rPr>
      </w:pPr>
    </w:p>
    <w:p>
      <w:pPr>
        <w:jc w:val="both"/>
        <w:ind w:firstLine="656"/>
        <w:spacing w:after="0" w:line="260" w:lineRule="auto"/>
        <w:tabs>
          <w:tab w:leader="none" w:pos="86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Severance Compensation upon 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shall terminate the Executive's employment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389" w:lineRule="exact"/>
        <w:rPr>
          <w:rFonts w:ascii="Arial" w:cs="Arial" w:eastAsia="Arial" w:hAnsi="Arial"/>
          <w:sz w:val="19"/>
          <w:szCs w:val="19"/>
          <w:b w:val="1"/>
          <w:bCs w:val="1"/>
          <w:color w:val="auto"/>
        </w:rPr>
      </w:pPr>
    </w:p>
    <w:p>
      <w:pPr>
        <w:ind w:left="860" w:hanging="204"/>
        <w:spacing w:after="0"/>
        <w:tabs>
          <w:tab w:leader="none" w:pos="8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Excise Tax-Additional Payment.</w:t>
      </w:r>
    </w:p>
    <w:p>
      <w:pPr>
        <w:spacing w:after="0" w:line="222" w:lineRule="exact"/>
        <w:rPr>
          <w:sz w:val="20"/>
          <w:szCs w:val="20"/>
          <w:color w:val="auto"/>
        </w:rPr>
      </w:pPr>
    </w:p>
    <w:p>
      <w:pPr>
        <w:jc w:val="both"/>
        <w:ind w:firstLine="656"/>
        <w:spacing w:after="0" w:line="272" w:lineRule="auto"/>
        <w:tabs>
          <w:tab w:leader="none" w:pos="9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71" w:lineRule="exact"/>
        <w:rPr>
          <w:rFonts w:ascii="Arial" w:cs="Arial" w:eastAsia="Arial" w:hAnsi="Arial"/>
          <w:sz w:val="18"/>
          <w:szCs w:val="18"/>
          <w:color w:val="auto"/>
        </w:rPr>
      </w:pPr>
    </w:p>
    <w:p>
      <w:pPr>
        <w:jc w:val="both"/>
        <w:ind w:firstLine="656"/>
        <w:spacing w:after="0" w:line="250" w:lineRule="auto"/>
        <w:tabs>
          <w:tab w:leader="none" w:pos="929"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8" w:name="page79"/>
    <w:bookmarkEnd w:id="78"/>
    <w:p>
      <w:pPr>
        <w:jc w:val="both"/>
        <w:spacing w:after="0" w:line="270" w:lineRule="auto"/>
        <w:rPr>
          <w:sz w:val="20"/>
          <w:szCs w:val="20"/>
          <w:color w:val="auto"/>
        </w:rPr>
      </w:pPr>
      <w:r>
        <w:rPr>
          <w:rFonts w:ascii="Arial" w:cs="Arial" w:eastAsia="Arial" w:hAnsi="Arial"/>
          <w:sz w:val="18"/>
          <w:szCs w:val="18"/>
          <w:color w:val="auto"/>
        </w:rPr>
        <w:t>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 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77" w:lineRule="exact"/>
        <w:rPr>
          <w:sz w:val="20"/>
          <w:szCs w:val="20"/>
          <w:color w:val="auto"/>
        </w:rPr>
      </w:pPr>
    </w:p>
    <w:p>
      <w:pPr>
        <w:jc w:val="both"/>
        <w:ind w:firstLine="656"/>
        <w:spacing w:after="0" w:line="276" w:lineRule="auto"/>
        <w:tabs>
          <w:tab w:leader="none" w:pos="9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65" w:lineRule="exact"/>
        <w:rPr>
          <w:rFonts w:ascii="Arial" w:cs="Arial" w:eastAsia="Arial" w:hAnsi="Arial"/>
          <w:sz w:val="18"/>
          <w:szCs w:val="18"/>
          <w:color w:val="auto"/>
        </w:rPr>
      </w:pPr>
    </w:p>
    <w:p>
      <w:pPr>
        <w:ind w:left="1540" w:hanging="235"/>
        <w:spacing w:after="0"/>
        <w:tabs>
          <w:tab w:leader="none" w:pos="15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give the Company any information reasonably requested relating to such claim,</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606" w:val="left"/>
        </w:tabs>
        <w:numPr>
          <w:ilvl w:val="1"/>
          <w:numId w:val="70"/>
        </w:numPr>
        <w:rPr>
          <w:rFonts w:ascii="Arial" w:cs="Arial" w:eastAsia="Arial" w:hAnsi="Arial"/>
          <w:sz w:val="20"/>
          <w:szCs w:val="20"/>
          <w:color w:val="auto"/>
        </w:rPr>
      </w:pPr>
      <w:r>
        <w:rPr>
          <w:rFonts w:ascii="Arial" w:cs="Arial" w:eastAsia="Arial" w:hAnsi="Arial"/>
          <w:sz w:val="20"/>
          <w:szCs w:val="20"/>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86" w:lineRule="exact"/>
        <w:rPr>
          <w:rFonts w:ascii="Arial" w:cs="Arial" w:eastAsia="Arial" w:hAnsi="Arial"/>
          <w:sz w:val="20"/>
          <w:szCs w:val="20"/>
          <w:color w:val="auto"/>
        </w:rPr>
      </w:pPr>
    </w:p>
    <w:p>
      <w:pPr>
        <w:ind w:left="1660" w:hanging="355"/>
        <w:spacing w:after="0"/>
        <w:tabs>
          <w:tab w:leader="none" w:pos="16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cooperate with the Company in good faith in order effectively to contest such claim, and</w:t>
      </w:r>
    </w:p>
    <w:p>
      <w:pPr>
        <w:spacing w:after="0" w:line="215" w:lineRule="exact"/>
        <w:rPr>
          <w:rFonts w:ascii="Arial" w:cs="Arial" w:eastAsia="Arial" w:hAnsi="Arial"/>
          <w:sz w:val="20"/>
          <w:szCs w:val="20"/>
          <w:color w:val="auto"/>
        </w:rPr>
      </w:pPr>
    </w:p>
    <w:p>
      <w:pPr>
        <w:ind w:left="1640" w:hanging="335"/>
        <w:spacing w:after="0"/>
        <w:tabs>
          <w:tab w:leader="none" w:pos="16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permit the Company to participate in any proceedings relating to such claim;</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bear and pay directly all costs and expenses (including additional interest and penalties)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w:t>
      </w:r>
      <w:r>
        <w:rPr>
          <w:rFonts w:ascii="Arial" w:cs="Arial" w:eastAsia="Arial" w:hAnsi="Arial"/>
          <w:sz w:val="18"/>
          <w:szCs w:val="18"/>
          <w:i w:val="1"/>
          <w:iCs w:val="1"/>
          <w:color w:val="auto"/>
        </w:rPr>
        <w:t>further provided</w:t>
      </w:r>
      <w:r>
        <w:rPr>
          <w:rFonts w:ascii="Arial" w:cs="Arial" w:eastAsia="Arial" w:hAnsi="Arial"/>
          <w:sz w:val="18"/>
          <w:szCs w:val="18"/>
          <w:color w:val="auto"/>
        </w:rPr>
        <w:t>, that any extension of the statue of limitations relating to payment of taxes for the taxable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79" w:name="page80"/>
    <w:bookmarkEnd w:id="79"/>
    <w:p>
      <w:pPr>
        <w:jc w:val="both"/>
        <w:ind w:firstLine="656"/>
        <w:spacing w:after="0" w:line="257" w:lineRule="auto"/>
        <w:tabs>
          <w:tab w:leader="none" w:pos="942"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after the receipt by the Executive of an amount advanced by the Company or the subsidiary pursuant to paragraph 5(c), the Executive becomes entitled to receive any refund with respect to such claim, the Executive shall (subject to compliance with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81" w:lineRule="exact"/>
        <w:rPr>
          <w:rFonts w:ascii="Arial" w:cs="Arial" w:eastAsia="Arial" w:hAnsi="Arial"/>
          <w:sz w:val="19"/>
          <w:szCs w:val="19"/>
          <w:color w:val="auto"/>
        </w:rPr>
      </w:pPr>
    </w:p>
    <w:p>
      <w:pPr>
        <w:jc w:val="both"/>
        <w:ind w:firstLine="206"/>
        <w:spacing w:after="0" w:line="246" w:lineRule="auto"/>
        <w:tabs>
          <w:tab w:leader="none" w:pos="467" w:val="left"/>
        </w:tabs>
        <w:numPr>
          <w:ilvl w:val="0"/>
          <w:numId w:val="72"/>
        </w:numPr>
        <w:rPr>
          <w:rFonts w:ascii="Arial" w:cs="Arial" w:eastAsia="Arial" w:hAnsi="Arial"/>
          <w:sz w:val="20"/>
          <w:szCs w:val="20"/>
          <w:color w:val="auto"/>
        </w:rPr>
      </w:pPr>
      <w:r>
        <w:rPr>
          <w:rFonts w:ascii="Arial" w:cs="Arial" w:eastAsia="Arial" w:hAnsi="Arial"/>
          <w:sz w:val="20"/>
          <w:szCs w:val="20"/>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86" w:lineRule="exact"/>
        <w:rPr>
          <w:sz w:val="20"/>
          <w:szCs w:val="20"/>
          <w:color w:val="auto"/>
        </w:rPr>
      </w:pPr>
    </w:p>
    <w:p>
      <w:pPr>
        <w:ind w:left="860" w:hanging="204"/>
        <w:spacing w:after="0"/>
        <w:tabs>
          <w:tab w:leader="none" w:pos="86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Obligation To Mitigate Damages; No Effect on Other Contractual Rights</w:t>
      </w:r>
      <w:r>
        <w:rPr>
          <w:rFonts w:ascii="Arial" w:cs="Arial" w:eastAsia="Arial" w:hAnsi="Arial"/>
          <w:sz w:val="20"/>
          <w:szCs w:val="20"/>
          <w:color w:val="auto"/>
        </w:rPr>
        <w:t>.</w:t>
      </w:r>
    </w:p>
    <w:p>
      <w:pPr>
        <w:spacing w:after="0" w:line="222" w:lineRule="exact"/>
        <w:rPr>
          <w:sz w:val="20"/>
          <w:szCs w:val="20"/>
          <w:color w:val="auto"/>
        </w:rPr>
      </w:pPr>
    </w:p>
    <w:p>
      <w:pPr>
        <w:jc w:val="both"/>
        <w:ind w:firstLine="656"/>
        <w:spacing w:after="0" w:line="269" w:lineRule="auto"/>
        <w:tabs>
          <w:tab w:leader="none" w:pos="93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70" w:lineRule="exact"/>
        <w:rPr>
          <w:rFonts w:ascii="Arial" w:cs="Arial" w:eastAsia="Arial" w:hAnsi="Arial"/>
          <w:sz w:val="19"/>
          <w:szCs w:val="19"/>
          <w:color w:val="auto"/>
        </w:rPr>
      </w:pPr>
    </w:p>
    <w:p>
      <w:pPr>
        <w:jc w:val="both"/>
        <w:ind w:firstLine="656"/>
        <w:spacing w:after="0" w:line="250" w:lineRule="auto"/>
        <w:tabs>
          <w:tab w:leader="none" w:pos="929"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80" w:lineRule="exact"/>
        <w:rPr>
          <w:sz w:val="20"/>
          <w:szCs w:val="20"/>
          <w:color w:val="auto"/>
        </w:rPr>
      </w:pPr>
    </w:p>
    <w:p>
      <w:pPr>
        <w:ind w:left="860" w:hanging="204"/>
        <w:spacing w:after="0"/>
        <w:tabs>
          <w:tab w:leader="none" w:pos="86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 to the Company</w:t>
      </w:r>
      <w:r>
        <w:rPr>
          <w:rFonts w:ascii="Arial" w:cs="Arial" w:eastAsia="Arial" w:hAnsi="Arial"/>
          <w:sz w:val="20"/>
          <w:szCs w:val="20"/>
          <w:b w:val="1"/>
          <w:bCs w:val="1"/>
          <w:i w:val="1"/>
          <w:iCs w:val="1"/>
          <w:color w:val="auto"/>
        </w:rPr>
        <w:t>.</w:t>
      </w:r>
    </w:p>
    <w:p>
      <w:pPr>
        <w:spacing w:after="0" w:line="222" w:lineRule="exact"/>
        <w:rPr>
          <w:sz w:val="20"/>
          <w:szCs w:val="20"/>
          <w:color w:val="auto"/>
        </w:rPr>
      </w:pPr>
    </w:p>
    <w:p>
      <w:pPr>
        <w:jc w:val="both"/>
        <w:ind w:firstLine="656"/>
        <w:spacing w:after="0" w:line="273" w:lineRule="auto"/>
        <w:tabs>
          <w:tab w:leader="none" w:pos="9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69" w:lineRule="exact"/>
        <w:rPr>
          <w:rFonts w:ascii="Arial" w:cs="Arial" w:eastAsia="Arial" w:hAnsi="Arial"/>
          <w:sz w:val="18"/>
          <w:szCs w:val="18"/>
          <w:color w:val="auto"/>
        </w:rPr>
      </w:pPr>
    </w:p>
    <w:p>
      <w:pPr>
        <w:jc w:val="both"/>
        <w:ind w:firstLine="656"/>
        <w:spacing w:after="0" w:line="263" w:lineRule="auto"/>
        <w:tabs>
          <w:tab w:leader="none" w:pos="942"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 shall be paid in accordance with the terms of this Agreement to the Executive's devisee, legatee, or other designee or, if there be no such designee, to the Executive's estate.</w:t>
      </w:r>
    </w:p>
    <w:p>
      <w:pPr>
        <w:spacing w:after="0" w:line="171" w:lineRule="exact"/>
        <w:rPr>
          <w:sz w:val="20"/>
          <w:szCs w:val="20"/>
          <w:color w:val="auto"/>
        </w:rPr>
      </w:pPr>
    </w:p>
    <w:p>
      <w:pPr>
        <w:jc w:val="both"/>
        <w:ind w:firstLine="656"/>
        <w:spacing w:after="0" w:line="253" w:lineRule="auto"/>
        <w:tabs>
          <w:tab w:leader="none" w:pos="846"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Guaranty of Employment</w:t>
      </w:r>
      <w:r>
        <w:rPr>
          <w:rFonts w:ascii="Arial" w:cs="Arial" w:eastAsia="Arial" w:hAnsi="Arial"/>
          <w:sz w:val="20"/>
          <w:szCs w:val="20"/>
          <w:color w:val="auto"/>
        </w:rPr>
        <w:t>. Nothing in this Agreement shall be deemed to entitle the Executive to continued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prior to a Change of Control, and the rights of the Company to terminate the employment of the Executive, prior to a Change of Control, shall continue as fully as if this Agreement were not in effect.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80" w:name="page81"/>
    <w:bookmarkEnd w:id="80"/>
    <w:p>
      <w:pPr>
        <w:jc w:val="both"/>
        <w:ind w:firstLine="656"/>
        <w:spacing w:after="0" w:line="253" w:lineRule="auto"/>
        <w:tabs>
          <w:tab w:leader="none" w:pos="846"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color w:val="auto"/>
        </w:rPr>
        <w:t>. For purposes of this Agreement, notices and all other communications provided for in the Agreement shall be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when delivered or mailed by United States registered mail, return receipt registered, postage prepaid,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Winnebago Industries,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Attn: Chairman of the Board</w:t>
      </w:r>
    </w:p>
    <w:p>
      <w:pPr>
        <w:ind w:left="1300"/>
        <w:spacing w:after="0"/>
        <w:rPr>
          <w:sz w:val="20"/>
          <w:szCs w:val="20"/>
          <w:color w:val="auto"/>
        </w:rPr>
      </w:pPr>
      <w:r>
        <w:rPr>
          <w:rFonts w:ascii="Arial" w:cs="Arial" w:eastAsia="Arial" w:hAnsi="Arial"/>
          <w:sz w:val="20"/>
          <w:szCs w:val="20"/>
          <w:color w:val="auto"/>
        </w:rPr>
        <w:t>605 W. Crystal Lake Road</w:t>
      </w:r>
    </w:p>
    <w:p>
      <w:pPr>
        <w:ind w:left="1300"/>
        <w:spacing w:after="0"/>
        <w:rPr>
          <w:sz w:val="20"/>
          <w:szCs w:val="20"/>
          <w:color w:val="auto"/>
        </w:rPr>
      </w:pPr>
      <w:r>
        <w:rPr>
          <w:rFonts w:ascii="Arial" w:cs="Arial" w:eastAsia="Arial" w:hAnsi="Arial"/>
          <w:sz w:val="20"/>
          <w:szCs w:val="20"/>
          <w:color w:val="auto"/>
        </w:rPr>
        <w:t>P.O. Box 152</w:t>
      </w:r>
    </w:p>
    <w:p>
      <w:pPr>
        <w:ind w:left="1300"/>
        <w:spacing w:after="0"/>
        <w:rPr>
          <w:sz w:val="20"/>
          <w:szCs w:val="20"/>
          <w:color w:val="auto"/>
        </w:rPr>
      </w:pPr>
      <w:r>
        <w:rPr>
          <w:rFonts w:ascii="Arial" w:cs="Arial" w:eastAsia="Arial" w:hAnsi="Arial"/>
          <w:sz w:val="20"/>
          <w:szCs w:val="20"/>
          <w:color w:val="auto"/>
        </w:rPr>
        <w:t>Forest City, Iowa 50436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Executive: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Scott C. Folkers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910 Division Street</w:t>
      </w:r>
    </w:p>
    <w:p>
      <w:pPr>
        <w:ind w:left="1300"/>
        <w:spacing w:after="0"/>
        <w:rPr>
          <w:sz w:val="20"/>
          <w:szCs w:val="20"/>
          <w:color w:val="auto"/>
        </w:rPr>
      </w:pPr>
      <w:r>
        <w:rPr>
          <w:rFonts w:ascii="Arial" w:cs="Arial" w:eastAsia="Arial" w:hAnsi="Arial"/>
          <w:sz w:val="20"/>
          <w:szCs w:val="20"/>
          <w:color w:val="auto"/>
        </w:rPr>
        <w:t>Garner, IA 50438</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or such other address as either party may have furnished to the other in writing in accordance herewith, except that notices of change of address shall be effective only upon receipt.</w:t>
      </w:r>
    </w:p>
    <w:p>
      <w:pPr>
        <w:spacing w:after="0" w:line="171" w:lineRule="exact"/>
        <w:rPr>
          <w:sz w:val="20"/>
          <w:szCs w:val="20"/>
          <w:color w:val="auto"/>
        </w:rPr>
      </w:pPr>
    </w:p>
    <w:p>
      <w:pPr>
        <w:jc w:val="both"/>
        <w:ind w:firstLine="656"/>
        <w:spacing w:after="0" w:line="277" w:lineRule="auto"/>
        <w:tabs>
          <w:tab w:leader="none" w:pos="97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No provisions of this Agreement may be modified, waived or discharged unless such waiver, modification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60" w:lineRule="exact"/>
        <w:rPr>
          <w:rFonts w:ascii="Arial" w:cs="Arial" w:eastAsia="Arial" w:hAnsi="Arial"/>
          <w:sz w:val="18"/>
          <w:szCs w:val="18"/>
          <w:b w:val="1"/>
          <w:bCs w:val="1"/>
          <w:color w:val="auto"/>
        </w:rPr>
      </w:pPr>
    </w:p>
    <w:p>
      <w:pPr>
        <w:ind w:firstLine="656"/>
        <w:spacing w:after="0" w:line="267" w:lineRule="auto"/>
        <w:tabs>
          <w:tab w:leader="none" w:pos="934"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Validity</w:t>
      </w:r>
      <w:r>
        <w:rPr>
          <w:rFonts w:ascii="Arial" w:cs="Arial" w:eastAsia="Arial" w:hAnsi="Arial"/>
          <w:sz w:val="20"/>
          <w:szCs w:val="20"/>
          <w:color w:val="auto"/>
        </w:rPr>
        <w:t>. The invalidity or unenforceability of any provisions of this Agreement shall not affect the validity or enforceability of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provision of this Agreement, which shall remain in full force and effect.</w:t>
      </w:r>
    </w:p>
    <w:p>
      <w:pPr>
        <w:spacing w:after="0" w:line="163" w:lineRule="exact"/>
        <w:rPr>
          <w:rFonts w:ascii="Arial" w:cs="Arial" w:eastAsia="Arial" w:hAnsi="Arial"/>
          <w:sz w:val="20"/>
          <w:szCs w:val="20"/>
          <w:b w:val="1"/>
          <w:bCs w:val="1"/>
          <w:color w:val="auto"/>
        </w:rPr>
      </w:pPr>
    </w:p>
    <w:p>
      <w:pPr>
        <w:ind w:firstLine="656"/>
        <w:spacing w:after="0" w:line="267" w:lineRule="auto"/>
        <w:tabs>
          <w:tab w:leader="none" w:pos="945"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one or more counterparts, each of which shall be deemed to be an original but</w:t>
      </w:r>
      <w:r>
        <w:rPr>
          <w:rFonts w:ascii="Arial" w:cs="Arial" w:eastAsia="Arial" w:hAnsi="Arial"/>
          <w:sz w:val="20"/>
          <w:szCs w:val="20"/>
          <w:b w:val="1"/>
          <w:bCs w:val="1"/>
          <w:color w:val="auto"/>
        </w:rPr>
        <w:t xml:space="preserve"> </w:t>
      </w:r>
      <w:r>
        <w:rPr>
          <w:rFonts w:ascii="Arial" w:cs="Arial" w:eastAsia="Arial" w:hAnsi="Arial"/>
          <w:sz w:val="20"/>
          <w:szCs w:val="20"/>
          <w:color w:val="auto"/>
        </w:rPr>
        <w:t>all of which together will constitute one and the same instrument.</w:t>
      </w:r>
    </w:p>
    <w:p>
      <w:pPr>
        <w:spacing w:after="0" w:line="163" w:lineRule="exact"/>
        <w:rPr>
          <w:rFonts w:ascii="Arial" w:cs="Arial" w:eastAsia="Arial" w:hAnsi="Arial"/>
          <w:sz w:val="20"/>
          <w:szCs w:val="20"/>
          <w:b w:val="1"/>
          <w:bCs w:val="1"/>
          <w:color w:val="auto"/>
        </w:rPr>
      </w:pPr>
    </w:p>
    <w:p>
      <w:pPr>
        <w:ind w:firstLine="656"/>
        <w:spacing w:after="0" w:line="293" w:lineRule="auto"/>
        <w:tabs>
          <w:tab w:leader="none" w:pos="959"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Legal Fees and Expenses</w:t>
      </w:r>
      <w:r>
        <w:rPr>
          <w:rFonts w:ascii="Arial" w:cs="Arial" w:eastAsia="Arial" w:hAnsi="Arial"/>
          <w:sz w:val="19"/>
          <w:szCs w:val="19"/>
          <w:color w:val="auto"/>
        </w:rPr>
        <w:t>. The Company shall pay all legal fees and expenses which the Executive may incur as a result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contesting the validity, enforceability or the Executive's interpretation of, or determinations under, this Agreement.</w:t>
      </w:r>
    </w:p>
    <w:p>
      <w:pPr>
        <w:spacing w:after="0" w:line="141" w:lineRule="exact"/>
        <w:rPr>
          <w:rFonts w:ascii="Arial" w:cs="Arial" w:eastAsia="Arial" w:hAnsi="Arial"/>
          <w:sz w:val="19"/>
          <w:szCs w:val="19"/>
          <w:b w:val="1"/>
          <w:bCs w:val="1"/>
          <w:color w:val="auto"/>
        </w:rPr>
      </w:pPr>
    </w:p>
    <w:p>
      <w:pPr>
        <w:ind w:firstLine="656"/>
        <w:spacing w:after="0" w:line="267" w:lineRule="auto"/>
        <w:tabs>
          <w:tab w:leader="none" w:pos="945"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 The Executive shall retain in confidence any and all confidential information known to the Executive concerning</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its business so long as such information is not otherwise publicly disclosed.</w:t>
      </w:r>
    </w:p>
    <w:p>
      <w:pPr>
        <w:spacing w:after="0" w:line="163" w:lineRule="exact"/>
        <w:rPr>
          <w:rFonts w:ascii="Arial" w:cs="Arial" w:eastAsia="Arial" w:hAnsi="Arial"/>
          <w:sz w:val="20"/>
          <w:szCs w:val="20"/>
          <w:b w:val="1"/>
          <w:bCs w:val="1"/>
          <w:color w:val="auto"/>
        </w:rPr>
      </w:pPr>
    </w:p>
    <w:p>
      <w:pPr>
        <w:jc w:val="both"/>
        <w:ind w:firstLine="656"/>
        <w:spacing w:after="0" w:line="253" w:lineRule="auto"/>
        <w:tabs>
          <w:tab w:leader="none" w:pos="945"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is intended to satisfy the short-term deferral exception to Internal Revenue code Section 409A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regulations thereunder. This Agreement shall be administered accordingly; and if necessary, amended to ensure satisfaction of the short-term deferral exception.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set out above.</w:t>
      </w:r>
    </w:p>
    <w:p>
      <w:pPr>
        <w:sectPr>
          <w:pgSz w:w="11900" w:h="16838" w:orient="portrait"/>
          <w:cols w:equalWidth="0" w:num="1">
            <w:col w:w="9559"/>
          </w:cols>
          <w:pgMar w:left="900" w:top="576"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WINNEBAGO INDUSTRIES, INC.</w:t>
      </w:r>
    </w:p>
    <w:p>
      <w:pPr>
        <w:spacing w:after="0" w:line="200" w:lineRule="exact"/>
        <w:rPr>
          <w:sz w:val="20"/>
          <w:szCs w:val="20"/>
          <w:color w:val="auto"/>
        </w:rPr>
      </w:pPr>
    </w:p>
    <w:p>
      <w:pPr>
        <w:spacing w:after="0" w:line="270"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i w:val="1"/>
          <w:iCs w:val="1"/>
          <w:color w:val="auto"/>
        </w:rPr>
        <w:t>/s/ Randy J. Potts</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Randy J. Potts</w:t>
      </w:r>
    </w:p>
    <w:p>
      <w:pPr>
        <w:ind w:left="258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43"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EXECUTIVE:</w:t>
      </w:r>
    </w:p>
    <w:p>
      <w:pPr>
        <w:spacing w:after="0" w:line="229" w:lineRule="exact"/>
        <w:rPr>
          <w:sz w:val="20"/>
          <w:szCs w:val="20"/>
          <w:color w:val="auto"/>
        </w:rPr>
      </w:pPr>
    </w:p>
    <w:p>
      <w:pPr>
        <w:ind w:left="2580"/>
        <w:spacing w:after="0"/>
        <w:rPr>
          <w:sz w:val="20"/>
          <w:szCs w:val="20"/>
          <w:color w:val="auto"/>
        </w:rPr>
      </w:pPr>
      <w:r>
        <w:rPr>
          <w:rFonts w:ascii="Arial" w:cs="Arial" w:eastAsia="Arial" w:hAnsi="Arial"/>
          <w:sz w:val="20"/>
          <w:szCs w:val="20"/>
          <w:i w:val="1"/>
          <w:iCs w:val="1"/>
          <w:color w:val="auto"/>
        </w:rPr>
        <w:t>/s/ Scott C. Folkers</w:t>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Scott C. Folkers</w:t>
      </w:r>
    </w:p>
    <w:p>
      <w:pPr>
        <w:spacing w:after="0" w:line="200" w:lineRule="exact"/>
        <w:rPr>
          <w:sz w:val="20"/>
          <w:szCs w:val="20"/>
          <w:color w:val="auto"/>
        </w:rPr>
      </w:pPr>
    </w:p>
    <w:p>
      <w:pPr>
        <w:spacing w:after="0" w:line="25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59"/>
          </w:cols>
          <w:pgMar w:left="900" w:top="576" w:right="1440"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Jurisdiction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3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Winnebago Industries, Inc.</w:t>
            </w: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Winnebago of Indiana, LLC</w:t>
            </w: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675"/>
        </w:trPr>
        <w:tc>
          <w:tcPr>
            <w:tcW w:w="3820" w:type="dxa"/>
            <w:vAlign w:val="bottom"/>
          </w:tcPr>
          <w:p>
            <w:pPr>
              <w:spacing w:after="0"/>
              <w:rPr>
                <w:sz w:val="24"/>
                <w:szCs w:val="24"/>
                <w:color w:val="auto"/>
              </w:rPr>
            </w:pPr>
          </w:p>
        </w:tc>
        <w:tc>
          <w:tcPr>
            <w:tcW w:w="3040" w:type="dxa"/>
            <w:vAlign w:val="bottom"/>
          </w:tcPr>
          <w:p>
            <w:pPr>
              <w:jc w:val="right"/>
              <w:ind w:right="979"/>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on Form S-8 (No. 333-31595, No. 333-47123, and No. 333-113246) and on Form S-3 No. 333-165541 of our reports dated October 23, 2012, relating to the consolidated financial statements of Winnebago Industries, Inc. (the “Company”) and the effectiveness of the Company’s internal control over financial reporting, appearing in the Annual Report on Form 10-K of Winnebago Industries, Inc. for the year ended August 25, 2012.</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23,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80"/>
          </w:cols>
          <w:pgMar w:left="240" w:top="576" w:right="27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153"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60"/>
          </w:cols>
          <w:pgMar w:left="240" w:top="630" w:right="29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42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Chief Financial Officer</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576" w:right="29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w:t>
      </w: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25, 2012, I, Randy Potts, Chief Executive Officer and President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25,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60"/>
          </w:cols>
          <w:pgMar w:left="240" w:top="630" w:right="29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25, 2012,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25, 2012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23,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decimal"/>
      <w:start w:val="3"/>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lvl w:ilvl="1">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
      <w:numFmt w:val="bullet"/>
      <w:start w:val="1"/>
    </w:lvl>
    <w:lvl w:ilvl="1">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1."/>
      <w:numFmt w:val="decimal"/>
      <w:start w:val="21"/>
    </w:lvl>
  </w:abstractNum>
  <w:abstractNum w:abstractNumId="27">
    <w:nsid w:val="649BB77C"/>
    <w:multiLevelType w:val="hybridMultilevel"/>
    <w:lvl w:ilvl="0">
      <w:lvlJc w:val="left"/>
      <w:lvlText w:val="%1."/>
      <w:numFmt w:val="decimal"/>
      <w:start w:val="23"/>
    </w:lvl>
  </w:abstractNum>
  <w:abstractNum w:abstractNumId="28">
    <w:nsid w:val="275AC794"/>
    <w:multiLevelType w:val="hybridMultilevel"/>
    <w:lvl w:ilvl="0">
      <w:lvlJc w:val="left"/>
      <w:lvlText w:val="(%1)"/>
      <w:numFmt w:val="lowerRoman"/>
      <w:start w:val="4"/>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3"/>
    </w:lvl>
  </w:abstractNum>
  <w:abstractNum w:abstractNumId="31">
    <w:nsid w:val="180115BE"/>
    <w:multiLevelType w:val="hybridMultilevel"/>
    <w:lvl w:ilvl="0">
      <w:lvlJc w:val="left"/>
      <w:lvlText w:val="%1."/>
      <w:numFmt w:val="upperLetter"/>
      <w:start w:val="1"/>
    </w:lvl>
  </w:abstractNum>
  <w:abstractNum w:abstractNumId="32">
    <w:nsid w:val="235BA861"/>
    <w:multiLevelType w:val="hybridMultilevel"/>
    <w:lvl w:ilvl="0">
      <w:lvlJc w:val="left"/>
      <w:lvlText w:val="%1."/>
      <w:numFmt w:val="upperLetter"/>
      <w:start w:val="1"/>
    </w:lvl>
  </w:abstractNum>
  <w:abstractNum w:abstractNumId="33">
    <w:nsid w:val="47398C89"/>
    <w:multiLevelType w:val="hybridMultilevel"/>
    <w:lvl w:ilvl="0">
      <w:lvlJc w:val="left"/>
      <w:lvlText w:val="%1."/>
      <w:numFmt w:val="upperLetter"/>
      <w:start w:val="1"/>
    </w:lvl>
    <w:lvl w:ilvl="1">
      <w:lvlJc w:val="left"/>
      <w:lvlText w:val="(%2)"/>
      <w:numFmt w:val="decimal"/>
      <w:start w:val="1"/>
    </w:lvl>
  </w:abstractNum>
  <w:abstractNum w:abstractNumId="34">
    <w:nsid w:val="354FE9F9"/>
    <w:multiLevelType w:val="hybridMultilevel"/>
    <w:lvl w:ilvl="0">
      <w:lvlJc w:val="left"/>
      <w:lvlText w:val="%1"/>
      <w:numFmt w:val="upperLetter"/>
      <w:start w:val="1"/>
    </w:lvl>
    <w:lvl w:ilvl="1">
      <w:lvlJc w:val="left"/>
      <w:lvlText w:val="(%2)"/>
      <w:numFmt w:val="decimal"/>
      <w:start w:val="3"/>
    </w:lvl>
  </w:abstractNum>
  <w:abstractNum w:abstractNumId="35">
    <w:nsid w:val="15B5AF5C"/>
    <w:multiLevelType w:val="hybridMultilevel"/>
    <w:lvl w:ilvl="0">
      <w:lvlJc w:val="left"/>
      <w:lvlText w:val="%1."/>
      <w:numFmt w:val="upperLetter"/>
      <w:start w:val="2"/>
    </w:lvl>
    <w:lvl w:ilvl="1">
      <w:lvlJc w:val="left"/>
      <w:lvlText w:val="%2"/>
      <w:numFmt w:val="decimal"/>
      <w:start w:val="1"/>
    </w:lvl>
  </w:abstractNum>
  <w:abstractNum w:abstractNumId="36">
    <w:nsid w:val="741226BB"/>
    <w:multiLevelType w:val="hybridMultilevel"/>
    <w:lvl w:ilvl="0">
      <w:lvlJc w:val="left"/>
      <w:lvlText w:val="%1."/>
      <w:numFmt w:val="upperLetter"/>
      <w:start w:val="1"/>
    </w:lvl>
  </w:abstractNum>
  <w:abstractNum w:abstractNumId="37">
    <w:nsid w:val="D34B6A8"/>
    <w:multiLevelType w:val="hybridMultilevel"/>
    <w:lvl w:ilvl="0">
      <w:lvlJc w:val="left"/>
      <w:lvlText w:val="%1."/>
      <w:numFmt w:val="upperLetter"/>
      <w:start w:val="7"/>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Letter"/>
      <w:start w:val="2"/>
    </w:lvl>
  </w:abstractNum>
  <w:abstractNum w:abstractNumId="41">
    <w:nsid w:val="7E0C57B1"/>
    <w:multiLevelType w:val="hybridMultilevel"/>
    <w:lvl w:ilvl="0">
      <w:lvlJc w:val="left"/>
      <w:lvlText w:val="%1"/>
      <w:numFmt w:val="lowerLetter"/>
      <w:start w:val="1"/>
    </w:lvl>
    <w:lvl w:ilvl="1">
      <w:lvlJc w:val="left"/>
      <w:lvlText w:val="%2."/>
      <w:numFmt w:val="decimal"/>
      <w:start w:val="3"/>
    </w:lvl>
  </w:abstractNum>
  <w:abstractNum w:abstractNumId="42">
    <w:nsid w:val="77AE35EB"/>
    <w:multiLevelType w:val="hybridMultilevel"/>
    <w:lvl w:ilvl="0">
      <w:lvlJc w:val="left"/>
      <w:lvlText w:val="(%1)"/>
      <w:numFmt w:val="lowerLetter"/>
      <w:start w:val="1"/>
    </w:lvl>
    <w:lvl w:ilvl="1">
      <w:lvlJc w:val="left"/>
      <w:lvlText w:val="%2"/>
      <w:numFmt w:val="decimal"/>
      <w:start w:val="1"/>
    </w:lvl>
  </w:abstractNum>
  <w:abstractNum w:abstractNumId="43">
    <w:nsid w:val="579BE4F1"/>
    <w:multiLevelType w:val="hybridMultilevel"/>
    <w:lvl w:ilvl="0">
      <w:lvlJc w:val="left"/>
      <w:lvlText w:val="(%1)"/>
      <w:numFmt w:val="lowerLetter"/>
      <w:start w:val="2"/>
    </w:lvl>
  </w:abstractNum>
  <w:abstractNum w:abstractNumId="44">
    <w:nsid w:val="310C50B3"/>
    <w:multiLevelType w:val="hybridMultilevel"/>
    <w:lvl w:ilvl="0">
      <w:lvlJc w:val="left"/>
      <w:lvlText w:val="(%1)"/>
      <w:numFmt w:val="lowerLetter"/>
      <w:start w:val="4"/>
    </w:lvl>
  </w:abstractNum>
  <w:abstractNum w:abstractNumId="45">
    <w:nsid w:val="5FF87E05"/>
    <w:multiLevelType w:val="hybridMultilevel"/>
    <w:lvl w:ilvl="0">
      <w:lvlJc w:val="left"/>
      <w:lvlText w:val="(%1)"/>
      <w:numFmt w:val="lowerRoman"/>
      <w:start w:val="1"/>
    </w:lvl>
  </w:abstractNum>
  <w:abstractNum w:abstractNumId="46">
    <w:nsid w:val="2F305DEF"/>
    <w:multiLevelType w:val="hybridMultilevel"/>
    <w:lvl w:ilvl="0">
      <w:lvlJc w:val="left"/>
      <w:lvlText w:val="(%1)"/>
      <w:numFmt w:val="lowerRoman"/>
      <w:start w:val="7"/>
    </w:lvl>
  </w:abstractNum>
  <w:abstractNum w:abstractNumId="47">
    <w:nsid w:val="25A70BF7"/>
    <w:multiLevelType w:val="hybridMultilevel"/>
    <w:lvl w:ilvl="0">
      <w:lvlJc w:val="left"/>
      <w:lvlText w:val="(%1)"/>
      <w:numFmt w:val="lowerLetter"/>
      <w:start w:val="5"/>
    </w:lvl>
  </w:abstractNum>
  <w:abstractNum w:abstractNumId="48">
    <w:nsid w:val="1DBABF00"/>
    <w:multiLevelType w:val="hybridMultilevel"/>
    <w:lvl w:ilvl="0">
      <w:lvlJc w:val="left"/>
      <w:lvlText w:val="%1."/>
      <w:numFmt w:val="decimal"/>
      <w:start w:val="4"/>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2"/>
    </w:lvl>
  </w:abstractNum>
  <w:abstractNum w:abstractNumId="51">
    <w:nsid w:val="1381823A"/>
    <w:multiLevelType w:val="hybridMultilevel"/>
    <w:lvl w:ilvl="0">
      <w:lvlJc w:val="left"/>
      <w:lvlText w:val="(%1)"/>
      <w:numFmt w:val="lowerRoman"/>
      <w:start w:val="1"/>
    </w:lvl>
  </w:abstractNum>
  <w:abstractNum w:abstractNumId="52">
    <w:nsid w:val="5DB70AE5"/>
    <w:multiLevelType w:val="hybridMultilevel"/>
    <w:lvl w:ilvl="0">
      <w:lvlJc w:val="left"/>
      <w:lvlText w:val="(%1)"/>
      <w:numFmt w:val="lowerLetter"/>
      <w:start w:val="4"/>
    </w:lvl>
  </w:abstractNum>
  <w:abstractNum w:abstractNumId="53">
    <w:nsid w:val="100F8FCA"/>
    <w:multiLevelType w:val="hybridMultilevel"/>
    <w:lvl w:ilvl="0">
      <w:lvlJc w:val="left"/>
      <w:lvlText w:val="%1."/>
      <w:numFmt w:val="decimal"/>
      <w:start w:val="6"/>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decimal"/>
      <w:start w:val="7"/>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decimal"/>
      <w:start w:val="8"/>
    </w:lvl>
  </w:abstractNum>
  <w:abstractNum w:abstractNumId="58">
    <w:nsid w:val="799D0247"/>
    <w:multiLevelType w:val="hybridMultilevel"/>
    <w:lvl w:ilvl="0">
      <w:lvlJc w:val="left"/>
      <w:lvlText w:val="%1."/>
      <w:numFmt w:val="decimal"/>
      <w:start w:val="10"/>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decimal"/>
      <w:start w:val="3"/>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4"/>
    </w:lvl>
    <w:lvl w:ilvl="1">
      <w:lvlJc w:val="left"/>
      <w:lvlText w:val="(%2)"/>
      <w:numFmt w:val="lowerRoman"/>
      <w:start w:val="1"/>
    </w:lvl>
  </w:abstractNum>
  <w:abstractNum w:abstractNumId="65">
    <w:nsid w:val="540A471C"/>
    <w:multiLevelType w:val="hybridMultilevel"/>
    <w:lvl w:ilvl="0">
      <w:lvlJc w:val="left"/>
      <w:lvlText w:val="%1"/>
      <w:numFmt w:val="lowerLetter"/>
      <w:start w:val="1"/>
    </w:lvl>
    <w:lvl w:ilvl="1">
      <w:lvlJc w:val="left"/>
      <w:lvlText w:val="(%2)"/>
      <w:numFmt w:val="lowerRoman"/>
      <w:start w:val="7"/>
    </w:lvl>
  </w:abstractNum>
  <w:abstractNum w:abstractNumId="66">
    <w:nsid w:val="7BD3EE7B"/>
    <w:multiLevelType w:val="hybridMultilevel"/>
    <w:lvl w:ilvl="0">
      <w:lvlJc w:val="left"/>
      <w:lvlText w:val="(%1)"/>
      <w:numFmt w:val="lowerLetter"/>
      <w:start w:val="5"/>
    </w:lvl>
    <w:lvl w:ilvl="1">
      <w:lvlJc w:val="left"/>
      <w:lvlText w:val="%2"/>
      <w:numFmt w:val="lowerRoman"/>
      <w:start w:val="1"/>
    </w:lvl>
  </w:abstractNum>
  <w:abstractNum w:abstractNumId="67">
    <w:nsid w:val="51D9C564"/>
    <w:multiLevelType w:val="hybridMultilevel"/>
    <w:lvl w:ilvl="0">
      <w:lvlJc w:val="left"/>
      <w:lvlText w:val="%1."/>
      <w:numFmt w:val="decimal"/>
      <w:start w:val="4"/>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3"/>
    </w:lvl>
    <w:lvl w:ilvl="1">
      <w:lvlJc w:val="left"/>
      <w:lvlText w:val="(%2)"/>
      <w:numFmt w:val="lowerRoman"/>
      <w:start w:val="1"/>
    </w:lvl>
  </w:abstractNum>
  <w:abstractNum w:abstractNumId="70">
    <w:nsid w:val="11447B73"/>
    <w:multiLevelType w:val="hybridMultilevel"/>
    <w:lvl w:ilvl="0">
      <w:lvlJc w:val="left"/>
      <w:lvlText w:val="%1"/>
      <w:numFmt w:val="lowerLetter"/>
      <w:start w:val="1"/>
    </w:lvl>
    <w:lvl w:ilvl="1">
      <w:lvlJc w:val="left"/>
      <w:lvlText w:val="(%2)"/>
      <w:numFmt w:val="lowerLetter"/>
      <w:start w:val="4"/>
    </w:lvl>
  </w:abstractNum>
  <w:abstractNum w:abstractNumId="71">
    <w:nsid w:val="42963E5A"/>
    <w:multiLevelType w:val="hybridMultilevel"/>
    <w:lvl w:ilvl="0">
      <w:lvlJc w:val="left"/>
      <w:lvlText w:val="(%1)"/>
      <w:numFmt w:val="lowerLetter"/>
      <w:start w:val="5"/>
    </w:lvl>
    <w:lvl w:ilvl="1">
      <w:lvlJc w:val="left"/>
      <w:lvlText w:val="%2"/>
      <w:numFmt w:val="lowerLetter"/>
      <w:start w:val="1"/>
    </w:lvl>
  </w:abstractNum>
  <w:abstractNum w:abstractNumId="72">
    <w:nsid w:val="A0382C5"/>
    <w:multiLevelType w:val="hybridMultilevel"/>
    <w:lvl w:ilvl="0">
      <w:lvlJc w:val="left"/>
      <w:lvlText w:val="%1."/>
      <w:numFmt w:val="decimal"/>
      <w:start w:val="6"/>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decimal"/>
      <w:start w:val="7"/>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decimal"/>
      <w:start w:val="8"/>
    </w:lvl>
  </w:abstractNum>
  <w:abstractNum w:abstractNumId="77">
    <w:nsid w:val="4962813B"/>
    <w:multiLevelType w:val="hybridMultilevel"/>
    <w:lvl w:ilvl="0">
      <w:lvlJc w:val="left"/>
      <w:lvlText w:val="%1."/>
      <w:numFmt w:val="decimal"/>
      <w:start w:val="9"/>
    </w:lvl>
  </w:abstractNum>
  <w:abstractNum w:abstractNumId="78">
    <w:nsid w:val="60B6DF70"/>
    <w:multiLevelType w:val="hybridMultilevel"/>
    <w:lvl w:ilvl="0">
      <w:lvlJc w:val="left"/>
      <w:lvlText w:val="%1."/>
      <w:numFmt w:val="decimal"/>
      <w:start w:val="10"/>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lowerLetter"/>
      <w:start w:val="1"/>
    </w:lvl>
  </w:abstractNum>
  <w:abstractNum w:abstractNumId="82">
    <w:nsid w:val="1A27709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2019-12-09T08:56:15Z</dcterms:created>
  <dcterms:modified xsi:type="dcterms:W3CDTF">2019-12-09T08:56:15Z</dcterms:modified>
</cp:coreProperties>
</file>