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Bryan L</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380" w:type="dxa"/>
            <w:vAlign w:val="bottom"/>
            <w:vMerge w:val="restart"/>
          </w:tcPr>
          <w:p>
            <w:pPr>
              <w:ind w:left="12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20" w:type="dxa"/>
            <w:vAlign w:val="bottom"/>
            <w:gridSpan w:val="2"/>
          </w:tcPr>
          <w:p>
            <w:pPr>
              <w:ind w:left="100"/>
              <w:spacing w:after="0" w:line="192" w:lineRule="exact"/>
              <w:rPr>
                <w:sz w:val="20"/>
                <w:szCs w:val="20"/>
                <w:color w:val="auto"/>
              </w:rPr>
            </w:pPr>
            <w:r>
              <w:rPr>
                <w:rFonts w:ascii="Arial" w:cs="Arial" w:eastAsia="Arial" w:hAnsi="Arial"/>
                <w:sz w:val="17"/>
                <w:szCs w:val="17"/>
                <w:color w:val="0000FF"/>
              </w:rPr>
              <w:t>SVP &amp; Chief Financial Officer</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12/17/2021</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629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39,928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164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39,764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2021-12-21T16:57:41Z</dcterms:created>
  <dcterms:modified xsi:type="dcterms:W3CDTF">2021-12-21T16:57:41Z</dcterms:modified>
</cp:coreProperties>
</file>