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191770</wp:posOffset>
            </wp:positionH>
            <wp:positionV relativeFrom="page">
              <wp:posOffset>663575</wp:posOffset>
            </wp:positionV>
            <wp:extent cx="71862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295" cy="889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560705</wp:posOffset>
            </wp:positionV>
            <wp:extent cx="718629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295" cy="26035"/>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92075</wp:posOffset>
            </wp:positionV>
            <wp:extent cx="12433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17145"/>
                    </a:xfrm>
                    <a:prstGeom prst="rect">
                      <a:avLst/>
                    </a:prstGeom>
                    <a:noFill/>
                  </pic:spPr>
                </pic:pic>
              </a:graphicData>
            </a:graphic>
          </wp:anchor>
        </w:drawing>
      </w:r>
    </w:p>
    <w:p>
      <w:pPr>
        <w:spacing w:after="0" w:line="336"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151765</wp:posOffset>
            </wp:positionV>
            <wp:extent cx="12433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1714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61" w:lineRule="exact"/>
        <w:rPr>
          <w:sz w:val="24"/>
          <w:szCs w:val="24"/>
          <w:color w:val="auto"/>
        </w:rPr>
      </w:pPr>
    </w:p>
    <w:tbl>
      <w:tblPr>
        <w:tblLayout w:type="fixed"/>
        <w:tblInd w:w="40" w:type="dxa"/>
        <w:tblCellMar>
          <w:top w:w="0" w:type="dxa"/>
          <w:left w:w="0" w:type="dxa"/>
          <w:bottom w:w="0" w:type="dxa"/>
          <w:right w:w="0" w:type="dxa"/>
        </w:tblCellMar>
      </w:tblPr>
      <w:tr>
        <w:trPr>
          <w:trHeight w:val="220"/>
        </w:trPr>
        <w:tc>
          <w:tcPr>
            <w:tcW w:w="1960" w:type="dxa"/>
            <w:vAlign w:val="bottom"/>
          </w:tcPr>
          <w:p>
            <w:pPr>
              <w:spacing w:after="0"/>
              <w:rPr>
                <w:sz w:val="20"/>
                <w:szCs w:val="20"/>
                <w:color w:val="auto"/>
              </w:rPr>
            </w:pPr>
            <w:r>
              <w:rPr>
                <w:rFonts w:ascii="Arial" w:cs="Arial" w:eastAsia="Arial" w:hAnsi="Arial"/>
                <w:sz w:val="16"/>
                <w:szCs w:val="16"/>
                <w:color w:val="auto"/>
              </w:rPr>
              <w:t>Filed by the Registrant</w:t>
            </w:r>
          </w:p>
        </w:tc>
        <w:tc>
          <w:tcPr>
            <w:tcW w:w="1220" w:type="dxa"/>
            <w:vAlign w:val="bottom"/>
          </w:tcPr>
          <w:p>
            <w:pPr>
              <w:ind w:left="360"/>
              <w:spacing w:after="0"/>
              <w:rPr>
                <w:sz w:val="20"/>
                <w:szCs w:val="20"/>
                <w:color w:val="auto"/>
              </w:rPr>
            </w:pPr>
            <w:r>
              <w:rPr>
                <w:rFonts w:ascii="Arial" w:cs="Arial" w:eastAsia="Arial" w:hAnsi="Arial"/>
                <w:sz w:val="16"/>
                <w:szCs w:val="16"/>
                <w:color w:val="auto"/>
              </w:rPr>
              <w:t>x</w:t>
            </w:r>
          </w:p>
        </w:tc>
        <w:tc>
          <w:tcPr>
            <w:tcW w:w="460" w:type="dxa"/>
            <w:vAlign w:val="bottom"/>
          </w:tcPr>
          <w:p>
            <w:pPr>
              <w:spacing w:after="0"/>
              <w:rPr>
                <w:sz w:val="19"/>
                <w:szCs w:val="19"/>
                <w:color w:val="auto"/>
              </w:rPr>
            </w:pPr>
          </w:p>
        </w:tc>
      </w:tr>
      <w:tr>
        <w:trPr>
          <w:trHeight w:val="257"/>
        </w:trPr>
        <w:tc>
          <w:tcPr>
            <w:tcW w:w="3180" w:type="dxa"/>
            <w:vAlign w:val="bottom"/>
            <w:gridSpan w:val="2"/>
          </w:tcPr>
          <w:p>
            <w:pPr>
              <w:spacing w:after="0"/>
              <w:rPr>
                <w:sz w:val="20"/>
                <w:szCs w:val="20"/>
                <w:color w:val="auto"/>
              </w:rPr>
            </w:pPr>
            <w:r>
              <w:rPr>
                <w:rFonts w:ascii="Arial" w:cs="Arial" w:eastAsia="Arial" w:hAnsi="Arial"/>
                <w:sz w:val="16"/>
                <w:szCs w:val="16"/>
                <w:color w:val="auto"/>
              </w:rPr>
              <w:t>Filed by party other than the Registrant</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o</w:t>
            </w:r>
          </w:p>
        </w:tc>
      </w:tr>
    </w:tbl>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72" w:lineRule="exact"/>
        <w:rPr>
          <w:rFonts w:ascii="Arial" w:cs="Arial" w:eastAsia="Arial" w:hAnsi="Arial"/>
          <w:sz w:val="16"/>
          <w:szCs w:val="16"/>
          <w:color w:val="auto"/>
        </w:rPr>
      </w:pPr>
    </w:p>
    <w:p>
      <w:pPr>
        <w:ind w:left="500" w:hanging="465"/>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w:t>
      </w:r>
    </w:p>
    <w:p>
      <w:pPr>
        <w:spacing w:after="0" w:line="72" w:lineRule="exact"/>
        <w:rPr>
          <w:rFonts w:ascii="Arial" w:cs="Arial" w:eastAsia="Arial" w:hAnsi="Arial"/>
          <w:sz w:val="16"/>
          <w:szCs w:val="16"/>
          <w:color w:val="auto"/>
        </w:rPr>
      </w:pPr>
    </w:p>
    <w:p>
      <w:pPr>
        <w:ind w:left="460" w:hanging="425"/>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73" w:lineRule="exact"/>
        <w:rPr>
          <w:sz w:val="24"/>
          <w:szCs w:val="24"/>
          <w:color w:val="auto"/>
        </w:rPr>
      </w:pPr>
    </w:p>
    <w:p>
      <w:pPr>
        <w:ind w:left="500" w:hanging="465"/>
        <w:spacing w:after="0"/>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73" w:lineRule="exact"/>
        <w:rPr>
          <w:sz w:val="24"/>
          <w:szCs w:val="24"/>
          <w:color w:val="auto"/>
        </w:rPr>
      </w:pPr>
    </w:p>
    <w:p>
      <w:pPr>
        <w:ind w:left="500" w:hanging="465"/>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130810</wp:posOffset>
            </wp:positionV>
            <wp:extent cx="1895475" cy="823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Arial" w:cs="Arial" w:eastAsia="Arial" w:hAnsi="Arial"/>
          <w:sz w:val="29"/>
          <w:szCs w:val="29"/>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45085</wp:posOffset>
            </wp:positionV>
            <wp:extent cx="7186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121" w:lineRule="exact"/>
        <w:rPr>
          <w:sz w:val="24"/>
          <w:szCs w:val="24"/>
          <w:color w:val="auto"/>
        </w:rPr>
      </w:pPr>
    </w:p>
    <w:p>
      <w:pPr>
        <w:jc w:val="center"/>
        <w:ind w:right="-2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190500</wp:posOffset>
            </wp:positionV>
            <wp:extent cx="7186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350" w:lineRule="exact"/>
        <w:rPr>
          <w:sz w:val="24"/>
          <w:szCs w:val="24"/>
          <w:color w:val="auto"/>
        </w:rPr>
      </w:pPr>
    </w:p>
    <w:p>
      <w:pPr>
        <w:ind w:left="306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94" w:lineRule="exact"/>
        <w:rPr>
          <w:sz w:val="24"/>
          <w:szCs w:val="24"/>
          <w:color w:val="auto"/>
        </w:rPr>
      </w:pPr>
    </w:p>
    <w:p>
      <w:pPr>
        <w:ind w:left="80"/>
        <w:spacing w:after="0"/>
        <w:rPr>
          <w:sz w:val="20"/>
          <w:szCs w:val="20"/>
          <w:color w:val="auto"/>
        </w:rPr>
      </w:pPr>
      <w:r>
        <w:rPr>
          <w:rFonts w:ascii="Arial" w:cs="Arial" w:eastAsia="Arial" w:hAnsi="Arial"/>
          <w:sz w:val="16"/>
          <w:szCs w:val="16"/>
          <w:color w:val="auto"/>
        </w:rPr>
        <w:t>Payment of Filing Fee (Check the appropriate box):</w:t>
      </w:r>
    </w:p>
    <w:p>
      <w:pPr>
        <w:spacing w:after="0" w:line="59" w:lineRule="exact"/>
        <w:rPr>
          <w:sz w:val="24"/>
          <w:szCs w:val="24"/>
          <w:color w:val="auto"/>
        </w:rPr>
      </w:pPr>
    </w:p>
    <w:p>
      <w:pPr>
        <w:ind w:left="540" w:hanging="458"/>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73" w:lineRule="exact"/>
        <w:rPr>
          <w:sz w:val="24"/>
          <w:szCs w:val="24"/>
          <w:color w:val="auto"/>
        </w:rPr>
      </w:pPr>
    </w:p>
    <w:p>
      <w:pPr>
        <w:ind w:left="540" w:hanging="458"/>
        <w:spacing w:after="0"/>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 omputed on table below per Exchange Act Rules 14a-6(i)(1) and 0-11.</w:t>
      </w:r>
    </w:p>
    <w:p>
      <w:pPr>
        <w:spacing w:after="0" w:line="72" w:lineRule="exact"/>
        <w:rPr>
          <w:rFonts w:ascii="Arial" w:cs="Arial" w:eastAsia="Arial" w:hAnsi="Arial"/>
          <w:sz w:val="16"/>
          <w:szCs w:val="16"/>
          <w:color w:val="auto"/>
        </w:rPr>
      </w:pPr>
    </w:p>
    <w:p>
      <w:pPr>
        <w:ind w:left="1000" w:hanging="459"/>
        <w:spacing w:after="0"/>
        <w:tabs>
          <w:tab w:leader="none" w:pos="1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29" w:lineRule="exact"/>
        <w:rPr>
          <w:rFonts w:ascii="Arial" w:cs="Arial" w:eastAsia="Arial" w:hAnsi="Arial"/>
          <w:sz w:val="16"/>
          <w:szCs w:val="16"/>
          <w:color w:val="auto"/>
        </w:rPr>
      </w:pPr>
    </w:p>
    <w:p>
      <w:pPr>
        <w:ind w:left="1000" w:hanging="459"/>
        <w:spacing w:after="0"/>
        <w:tabs>
          <w:tab w:leader="none" w:pos="1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02" w:lineRule="exact"/>
        <w:rPr>
          <w:rFonts w:ascii="Arial" w:cs="Arial" w:eastAsia="Arial" w:hAnsi="Arial"/>
          <w:sz w:val="16"/>
          <w:szCs w:val="16"/>
          <w:color w:val="auto"/>
        </w:rPr>
      </w:pPr>
    </w:p>
    <w:p>
      <w:pPr>
        <w:ind w:left="1000" w:hanging="459"/>
        <w:spacing w:after="0" w:line="260" w:lineRule="auto"/>
        <w:tabs>
          <w:tab w:leader="none" w:pos="1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76" w:lineRule="exact"/>
        <w:rPr>
          <w:rFonts w:ascii="Arial" w:cs="Arial" w:eastAsia="Arial" w:hAnsi="Arial"/>
          <w:sz w:val="16"/>
          <w:szCs w:val="16"/>
          <w:color w:val="auto"/>
        </w:rPr>
      </w:pPr>
    </w:p>
    <w:p>
      <w:pPr>
        <w:ind w:left="1000" w:hanging="459"/>
        <w:spacing w:after="0"/>
        <w:tabs>
          <w:tab w:leader="none" w:pos="1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15" w:lineRule="exact"/>
        <w:rPr>
          <w:rFonts w:ascii="Arial" w:cs="Arial" w:eastAsia="Arial" w:hAnsi="Arial"/>
          <w:sz w:val="16"/>
          <w:szCs w:val="16"/>
          <w:color w:val="auto"/>
        </w:rPr>
      </w:pPr>
    </w:p>
    <w:p>
      <w:pPr>
        <w:ind w:left="1000" w:hanging="459"/>
        <w:spacing w:after="0"/>
        <w:tabs>
          <w:tab w:leader="none" w:pos="1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540" w:hanging="458"/>
        <w:spacing w:after="0"/>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72" w:lineRule="exact"/>
        <w:rPr>
          <w:rFonts w:ascii="Arial" w:cs="Arial" w:eastAsia="Arial" w:hAnsi="Arial"/>
          <w:sz w:val="16"/>
          <w:szCs w:val="16"/>
          <w:color w:val="auto"/>
        </w:rPr>
      </w:pPr>
    </w:p>
    <w:p>
      <w:pPr>
        <w:ind w:left="540" w:right="260" w:hanging="458"/>
        <w:spacing w:after="0" w:line="260"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 w:lineRule="exact"/>
        <w:rPr>
          <w:rFonts w:ascii="Arial" w:cs="Arial" w:eastAsia="Arial" w:hAnsi="Arial"/>
          <w:sz w:val="16"/>
          <w:szCs w:val="16"/>
          <w:color w:val="auto"/>
        </w:rPr>
      </w:pPr>
    </w:p>
    <w:p>
      <w:pPr>
        <w:ind w:left="1000" w:hanging="459"/>
        <w:spacing w:after="0"/>
        <w:tabs>
          <w:tab w:leader="none" w:pos="1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40" w:lineRule="exact"/>
        <w:rPr>
          <w:rFonts w:ascii="Arial" w:cs="Arial" w:eastAsia="Arial" w:hAnsi="Arial"/>
          <w:sz w:val="16"/>
          <w:szCs w:val="16"/>
          <w:color w:val="auto"/>
        </w:rPr>
      </w:pPr>
    </w:p>
    <w:p>
      <w:pPr>
        <w:ind w:left="1000" w:hanging="459"/>
        <w:spacing w:after="0"/>
        <w:tabs>
          <w:tab w:leader="none" w:pos="1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02" w:lineRule="exact"/>
        <w:rPr>
          <w:rFonts w:ascii="Arial" w:cs="Arial" w:eastAsia="Arial" w:hAnsi="Arial"/>
          <w:sz w:val="16"/>
          <w:szCs w:val="16"/>
          <w:color w:val="auto"/>
        </w:rPr>
      </w:pPr>
    </w:p>
    <w:p>
      <w:pPr>
        <w:ind w:left="1000" w:hanging="459"/>
        <w:spacing w:after="0"/>
        <w:tabs>
          <w:tab w:leader="none" w:pos="1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29" w:lineRule="exact"/>
        <w:rPr>
          <w:rFonts w:ascii="Arial" w:cs="Arial" w:eastAsia="Arial" w:hAnsi="Arial"/>
          <w:sz w:val="16"/>
          <w:szCs w:val="16"/>
          <w:color w:val="auto"/>
        </w:rPr>
      </w:pPr>
    </w:p>
    <w:p>
      <w:pPr>
        <w:ind w:left="1000" w:hanging="459"/>
        <w:spacing w:after="0"/>
        <w:tabs>
          <w:tab w:leader="none" w:pos="1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173355</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-142875</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-777875</wp:posOffset>
            </wp:positionV>
            <wp:extent cx="6603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-1661160</wp:posOffset>
            </wp:positionV>
            <wp:extent cx="6603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-1978660</wp:posOffset>
            </wp:positionV>
            <wp:extent cx="66033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-2295525</wp:posOffset>
            </wp:positionV>
            <wp:extent cx="66033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-3033395</wp:posOffset>
            </wp:positionV>
            <wp:extent cx="66033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353695</wp:posOffset>
            </wp:positionV>
            <wp:extent cx="718629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295" cy="2603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267970</wp:posOffset>
            </wp:positionV>
            <wp:extent cx="71862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ectPr>
          <w:pgSz w:w="11900" w:h="16838" w:orient="portrait"/>
          <w:cols w:equalWidth="0" w:num="1">
            <w:col w:w="11080"/>
          </w:cols>
          <w:pgMar w:left="240" w:top="1292" w:right="579" w:bottom="1440" w:gutter="0" w:footer="0" w:header="0"/>
        </w:sectPr>
      </w:pPr>
    </w:p>
    <w:bookmarkStart w:id="1" w:name="page2"/>
    <w:bookmarkEnd w:id="1"/>
    <w:tbl>
      <w:tblPr>
        <w:tblLayout w:type="fixed"/>
        <w:tblInd w:w="2580" w:type="dxa"/>
        <w:tblCellMar>
          <w:top w:w="0" w:type="dxa"/>
          <w:left w:w="0" w:type="dxa"/>
          <w:bottom w:w="0" w:type="dxa"/>
          <w:right w:w="0" w:type="dxa"/>
        </w:tblCellMar>
      </w:tblPr>
      <w:tr>
        <w:trPr>
          <w:trHeight w:val="231"/>
        </w:trPr>
        <w:tc>
          <w:tcPr>
            <w:tcW w:w="3260" w:type="dxa"/>
            <w:vAlign w:val="bottom"/>
            <w:tcBorders>
              <w:right w:val="single" w:sz="8" w:color="auto"/>
            </w:tcBorders>
          </w:tcPr>
          <w:p>
            <w:pPr>
              <w:spacing w:after="0" w:line="232" w:lineRule="exact"/>
              <w:rPr>
                <w:sz w:val="20"/>
                <w:szCs w:val="20"/>
                <w:color w:val="auto"/>
              </w:rPr>
            </w:pPr>
            <w:r>
              <w:rPr>
                <w:rFonts w:ascii="Arial" w:cs="Arial" w:eastAsia="Arial" w:hAnsi="Arial"/>
                <w:sz w:val="16"/>
                <w:szCs w:val="16"/>
                <w:color w:val="auto"/>
              </w:rPr>
              <w:t>Shareowner Services</w:t>
            </w:r>
            <w:r>
              <w:rPr>
                <w:rFonts w:ascii="Arial" w:cs="Arial" w:eastAsia="Arial" w:hAnsi="Arial"/>
                <w:sz w:val="21"/>
                <w:szCs w:val="21"/>
                <w:color w:val="auto"/>
                <w:vertAlign w:val="superscript"/>
              </w:rPr>
              <w:t>SM</w:t>
            </w:r>
          </w:p>
        </w:tc>
        <w:tc>
          <w:tcPr>
            <w:tcW w:w="478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COMPANY #</w:t>
            </w:r>
          </w:p>
        </w:tc>
      </w:tr>
      <w:tr>
        <w:trPr>
          <w:trHeight w:val="189"/>
        </w:trPr>
        <w:tc>
          <w:tcPr>
            <w:tcW w:w="32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P.O. Box 64945</w:t>
            </w:r>
          </w:p>
        </w:tc>
        <w:tc>
          <w:tcPr>
            <w:tcW w:w="4780" w:type="dxa"/>
            <w:vAlign w:val="bottom"/>
            <w:tcBorders>
              <w:right w:val="single" w:sz="8" w:color="auto"/>
            </w:tcBorders>
          </w:tcPr>
          <w:p>
            <w:pPr>
              <w:spacing w:after="0"/>
              <w:rPr>
                <w:sz w:val="16"/>
                <w:szCs w:val="16"/>
                <w:color w:val="auto"/>
              </w:rPr>
            </w:pPr>
          </w:p>
        </w:tc>
      </w:tr>
      <w:tr>
        <w:trPr>
          <w:trHeight w:val="208"/>
        </w:trPr>
        <w:tc>
          <w:tcPr>
            <w:tcW w:w="32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St. Paul, MN 55164-0945</w:t>
            </w:r>
          </w:p>
        </w:tc>
        <w:tc>
          <w:tcPr>
            <w:tcW w:w="4780" w:type="dxa"/>
            <w:vAlign w:val="bottom"/>
            <w:tcBorders>
              <w:bottom w:val="single" w:sz="8" w:color="auto"/>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-393700</wp:posOffset>
            </wp:positionV>
            <wp:extent cx="1029335" cy="36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9335" cy="368935"/>
                    </a:xfrm>
                    <a:prstGeom prst="rect">
                      <a:avLst/>
                    </a:prstGeom>
                    <a:noFill/>
                  </pic:spPr>
                </pic:pic>
              </a:graphicData>
            </a:graphic>
          </wp:anchor>
        </w:drawing>
      </w:r>
    </w:p>
    <w:p>
      <w:pPr>
        <w:spacing w:after="0" w:line="218" w:lineRule="exact"/>
        <w:rPr>
          <w:sz w:val="20"/>
          <w:szCs w:val="20"/>
          <w:color w:val="auto"/>
        </w:rPr>
      </w:pPr>
    </w:p>
    <w:p>
      <w:pPr>
        <w:jc w:val="center"/>
        <w:ind w:left="5200"/>
        <w:spacing w:after="0"/>
        <w:rPr>
          <w:sz w:val="20"/>
          <w:szCs w:val="20"/>
          <w:color w:val="auto"/>
        </w:rPr>
      </w:pPr>
      <w:r>
        <w:rPr>
          <w:rFonts w:ascii="Arial" w:cs="Arial" w:eastAsia="Arial" w:hAnsi="Arial"/>
          <w:sz w:val="22"/>
          <w:szCs w:val="22"/>
          <w:b w:val="1"/>
          <w:bCs w:val="1"/>
          <w:color w:val="auto"/>
        </w:rPr>
        <w:t>WINNEBAGO INDUSTRIES</w:t>
      </w:r>
    </w:p>
    <w:p>
      <w:pPr>
        <w:spacing w:after="0" w:line="22"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ANNUAL MEETING OF SHAREHOLDERS</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Tuesday, December 14, 2010</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4:00 p.m., Central Standard Time</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Winnebago Industries'</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South Office Complex Theater</w:t>
      </w:r>
    </w:p>
    <w:p>
      <w:pPr>
        <w:spacing w:after="0" w:line="5"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605 West Crystal Lake Road</w:t>
      </w:r>
    </w:p>
    <w:p>
      <w:pPr>
        <w:jc w:val="center"/>
        <w:ind w:left="5200"/>
        <w:spacing w:after="0"/>
        <w:rPr>
          <w:sz w:val="20"/>
          <w:szCs w:val="20"/>
          <w:color w:val="auto"/>
        </w:rPr>
      </w:pPr>
      <w:r>
        <w:rPr>
          <w:rFonts w:ascii="Arial" w:cs="Arial" w:eastAsia="Arial" w:hAnsi="Arial"/>
          <w:sz w:val="18"/>
          <w:szCs w:val="18"/>
          <w:b w:val="1"/>
          <w:bCs w:val="1"/>
          <w:color w:val="auto"/>
        </w:rPr>
        <w:t>Forest City, Iowa 50436</w:t>
      </w:r>
    </w:p>
    <w:p>
      <w:pPr>
        <w:spacing w:after="0" w:line="266"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To obtain directions to attend</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the Annual Meeting and vote in person,</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please call Investor Relations</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at (641) 585-6803.</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Important Notice Regarding the Availability of Proxy Materials for the</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Shareholder Meeting to be Held on December 14, 2010.</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view the Proxy Statement or Annual Report to Shareholders, have the 11-digit Control #(s) and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100330</wp:posOffset>
            </wp:positionV>
            <wp:extent cx="274447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44470" cy="154305"/>
                    </a:xfrm>
                    <a:prstGeom prst="rect">
                      <a:avLst/>
                    </a:prstGeom>
                    <a:noFill/>
                  </pic:spPr>
                </pic:pic>
              </a:graphicData>
            </a:graphic>
          </wp:anchor>
        </w:drawing>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http://www.idelivercommunications.com/proxy/WGO</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you want to receive a paper or e-mail copy of the above listed documents, you must request one. There is no charge to you for requesting a copy.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facilitate timely delivery, please make the request as instructed below on or before December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8"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Matters intended to be acted upon at the meeting are listed below.</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Proposals 1, 2 and 3:</w:t>
      </w:r>
    </w:p>
    <w:p>
      <w:pPr>
        <w:sectPr>
          <w:pgSz w:w="11900" w:h="16838" w:orient="portrait"/>
          <w:cols w:equalWidth="0" w:num="1">
            <w:col w:w="11420"/>
          </w:cols>
          <w:pgMar w:left="240" w:top="754" w:right="239" w:bottom="1440" w:gutter="0" w:footer="0" w:header="0"/>
        </w:sectPr>
      </w:pPr>
    </w:p>
    <w:p>
      <w:pPr>
        <w:spacing w:after="0" w:line="223" w:lineRule="exact"/>
        <w:rPr>
          <w:sz w:val="20"/>
          <w:szCs w:val="20"/>
          <w:color w:val="auto"/>
        </w:rPr>
      </w:pPr>
    </w:p>
    <w:p>
      <w:pPr>
        <w:jc w:val="both"/>
        <w:ind w:left="1200" w:right="481" w:hanging="355"/>
        <w:spacing w:after="0" w:line="253"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three class II directors to serve for the ensuing three years and until their successors shall be elected and shall qualify:</w:t>
      </w:r>
    </w:p>
    <w:p>
      <w:pPr>
        <w:spacing w:after="0" w:line="39" w:lineRule="exact"/>
        <w:rPr>
          <w:rFonts w:ascii="Arial" w:cs="Arial" w:eastAsia="Arial" w:hAnsi="Arial"/>
          <w:sz w:val="16"/>
          <w:szCs w:val="16"/>
          <w:color w:val="auto"/>
        </w:rPr>
      </w:pPr>
    </w:p>
    <w:p>
      <w:pPr>
        <w:ind w:left="1300" w:hanging="103"/>
        <w:spacing w:after="0"/>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Robert M. Chiusano</w:t>
      </w:r>
    </w:p>
    <w:p>
      <w:pPr>
        <w:spacing w:after="0" w:line="5" w:lineRule="exact"/>
        <w:rPr>
          <w:rFonts w:ascii="Arial" w:cs="Arial" w:eastAsia="Arial" w:hAnsi="Arial"/>
          <w:sz w:val="16"/>
          <w:szCs w:val="16"/>
          <w:color w:val="auto"/>
        </w:rPr>
      </w:pPr>
    </w:p>
    <w:p>
      <w:pPr>
        <w:ind w:left="1300" w:hanging="103"/>
        <w:spacing w:after="0"/>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Jerry N. Currie</w:t>
      </w:r>
    </w:p>
    <w:p>
      <w:pPr>
        <w:spacing w:after="0" w:line="5" w:lineRule="exact"/>
        <w:rPr>
          <w:rFonts w:ascii="Arial" w:cs="Arial" w:eastAsia="Arial" w:hAnsi="Arial"/>
          <w:sz w:val="16"/>
          <w:szCs w:val="16"/>
          <w:color w:val="auto"/>
        </w:rPr>
      </w:pPr>
    </w:p>
    <w:p>
      <w:pPr>
        <w:ind w:left="1300" w:hanging="103"/>
        <w:spacing w:after="0"/>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Lawrence A. Erickson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359" w:right="1260" w:hanging="359"/>
        <w:spacing w:after="0" w:line="253" w:lineRule="auto"/>
        <w:tabs>
          <w:tab w:leader="none" w:pos="359"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the Company's independent registered public accounting firm for the fiscal year ending August 28, 2011.</w:t>
      </w:r>
    </w:p>
    <w:p>
      <w:pPr>
        <w:spacing w:after="0" w:line="39" w:lineRule="exact"/>
        <w:rPr>
          <w:rFonts w:ascii="Arial" w:cs="Arial" w:eastAsia="Arial" w:hAnsi="Arial"/>
          <w:sz w:val="16"/>
          <w:szCs w:val="16"/>
          <w:color w:val="auto"/>
        </w:rPr>
      </w:pPr>
    </w:p>
    <w:p>
      <w:pPr>
        <w:ind w:left="359" w:right="1340" w:hanging="359"/>
        <w:spacing w:after="0" w:line="253" w:lineRule="auto"/>
        <w:tabs>
          <w:tab w:leader="none" w:pos="359"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adjournments thereof.</w:t>
      </w:r>
    </w:p>
    <w:p>
      <w:pPr>
        <w:spacing w:after="0" w:line="12" w:lineRule="exact"/>
        <w:rPr>
          <w:sz w:val="20"/>
          <w:szCs w:val="20"/>
          <w:color w:val="auto"/>
        </w:rPr>
      </w:pPr>
    </w:p>
    <w:p>
      <w:pPr>
        <w:sectPr>
          <w:pgSz w:w="11900" w:h="16838" w:orient="portrait"/>
          <w:cols w:equalWidth="0" w:num="2">
            <w:col w:w="5001" w:space="720"/>
            <w:col w:w="5699"/>
          </w:cols>
          <w:pgMar w:left="240" w:top="754" w:right="239" w:bottom="1440" w:gutter="0" w:footer="0" w:header="0"/>
          <w:type w:val="continuous"/>
        </w:sectPr>
      </w:pPr>
    </w:p>
    <w:p>
      <w:pPr>
        <w:ind w:right="400"/>
        <w:spacing w:after="0" w:line="260" w:lineRule="auto"/>
        <w:rPr>
          <w:sz w:val="20"/>
          <w:szCs w:val="20"/>
          <w:color w:val="auto"/>
        </w:rPr>
      </w:pPr>
      <w:r>
        <w:rPr>
          <w:rFonts w:ascii="Arial" w:cs="Arial" w:eastAsia="Arial" w:hAnsi="Arial"/>
          <w:sz w:val="16"/>
          <w:szCs w:val="16"/>
          <w:color w:val="auto"/>
        </w:rPr>
        <w:t>These items of business are more fully described in the proxy statement. The record date for the annual meeting is October 5, 2010. Only shareholders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&lt; div style="line-height:100%;padding-left:32px;text-align:left;"&gt;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93345</wp:posOffset>
            </wp:positionV>
            <wp:extent cx="158623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86230" cy="154305"/>
                    </a:xfrm>
                    <a:prstGeom prst="rect">
                      <a:avLst/>
                    </a:prstGeom>
                    <a:noFill/>
                  </pic:spPr>
                </pic:pic>
              </a:graphicData>
            </a:graphic>
          </wp:anchor>
        </w:drawing>
      </w:r>
    </w:p>
    <w:p>
      <w:pPr>
        <w:spacing w:after="0" w:line="136" w:lineRule="exact"/>
        <w:rPr>
          <w:sz w:val="20"/>
          <w:szCs w:val="20"/>
          <w:color w:val="auto"/>
        </w:rPr>
      </w:pPr>
    </w:p>
    <w:p>
      <w:pPr>
        <w:ind w:left="40"/>
        <w:spacing w:after="0"/>
        <w:tabs>
          <w:tab w:leader="none" w:pos="8300" w:val="left"/>
        </w:tabs>
        <w:rPr>
          <w:sz w:val="20"/>
          <w:szCs w:val="20"/>
          <w:color w:val="auto"/>
        </w:rPr>
      </w:pPr>
      <w:r>
        <w:rPr>
          <w:rFonts w:ascii="Arial" w:cs="Arial" w:eastAsia="Arial" w:hAnsi="Arial"/>
          <w:sz w:val="16"/>
          <w:szCs w:val="16"/>
          <w:b w:val="1"/>
          <w:bCs w:val="1"/>
          <w:color w:val="auto"/>
        </w:rPr>
        <w:t>You may immediately vote your proxy on the Internet at:</w:t>
      </w:r>
      <w:r>
        <w:rPr>
          <w:sz w:val="20"/>
          <w:szCs w:val="20"/>
          <w:color w:val="auto"/>
        </w:rPr>
        <w:tab/>
      </w:r>
      <w:r>
        <w:rPr>
          <w:rFonts w:ascii="Arial" w:cs="Arial" w:eastAsia="Arial" w:hAnsi="Arial"/>
          <w:sz w:val="16"/>
          <w:szCs w:val="16"/>
          <w:b w:val="1"/>
          <w:bCs w:val="1"/>
          <w:color w:val="auto"/>
        </w:rPr>
        <w:t>www.eproxy.com/wgo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134620</wp:posOffset>
            </wp:positionV>
            <wp:extent cx="420370" cy="386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0370" cy="386080"/>
                    </a:xfrm>
                    <a:prstGeom prst="rect">
                      <a:avLst/>
                    </a:prstGeom>
                    <a:noFill/>
                  </pic:spPr>
                </pic:pic>
              </a:graphicData>
            </a:graphic>
          </wp:anchor>
        </w:drawing>
      </w:r>
    </w:p>
    <w:p>
      <w:pPr>
        <w:spacing w:after="0" w:line="194" w:lineRule="exact"/>
        <w:rPr>
          <w:sz w:val="20"/>
          <w:szCs w:val="20"/>
          <w:color w:val="auto"/>
        </w:rPr>
      </w:pPr>
    </w:p>
    <w:p>
      <w:pPr>
        <w:ind w:left="1180" w:hanging="105"/>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Use the Internet to vote your proxy 24 hours a day, 7 days a week, until 12:00 p.m. (CT) on December 13, 2010.</w:t>
      </w:r>
    </w:p>
    <w:p>
      <w:pPr>
        <w:spacing w:after="0" w:line="59" w:lineRule="exact"/>
        <w:rPr>
          <w:rFonts w:ascii="Arial" w:cs="Arial" w:eastAsia="Arial" w:hAnsi="Arial"/>
          <w:sz w:val="16"/>
          <w:szCs w:val="16"/>
          <w:color w:val="auto"/>
        </w:rPr>
      </w:pPr>
    </w:p>
    <w:p>
      <w:pPr>
        <w:ind w:left="1080" w:right="500" w:hanging="5"/>
        <w:spacing w:after="0" w:line="260" w:lineRule="auto"/>
        <w:tabs>
          <w:tab w:leader="none" w:pos="1182" w:val="left"/>
        </w:tabs>
        <w:numPr>
          <w:ilvl w:val="0"/>
          <w:numId w:val="8"/>
        </w:numPr>
        <w:rPr>
          <w:rFonts w:ascii="Arial" w:cs="Arial" w:eastAsia="Arial" w:hAnsi="Arial"/>
          <w:sz w:val="16"/>
          <w:szCs w:val="16"/>
          <w:color w:val="auto"/>
        </w:rPr>
      </w:pPr>
      <w:r>
        <w:rPr>
          <w:rFonts w:ascii="Arial" w:cs="Arial" w:eastAsia="Arial" w:hAnsi="Arial"/>
          <w:sz w:val="16"/>
          <w:szCs w:val="16"/>
          <w:color w:val="auto"/>
        </w:rPr>
        <w:t>Please have this Notice and the last four di gits of your Social Security Number or Tax Identification Number available. Follow the simple instructions to obtain your records and submit your proxy vote electronically.</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Internet vote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5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0"/>
        <w:spacing w:after="0"/>
        <w:rPr>
          <w:sz w:val="20"/>
          <w:szCs w:val="20"/>
          <w:color w:val="auto"/>
        </w:rPr>
      </w:pPr>
      <w:r>
        <w:rPr>
          <w:rFonts w:ascii="Arial" w:cs="Arial" w:eastAsia="Arial" w:hAnsi="Arial"/>
          <w:sz w:val="36"/>
          <w:szCs w:val="36"/>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To request paper or e-mail copies of the annual report and the proxy materials,</w:t>
      </w:r>
    </w:p>
    <w:p>
      <w:pPr>
        <w:spacing w:after="0" w:line="31"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which include the proxy card and the proxy statement, please contact us via:</w:t>
      </w:r>
    </w:p>
    <w:p>
      <w:pPr>
        <w:spacing w:after="0" w:line="149" w:lineRule="exact"/>
        <w:rPr>
          <w:sz w:val="20"/>
          <w:szCs w:val="20"/>
          <w:color w:val="auto"/>
        </w:rPr>
      </w:pPr>
    </w:p>
    <w:p>
      <w:pPr>
        <w:ind w:right="340"/>
        <w:spacing w:after="0" w:line="249" w:lineRule="auto"/>
        <w:rPr>
          <w:sz w:val="20"/>
          <w:szCs w:val="20"/>
          <w:color w:val="auto"/>
        </w:rPr>
      </w:pPr>
      <w:r>
        <w:rPr>
          <w:rFonts w:ascii="Arial" w:cs="Arial" w:eastAsia="Arial" w:hAnsi="Arial"/>
          <w:sz w:val="18"/>
          <w:szCs w:val="18"/>
          <w:b w:val="1"/>
          <w:bCs w:val="1"/>
          <w:color w:val="auto"/>
        </w:rPr>
        <w:t xml:space="preserve">Internet </w:t>
      </w:r>
      <w:r>
        <w:rPr>
          <w:rFonts w:ascii="Arial" w:cs="Arial" w:eastAsia="Arial" w:hAnsi="Arial"/>
          <w:sz w:val="16"/>
          <w:szCs w:val="16"/>
          <w:color w:val="auto"/>
        </w:rPr>
        <w:t>- Access the Internet and go to www.idelivercommunications.com/proxy/WGO. Follow the instructions to log in, and order copies. Please</w:t>
      </w:r>
      <w:r>
        <w:rPr>
          <w:rFonts w:ascii="Arial" w:cs="Arial" w:eastAsia="Arial" w:hAnsi="Arial"/>
          <w:sz w:val="18"/>
          <w:szCs w:val="18"/>
          <w:b w:val="1"/>
          <w:bCs w:val="1"/>
          <w:color w:val="auto"/>
        </w:rPr>
        <w:t xml:space="preserve"> </w:t>
      </w:r>
      <w:r>
        <w:rPr>
          <w:rFonts w:ascii="Arial" w:cs="Arial" w:eastAsia="Arial" w:hAnsi="Arial"/>
          <w:sz w:val="16"/>
          <w:szCs w:val="16"/>
          <w:color w:val="auto"/>
        </w:rPr>
        <w:t>make the r equest on or before December 2, 2010.</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Telephone </w:t>
      </w:r>
      <w:r>
        <w:rPr>
          <w:rFonts w:ascii="Arial" w:cs="Arial" w:eastAsia="Arial" w:hAnsi="Arial"/>
          <w:sz w:val="16"/>
          <w:szCs w:val="16"/>
          <w:color w:val="auto"/>
        </w:rPr>
        <w:t>- Call us free of charge at 877-847-4696 in the U.S. or Canada to order paper copies.</w:t>
      </w:r>
    </w:p>
    <w:p>
      <w:pPr>
        <w:spacing w:after="0" w:line="234" w:lineRule="exact"/>
        <w:rPr>
          <w:sz w:val="20"/>
          <w:szCs w:val="20"/>
          <w:color w:val="auto"/>
        </w:rPr>
      </w:pPr>
    </w:p>
    <w:p>
      <w:pPr>
        <w:sectPr>
          <w:pgSz w:w="11900" w:h="16838" w:orient="portrait"/>
          <w:cols w:equalWidth="0" w:num="2">
            <w:col w:w="360" w:space="260"/>
            <w:col w:w="10800"/>
          </w:cols>
          <w:pgMar w:left="240" w:top="754" w:right="239" w:bottom="1440" w:gutter="0" w:footer="0" w:header="0"/>
          <w:type w:val="continuous"/>
        </w:sectPr>
      </w:pPr>
    </w:p>
    <w:p>
      <w:pPr>
        <w:ind w:left="620" w:right="160" w:hanging="385"/>
        <w:spacing w:after="0" w:line="187" w:lineRule="auto"/>
        <w:tabs>
          <w:tab w:leader="none" w:pos="620" w:val="left"/>
        </w:tabs>
        <w:numPr>
          <w:ilvl w:val="0"/>
          <w:numId w:val="9"/>
        </w:numPr>
        <w:rPr>
          <w:rFonts w:ascii="Arial" w:cs="Arial" w:eastAsia="Arial" w:hAnsi="Arial"/>
          <w:sz w:val="32"/>
          <w:szCs w:val="32"/>
          <w:color w:val="auto"/>
          <w:vertAlign w:val="subscript"/>
        </w:rPr>
      </w:pPr>
      <w:r>
        <w:rPr>
          <w:rFonts w:ascii="Arial" w:cs="Arial" w:eastAsia="Arial" w:hAnsi="Arial"/>
          <w:sz w:val="13"/>
          <w:szCs w:val="13"/>
          <w:b w:val="1"/>
          <w:bCs w:val="1"/>
          <w:color w:val="auto"/>
        </w:rPr>
        <w:t xml:space="preserve">Email </w:t>
      </w:r>
      <w:r>
        <w:rPr>
          <w:rFonts w:ascii="Arial" w:cs="Arial" w:eastAsia="Arial" w:hAnsi="Arial"/>
          <w:sz w:val="13"/>
          <w:szCs w:val="13"/>
          <w:color w:val="auto"/>
        </w:rPr>
        <w:t>- Send us an email at ideliver@afpi.com. Please put “Paper Material” or “E-mail Material” in the subject line, followed by the 11-Digit Control #.</w:t>
      </w:r>
      <w:r>
        <w:rPr>
          <w:rFonts w:ascii="Arial" w:cs="Arial" w:eastAsia="Arial" w:hAnsi="Arial"/>
          <w:sz w:val="13"/>
          <w:szCs w:val="13"/>
          <w:b w:val="1"/>
          <w:bCs w:val="1"/>
          <w:color w:val="auto"/>
        </w:rPr>
        <w:t xml:space="preserve"> </w:t>
      </w:r>
      <w:r>
        <w:rPr>
          <w:rFonts w:ascii="Arial" w:cs="Arial" w:eastAsia="Arial" w:hAnsi="Arial"/>
          <w:sz w:val="13"/>
          <w:szCs w:val="13"/>
          <w:color w:val="auto"/>
        </w:rPr>
        <w:t>Requests, instructions and other inquiries will not be forwarded to your investment advisor.</w:t>
      </w:r>
    </w:p>
    <w:sectPr>
      <w:pgSz w:w="11900" w:h="16838" w:orient="portrait"/>
      <w:cols w:equalWidth="0" w:num="1">
        <w:col w:w="11420"/>
      </w:cols>
      <w:pgMar w:left="240" w:top="75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x"/>
      <w:numFmt w:val="bullet"/>
      <w:start w:val="1"/>
    </w:lvl>
  </w:abstractNum>
  <w:abstractNum w:abstractNumId="4">
    <w:nsid w:val="41B71EFB"/>
    <w:multiLevelType w:val="hybridMultilevel"/>
    <w:lvl w:ilvl="0">
      <w:lvlJc w:val="left"/>
      <w:lvlText w:val="o"/>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1"/>
    </w:lvl>
    <w:lvl w:ilvl="1">
      <w:lvlJc w:val="left"/>
      <w:lvlText w:val="•"/>
      <w:numFmt w:val="bullet"/>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2019-12-10T02:58:00Z</dcterms:created>
  <dcterms:modified xsi:type="dcterms:W3CDTF">2019-12-10T02:58:00Z</dcterms:modified>
</cp:coreProperties>
</file>