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229235</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42545</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2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680" w:hanging="449"/>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 the quarterly period ended March 1, 2014</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420" w:hanging="2789"/>
        <w:spacing w:after="0" w:line="510" w:lineRule="auto"/>
        <w:tabs>
          <w:tab w:leader="none" w:pos="68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2646680</wp:posOffset>
            </wp:positionH>
            <wp:positionV relativeFrom="paragraph">
              <wp:posOffset>143510</wp:posOffset>
            </wp:positionV>
            <wp:extent cx="1964055"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6405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5"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55"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243" w:lineRule="exact"/>
        <w:rPr>
          <w:sz w:val="24"/>
          <w:szCs w:val="24"/>
          <w:color w:val="auto"/>
        </w:rPr>
      </w:pPr>
    </w:p>
    <w:p>
      <w:pPr>
        <w:ind w:right="2480"/>
        <w:spacing w:after="0" w:line="504"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March 27, 2014 was 27,239,063.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8"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00" w:type="dxa"/>
            <w:vAlign w:val="bottom"/>
            <w:gridSpan w:val="8"/>
          </w:tcPr>
          <w:p>
            <w:pPr>
              <w:jc w:val="center"/>
              <w:ind w:right="120"/>
              <w:spacing w:after="0"/>
              <w:rPr>
                <w:sz w:val="20"/>
                <w:szCs w:val="20"/>
                <w:color w:val="auto"/>
              </w:rPr>
            </w:pPr>
            <w:r>
              <w:rPr>
                <w:rFonts w:ascii="Arial" w:cs="Arial" w:eastAsia="Arial" w:hAnsi="Arial"/>
                <w:sz w:val="22"/>
                <w:szCs w:val="22"/>
                <w:b w:val="1"/>
                <w:bCs w:val="1"/>
                <w:color w:val="auto"/>
                <w:w w:val="97"/>
              </w:rPr>
              <w:t>Winnebago Industries, Inc.</w:t>
            </w: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6"/>
          </w:tcPr>
          <w:p>
            <w:pPr>
              <w:jc w:val="center"/>
              <w:ind w:right="340"/>
              <w:spacing w:after="0"/>
              <w:rPr>
                <w:sz w:val="20"/>
                <w:szCs w:val="20"/>
                <w:color w:val="auto"/>
              </w:rPr>
            </w:pPr>
            <w:r>
              <w:rPr>
                <w:rFonts w:ascii="Arial" w:cs="Arial" w:eastAsia="Arial" w:hAnsi="Arial"/>
                <w:sz w:val="22"/>
                <w:szCs w:val="22"/>
                <w:b w:val="1"/>
                <w:bCs w:val="1"/>
                <w:color w:val="auto"/>
                <w:w w:val="97"/>
              </w:rPr>
              <w:t>Table of Contents</w:t>
            </w:r>
          </w:p>
        </w:tc>
      </w:tr>
      <w:tr>
        <w:trPr>
          <w:trHeight w:val="530"/>
        </w:trPr>
        <w:tc>
          <w:tcPr>
            <w:tcW w:w="64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Glossary</w:t>
              </w:r>
            </w:hyperlink>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20"/>
        </w:trPr>
        <w:tc>
          <w:tcPr>
            <w:tcW w:w="520" w:type="dxa"/>
            <w:vAlign w:val="bottom"/>
          </w:tcPr>
          <w:p>
            <w:pPr>
              <w:spacing w:after="0"/>
              <w:rPr>
                <w:sz w:val="20"/>
                <w:szCs w:val="20"/>
                <w:color w:val="auto"/>
              </w:rPr>
            </w:pPr>
            <w:r>
              <w:rPr>
                <w:rFonts w:ascii="Arial" w:cs="Arial" w:eastAsia="Arial" w:hAnsi="Arial"/>
                <w:sz w:val="16"/>
                <w:szCs w:val="16"/>
                <w:b w:val="1"/>
                <w:bCs w:val="1"/>
                <w:color w:val="0000EE"/>
                <w:w w:val="95"/>
              </w:rPr>
              <w:t>PART I</w:t>
            </w:r>
          </w:p>
        </w:tc>
        <w:tc>
          <w:tcPr>
            <w:tcW w:w="1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6360" w:type="dxa"/>
            <w:vAlign w:val="bottom"/>
            <w:gridSpan w:val="29"/>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6"/>
                <w:szCs w:val="16"/>
                <w:color w:val="auto"/>
              </w:rPr>
              <w:t>Item 1.</w:t>
            </w:r>
          </w:p>
        </w:tc>
        <w:tc>
          <w:tcPr>
            <w:tcW w:w="1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6360" w:type="dxa"/>
            <w:vAlign w:val="bottom"/>
            <w:gridSpan w:val="29"/>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Financial Statements (Unaudited</w:t>
              </w:r>
            </w:hyperlink>
            <w:r>
              <w:rPr>
                <w:rFonts w:ascii="Arial" w:cs="Arial" w:eastAsia="Arial" w:hAnsi="Arial"/>
                <w:sz w:val="16"/>
                <w:szCs w:val="16"/>
                <w:color w:val="000000"/>
              </w:rPr>
              <w:t>)</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tcBorders>
              <w:bottom w:val="single" w:sz="8" w:color="0000EE"/>
            </w:tcBorders>
            <w:gridSpan w:val="27"/>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Operations and Comprehensive Income</w:t>
              </w:r>
            </w:hyperlink>
          </w:p>
        </w:tc>
        <w:tc>
          <w:tcPr>
            <w:tcW w:w="12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gridSpan w:val="28"/>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Balance Sheets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80" w:type="dxa"/>
            <w:vAlign w:val="bottom"/>
            <w:tcBorders>
              <w:bottom w:val="single" w:sz="8" w:color="0000EE"/>
            </w:tcBorders>
            <w:gridSpan w:val="18"/>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w:t>
              </w:r>
            </w:hyperlink>
          </w:p>
        </w:tc>
        <w:tc>
          <w:tcPr>
            <w:tcW w:w="3240" w:type="dxa"/>
            <w:vAlign w:val="bottom"/>
            <w:gridSpan w:val="10"/>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gridSpan w:val="28"/>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Notes to Consolidated Financial Statements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15"/>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1: Basis of Presentation</w:t>
              </w:r>
            </w:hyperlink>
          </w:p>
        </w:tc>
        <w:tc>
          <w:tcPr>
            <w:tcW w:w="820" w:type="dxa"/>
            <w:vAlign w:val="bottom"/>
            <w:tcBorders>
              <w:top w:val="single" w:sz="8" w:color="0000EE"/>
            </w:tcBorders>
            <w:gridSpan w:val="5"/>
          </w:tcPr>
          <w:p>
            <w:pPr>
              <w:spacing w:after="0"/>
              <w:rPr>
                <w:sz w:val="21"/>
                <w:szCs w:val="21"/>
                <w:color w:val="auto"/>
              </w:rPr>
            </w:pPr>
          </w:p>
        </w:tc>
        <w:tc>
          <w:tcPr>
            <w:tcW w:w="2980" w:type="dxa"/>
            <w:vAlign w:val="bottom"/>
            <w:gridSpan w:val="7"/>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7"/>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2: Concentration Risk</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40" w:type="dxa"/>
            <w:vAlign w:val="bottom"/>
            <w:tcBorders>
              <w:bottom w:val="single" w:sz="8" w:color="0000EE"/>
            </w:tcBorders>
            <w:gridSpan w:val="23"/>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3: Investments and Fair Value Measurements</w:t>
              </w:r>
            </w:hyperlink>
          </w:p>
        </w:tc>
        <w:tc>
          <w:tcPr>
            <w:tcW w:w="2260" w:type="dxa"/>
            <w:vAlign w:val="bottom"/>
            <w:gridSpan w:val="4"/>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bottom w:val="single" w:sz="8" w:color="0000EE"/>
            </w:tcBorders>
            <w:gridSpan w:val="7"/>
          </w:tcPr>
          <w:p>
            <w:pPr>
              <w:spacing w:after="0"/>
              <w:rPr>
                <w:rFonts w:ascii="Arial" w:cs="Arial" w:eastAsia="Arial" w:hAnsi="Arial"/>
                <w:sz w:val="16"/>
                <w:szCs w:val="16"/>
                <w:color w:val="0000EE"/>
                <w:w w:val="99"/>
              </w:rPr>
            </w:pPr>
            <w:hyperlink w:anchor="page9">
              <w:r>
                <w:rPr>
                  <w:rFonts w:ascii="Arial" w:cs="Arial" w:eastAsia="Arial" w:hAnsi="Arial"/>
                  <w:sz w:val="16"/>
                  <w:szCs w:val="16"/>
                  <w:color w:val="0000EE"/>
                  <w:w w:val="99"/>
                </w:rPr>
                <w:t>Note 4: Inventories</w:t>
              </w:r>
            </w:hyperlink>
          </w:p>
        </w:tc>
        <w:tc>
          <w:tcPr>
            <w:tcW w:w="4540" w:type="dxa"/>
            <w:vAlign w:val="bottom"/>
            <w:gridSpan w:val="20"/>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80" w:type="dxa"/>
            <w:vAlign w:val="bottom"/>
            <w:tcBorders>
              <w:bottom w:val="single" w:sz="8" w:color="0000EE"/>
            </w:tcBorders>
            <w:gridSpan w:val="18"/>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5: Property, Plant and Equipment</w:t>
              </w:r>
            </w:hyperlink>
          </w:p>
        </w:tc>
        <w:tc>
          <w:tcPr>
            <w:tcW w:w="3120" w:type="dxa"/>
            <w:vAlign w:val="bottom"/>
            <w:gridSpan w:val="9"/>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Borders>
              <w:bottom w:val="single" w:sz="8" w:color="0000EE"/>
            </w:tcBorders>
            <w:gridSpan w:val="10"/>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6: Credit Facilities</w:t>
              </w:r>
            </w:hyperlink>
          </w:p>
        </w:tc>
        <w:tc>
          <w:tcPr>
            <w:tcW w:w="4220" w:type="dxa"/>
            <w:vAlign w:val="bottom"/>
            <w:gridSpan w:val="17"/>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10">
              <w:r>
                <w:rPr>
                  <w:rFonts w:ascii="Arial" w:cs="Arial" w:eastAsia="Arial" w:hAnsi="Arial"/>
                  <w:sz w:val="16"/>
                  <w:szCs w:val="16"/>
                  <w:color w:val="0000EE"/>
                  <w:w w:val="99"/>
                </w:rPr>
                <w:t>Note 7: Warranty</w:t>
              </w:r>
            </w:hyperlink>
          </w:p>
        </w:tc>
        <w:tc>
          <w:tcPr>
            <w:tcW w:w="4680" w:type="dxa"/>
            <w:vAlign w:val="bottom"/>
            <w:gridSpan w:val="23"/>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Borders>
              <w:bottom w:val="single" w:sz="8" w:color="0000EE"/>
            </w:tcBorders>
            <w:gridSpan w:val="19"/>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Note 8: Employee and Retiree Benefits</w:t>
              </w:r>
            </w:hyperlink>
          </w:p>
        </w:tc>
        <w:tc>
          <w:tcPr>
            <w:tcW w:w="3100" w:type="dxa"/>
            <w:vAlign w:val="bottom"/>
            <w:gridSpan w:val="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tcBorders>
              <w:bottom w:val="single" w:sz="8" w:color="0000EE"/>
            </w:tcBorders>
            <w:gridSpan w:val="21"/>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 9: Stock-Based Compensation Plans</w:t>
              </w:r>
            </w:hyperlink>
          </w:p>
        </w:tc>
        <w:tc>
          <w:tcPr>
            <w:tcW w:w="2880" w:type="dxa"/>
            <w:vAlign w:val="bottom"/>
            <w:gridSpan w:val="6"/>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7"/>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 10: Contingent Liabilities and Commitments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top w:val="single" w:sz="8" w:color="0000EE"/>
              <w:bottom w:val="single" w:sz="8" w:color="0000EE"/>
            </w:tcBorders>
            <w:gridSpan w:val="9"/>
          </w:tcPr>
          <w:p>
            <w:pPr>
              <w:spacing w:after="0"/>
              <w:rPr>
                <w:rFonts w:ascii="Arial" w:cs="Arial" w:eastAsia="Arial" w:hAnsi="Arial"/>
                <w:sz w:val="16"/>
                <w:szCs w:val="16"/>
                <w:color w:val="0000EE"/>
                <w:w w:val="99"/>
              </w:rPr>
            </w:pPr>
            <w:hyperlink w:anchor="page12">
              <w:r>
                <w:rPr>
                  <w:rFonts w:ascii="Arial" w:cs="Arial" w:eastAsia="Arial" w:hAnsi="Arial"/>
                  <w:sz w:val="16"/>
                  <w:szCs w:val="16"/>
                  <w:color w:val="0000EE"/>
                  <w:w w:val="99"/>
                </w:rPr>
                <w:t>Note 11: Income Taxes</w:t>
              </w:r>
            </w:hyperlink>
          </w:p>
        </w:tc>
        <w:tc>
          <w:tcPr>
            <w:tcW w:w="1840" w:type="dxa"/>
            <w:vAlign w:val="bottom"/>
            <w:tcBorders>
              <w:top w:val="single" w:sz="8" w:color="0000EE"/>
            </w:tcBorders>
            <w:gridSpan w:val="13"/>
          </w:tcPr>
          <w:p>
            <w:pPr>
              <w:spacing w:after="0"/>
              <w:rPr>
                <w:sz w:val="21"/>
                <w:szCs w:val="21"/>
                <w:color w:val="auto"/>
              </w:rPr>
            </w:pPr>
          </w:p>
        </w:tc>
        <w:tc>
          <w:tcPr>
            <w:tcW w:w="2400" w:type="dxa"/>
            <w:vAlign w:val="bottom"/>
            <w:gridSpan w:val="5"/>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7"/>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 12: Earnings Per Share</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7"/>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 13: Comprehensive Income</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Borders>
              <w:top w:val="single" w:sz="8" w:color="0000EE"/>
              <w:bottom w:val="single" w:sz="8" w:color="0000EE"/>
            </w:tcBorders>
            <w:gridSpan w:val="13"/>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Note 14: Subsequent Event</w:t>
              </w:r>
            </w:hyperlink>
          </w:p>
        </w:tc>
        <w:tc>
          <w:tcPr>
            <w:tcW w:w="380" w:type="dxa"/>
            <w:vAlign w:val="bottom"/>
            <w:tcBorders>
              <w:top w:val="single" w:sz="8" w:color="0000EE"/>
            </w:tcBorders>
            <w:gridSpan w:val="3"/>
          </w:tcPr>
          <w:p>
            <w:pPr>
              <w:spacing w:after="0"/>
              <w:rPr>
                <w:sz w:val="21"/>
                <w:szCs w:val="21"/>
                <w:color w:val="auto"/>
              </w:rPr>
            </w:pPr>
          </w:p>
        </w:tc>
        <w:tc>
          <w:tcPr>
            <w:tcW w:w="3540" w:type="dxa"/>
            <w:vAlign w:val="bottom"/>
            <w:gridSpan w:val="11"/>
          </w:tcPr>
          <w:p>
            <w:pPr>
              <w:spacing w:after="0"/>
              <w:rPr>
                <w:sz w:val="21"/>
                <w:szCs w:val="21"/>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21"/>
                <w:szCs w:val="21"/>
                <w:color w:val="auto"/>
              </w:rPr>
            </w:pPr>
          </w:p>
        </w:tc>
        <w:tc>
          <w:tcPr>
            <w:tcW w:w="6360" w:type="dxa"/>
            <w:vAlign w:val="bottom"/>
            <w:tcBorders>
              <w:bottom w:val="single" w:sz="8" w:color="0000EE"/>
            </w:tcBorders>
            <w:gridSpan w:val="29"/>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Management's Discussion and Analysis of Financial Condition and Results of Operations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3.</w:t>
            </w:r>
          </w:p>
        </w:tc>
        <w:tc>
          <w:tcPr>
            <w:tcW w:w="280" w:type="dxa"/>
            <w:vAlign w:val="bottom"/>
          </w:tcPr>
          <w:p>
            <w:pPr>
              <w:spacing w:after="0"/>
              <w:rPr>
                <w:sz w:val="19"/>
                <w:szCs w:val="19"/>
                <w:color w:val="auto"/>
              </w:rPr>
            </w:pPr>
          </w:p>
        </w:tc>
        <w:tc>
          <w:tcPr>
            <w:tcW w:w="4240" w:type="dxa"/>
            <w:vAlign w:val="bottom"/>
            <w:tcBorders>
              <w:bottom w:val="single" w:sz="8" w:color="0000EE"/>
            </w:tcBorders>
            <w:gridSpan w:val="26"/>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Quantitative and Qualitative Disclosures About Market Risk</w:t>
              </w:r>
            </w:hyperlink>
          </w:p>
        </w:tc>
        <w:tc>
          <w:tcPr>
            <w:tcW w:w="2120" w:type="dxa"/>
            <w:vAlign w:val="bottom"/>
            <w:gridSpan w:val="3"/>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4.</w:t>
            </w:r>
          </w:p>
        </w:tc>
        <w:tc>
          <w:tcPr>
            <w:tcW w:w="280" w:type="dxa"/>
            <w:vAlign w:val="bottom"/>
          </w:tcPr>
          <w:p>
            <w:pPr>
              <w:spacing w:after="0"/>
              <w:rPr>
                <w:sz w:val="19"/>
                <w:szCs w:val="19"/>
                <w:color w:val="auto"/>
              </w:rPr>
            </w:pPr>
          </w:p>
        </w:tc>
        <w:tc>
          <w:tcPr>
            <w:tcW w:w="6360" w:type="dxa"/>
            <w:vAlign w:val="bottom"/>
            <w:gridSpan w:val="29"/>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Controls and Procedures</w:t>
              </w:r>
            </w:hyperlink>
          </w:p>
        </w:tc>
      </w:tr>
      <w:tr>
        <w:trPr>
          <w:trHeight w:val="520"/>
        </w:trPr>
        <w:tc>
          <w:tcPr>
            <w:tcW w:w="560" w:type="dxa"/>
            <w:vAlign w:val="bottom"/>
            <w:tcBorders>
              <w:bottom w:val="single" w:sz="8" w:color="0000EE"/>
            </w:tcBorders>
            <w:gridSpan w:val="2"/>
          </w:tcPr>
          <w:p>
            <w:pPr>
              <w:spacing w:after="0"/>
              <w:rPr>
                <w:rFonts w:ascii="Arial" w:cs="Arial" w:eastAsia="Arial" w:hAnsi="Arial"/>
                <w:sz w:val="16"/>
                <w:szCs w:val="16"/>
                <w:b w:val="1"/>
                <w:bCs w:val="1"/>
                <w:color w:val="0000EE"/>
                <w:w w:val="94"/>
              </w:rPr>
            </w:pPr>
            <w:hyperlink w:anchor="page23">
              <w:r>
                <w:rPr>
                  <w:rFonts w:ascii="Arial" w:cs="Arial" w:eastAsia="Arial" w:hAnsi="Arial"/>
                  <w:sz w:val="16"/>
                  <w:szCs w:val="16"/>
                  <w:b w:val="1"/>
                  <w:bCs w:val="1"/>
                  <w:color w:val="0000EE"/>
                  <w:w w:val="94"/>
                </w:rPr>
                <w:t>PART II</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7"/>
          </w:tcPr>
          <w:p>
            <w:pPr>
              <w:spacing w:after="0"/>
              <w:rPr>
                <w:rFonts w:ascii="Arial" w:cs="Arial" w:eastAsia="Arial" w:hAnsi="Arial"/>
                <w:sz w:val="16"/>
                <w:szCs w:val="16"/>
                <w:b w:val="1"/>
                <w:bCs w:val="1"/>
                <w:color w:val="0000EE"/>
                <w:w w:val="99"/>
              </w:rPr>
            </w:pPr>
            <w:hyperlink w:anchor="page23">
              <w:r>
                <w:rPr>
                  <w:rFonts w:ascii="Arial" w:cs="Arial" w:eastAsia="Arial" w:hAnsi="Arial"/>
                  <w:sz w:val="16"/>
                  <w:szCs w:val="16"/>
                  <w:b w:val="1"/>
                  <w:bCs w:val="1"/>
                  <w:color w:val="0000EE"/>
                  <w:w w:val="99"/>
                </w:rPr>
                <w:t>OTHER INFORMATION</w:t>
              </w:r>
            </w:hyperlink>
          </w:p>
        </w:tc>
        <w:tc>
          <w:tcPr>
            <w:tcW w:w="40" w:type="dxa"/>
            <w:vAlign w:val="bottom"/>
            <w:tcBorders>
              <w:top w:val="single" w:sz="8" w:color="0000EE"/>
            </w:tcBorders>
          </w:tcPr>
          <w:p>
            <w:pPr>
              <w:spacing w:after="0"/>
              <w:rPr>
                <w:sz w:val="24"/>
                <w:szCs w:val="24"/>
                <w:color w:val="auto"/>
              </w:rPr>
            </w:pPr>
          </w:p>
        </w:tc>
        <w:tc>
          <w:tcPr>
            <w:tcW w:w="4580" w:type="dxa"/>
            <w:vAlign w:val="bottom"/>
            <w:gridSpan w:val="21"/>
          </w:tcPr>
          <w:p>
            <w:pPr>
              <w:spacing w:after="0"/>
              <w:rPr>
                <w:sz w:val="24"/>
                <w:szCs w:val="24"/>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1.</w:t>
            </w:r>
          </w:p>
        </w:tc>
        <w:tc>
          <w:tcPr>
            <w:tcW w:w="280" w:type="dxa"/>
            <w:vAlign w:val="bottom"/>
          </w:tcPr>
          <w:p>
            <w:pPr>
              <w:spacing w:after="0"/>
              <w:rPr>
                <w:sz w:val="21"/>
                <w:szCs w:val="21"/>
                <w:color w:val="auto"/>
              </w:rPr>
            </w:pPr>
          </w:p>
        </w:tc>
        <w:tc>
          <w:tcPr>
            <w:tcW w:w="1340" w:type="dxa"/>
            <w:vAlign w:val="bottom"/>
            <w:tcBorders>
              <w:bottom w:val="single" w:sz="8" w:color="0000EE"/>
            </w:tcBorders>
            <w:gridSpan w:val="5"/>
          </w:tcPr>
          <w:p>
            <w:pPr>
              <w:spacing w:after="0"/>
              <w:rPr>
                <w:rFonts w:ascii="Arial" w:cs="Arial" w:eastAsia="Arial" w:hAnsi="Arial"/>
                <w:sz w:val="16"/>
                <w:szCs w:val="16"/>
                <w:color w:val="0000EE"/>
                <w:w w:val="99"/>
              </w:rPr>
            </w:pPr>
            <w:hyperlink w:anchor="page23">
              <w:r>
                <w:rPr>
                  <w:rFonts w:ascii="Arial" w:cs="Arial" w:eastAsia="Arial" w:hAnsi="Arial"/>
                  <w:sz w:val="16"/>
                  <w:szCs w:val="16"/>
                  <w:color w:val="0000EE"/>
                  <w:w w:val="99"/>
                </w:rPr>
                <w:t>Legal Proceedings</w:t>
              </w:r>
            </w:hyperlink>
          </w:p>
        </w:tc>
        <w:tc>
          <w:tcPr>
            <w:tcW w:w="5020" w:type="dxa"/>
            <w:vAlign w:val="bottom"/>
            <w:gridSpan w:val="24"/>
          </w:tcPr>
          <w:p>
            <w:pPr>
              <w:spacing w:after="0"/>
              <w:rPr>
                <w:sz w:val="21"/>
                <w:szCs w:val="21"/>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1A</w:t>
            </w:r>
          </w:p>
        </w:tc>
        <w:tc>
          <w:tcPr>
            <w:tcW w:w="280" w:type="dxa"/>
            <w:vAlign w:val="bottom"/>
          </w:tcPr>
          <w:p>
            <w:pPr>
              <w:spacing w:after="0"/>
              <w:rPr>
                <w:sz w:val="19"/>
                <w:szCs w:val="19"/>
                <w:color w:val="auto"/>
              </w:rPr>
            </w:pPr>
          </w:p>
        </w:tc>
        <w:tc>
          <w:tcPr>
            <w:tcW w:w="900" w:type="dxa"/>
            <w:vAlign w:val="bottom"/>
            <w:tcBorders>
              <w:bottom w:val="single" w:sz="8" w:color="0000EE"/>
            </w:tcBorders>
            <w:gridSpan w:val="4"/>
          </w:tcPr>
          <w:p>
            <w:pPr>
              <w:spacing w:after="0"/>
              <w:rPr>
                <w:rFonts w:ascii="Arial" w:cs="Arial" w:eastAsia="Arial" w:hAnsi="Arial"/>
                <w:sz w:val="16"/>
                <w:szCs w:val="16"/>
                <w:color w:val="0000EE"/>
                <w:w w:val="98"/>
              </w:rPr>
            </w:pPr>
            <w:hyperlink w:anchor="page23">
              <w:r>
                <w:rPr>
                  <w:rFonts w:ascii="Arial" w:cs="Arial" w:eastAsia="Arial" w:hAnsi="Arial"/>
                  <w:sz w:val="16"/>
                  <w:szCs w:val="16"/>
                  <w:color w:val="0000EE"/>
                  <w:w w:val="98"/>
                </w:rPr>
                <w:t>Risk Factors</w:t>
              </w:r>
            </w:hyperlink>
          </w:p>
        </w:tc>
        <w:tc>
          <w:tcPr>
            <w:tcW w:w="5460" w:type="dxa"/>
            <w:vAlign w:val="bottom"/>
            <w:gridSpan w:val="25"/>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19"/>
                <w:szCs w:val="19"/>
                <w:color w:val="auto"/>
              </w:rPr>
            </w:pPr>
          </w:p>
        </w:tc>
        <w:tc>
          <w:tcPr>
            <w:tcW w:w="6360" w:type="dxa"/>
            <w:vAlign w:val="bottom"/>
            <w:gridSpan w:val="29"/>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Unregistered Sales of Equity Securities and Use of Proceeds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6.</w:t>
            </w:r>
          </w:p>
        </w:tc>
        <w:tc>
          <w:tcPr>
            <w:tcW w:w="280" w:type="dxa"/>
            <w:vAlign w:val="bottom"/>
          </w:tcPr>
          <w:p>
            <w:pPr>
              <w:spacing w:after="0"/>
              <w:rPr>
                <w:sz w:val="19"/>
                <w:szCs w:val="19"/>
                <w:color w:val="auto"/>
              </w:rPr>
            </w:pPr>
          </w:p>
        </w:tc>
        <w:tc>
          <w:tcPr>
            <w:tcW w:w="4360" w:type="dxa"/>
            <w:vAlign w:val="bottom"/>
            <w:tcBorders>
              <w:top w:val="single" w:sz="8" w:color="0000EE"/>
            </w:tcBorders>
            <w:gridSpan w:val="27"/>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Exhibits</w:t>
              </w:r>
            </w:hyperlink>
          </w:p>
        </w:tc>
        <w:tc>
          <w:tcPr>
            <w:tcW w:w="2000" w:type="dxa"/>
            <w:vAlign w:val="bottom"/>
            <w:gridSpan w:val="2"/>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4">
        <w:r>
          <w:rPr>
            <w:rFonts w:ascii="Arial" w:cs="Arial" w:eastAsia="Arial" w:hAnsi="Arial"/>
            <w:sz w:val="16"/>
            <w:szCs w:val="16"/>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1</w:t>
        </w:r>
      </w:hyperlink>
    </w:p>
    <w:p>
      <w:pPr>
        <w:spacing w:after="0" w:line="356" w:lineRule="exact"/>
        <w:rPr>
          <w:sz w:val="20"/>
          <w:szCs w:val="20"/>
          <w:color w:val="auto"/>
        </w:rPr>
      </w:pPr>
    </w:p>
    <w:p>
      <w:pPr>
        <w:jc w:val="right"/>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2</w:t>
        </w:r>
      </w:hyperlink>
    </w:p>
    <w:p>
      <w:pPr>
        <w:spacing w:after="0" w:line="356" w:lineRule="exact"/>
        <w:rPr>
          <w:sz w:val="20"/>
          <w:szCs w:val="20"/>
          <w:color w:val="auto"/>
        </w:rPr>
      </w:pPr>
    </w:p>
    <w:p>
      <w:pPr>
        <w:jc w:val="right"/>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2</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4</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9</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9</w:t>
        </w:r>
      </w:hyperlink>
    </w:p>
    <w:p>
      <w:pPr>
        <w:spacing w:after="0" w:line="86" w:lineRule="exact"/>
        <w:rPr>
          <w:sz w:val="20"/>
          <w:szCs w:val="20"/>
          <w:color w:val="auto"/>
        </w:rPr>
      </w:pPr>
    </w:p>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11</w:t>
        </w:r>
      </w:hyperlink>
    </w:p>
    <w:p>
      <w:pPr>
        <w:spacing w:after="0" w:line="86" w:lineRule="exact"/>
        <w:rPr>
          <w:sz w:val="20"/>
          <w:szCs w:val="20"/>
          <w:color w:val="auto"/>
        </w:rPr>
      </w:pPr>
    </w:p>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11</w:t>
        </w:r>
      </w:hyperlink>
    </w:p>
    <w:p>
      <w:pPr>
        <w:spacing w:after="0" w:line="86" w:lineRule="exact"/>
        <w:rPr>
          <w:sz w:val="20"/>
          <w:szCs w:val="20"/>
          <w:color w:val="auto"/>
        </w:rPr>
      </w:pPr>
    </w:p>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12</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12</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21</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21</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21</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21</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21</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22</w:t>
        </w:r>
      </w:hyperlink>
    </w:p>
    <w:p>
      <w:pPr>
        <w:spacing w:after="0" w:line="356" w:lineRule="exact"/>
        <w:rPr>
          <w:sz w:val="20"/>
          <w:szCs w:val="20"/>
          <w:color w:val="auto"/>
        </w:rPr>
      </w:pPr>
    </w:p>
    <w:p>
      <w:pPr>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22</w:t>
        </w:r>
      </w:hyperlink>
    </w:p>
    <w:p>
      <w:pPr>
        <w:sectPr>
          <w:pgSz w:w="11900" w:h="16838" w:orient="portrait"/>
          <w:cols w:equalWidth="0" w:num="2">
            <w:col w:w="10460" w:space="720"/>
            <w:col w:w="18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3M</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3M Company</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AOCI</w:t>
            </w:r>
          </w:p>
        </w:tc>
        <w:tc>
          <w:tcPr>
            <w:tcW w:w="974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ARS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Auction Rate Securities</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ASC</w:t>
            </w:r>
          </w:p>
        </w:tc>
        <w:tc>
          <w:tcPr>
            <w:tcW w:w="9740" w:type="dxa"/>
            <w:vAlign w:val="bottom"/>
          </w:tcPr>
          <w:p>
            <w:pPr>
              <w:ind w:left="380"/>
              <w:spacing w:after="0"/>
              <w:rPr>
                <w:sz w:val="20"/>
                <w:szCs w:val="20"/>
                <w:color w:val="auto"/>
              </w:rPr>
            </w:pPr>
            <w:r>
              <w:rPr>
                <w:rFonts w:ascii="Arial" w:cs="Arial" w:eastAsia="Arial" w:hAnsi="Arial"/>
                <w:sz w:val="16"/>
                <w:szCs w:val="16"/>
                <w:color w:val="auto"/>
              </w:rPr>
              <w:t>Accounting Standards Codification</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Average Sales Price</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ASU</w:t>
            </w:r>
          </w:p>
        </w:tc>
        <w:tc>
          <w:tcPr>
            <w:tcW w:w="9740" w:type="dxa"/>
            <w:vAlign w:val="bottom"/>
          </w:tcPr>
          <w:p>
            <w:pPr>
              <w:ind w:left="380"/>
              <w:spacing w:after="0"/>
              <w:rPr>
                <w:sz w:val="20"/>
                <w:szCs w:val="20"/>
                <w:color w:val="auto"/>
              </w:rPr>
            </w:pPr>
            <w:r>
              <w:rPr>
                <w:rFonts w:ascii="Arial" w:cs="Arial" w:eastAsia="Arial" w:hAnsi="Arial"/>
                <w:sz w:val="16"/>
                <w:szCs w:val="16"/>
                <w:color w:val="auto"/>
              </w:rPr>
              <w:t>Accounting Standards Update</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COLI</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Company Owned Life Insurance</w:t>
            </w:r>
          </w:p>
        </w:tc>
      </w:tr>
      <w:tr>
        <w:trPr>
          <w:trHeight w:val="218"/>
        </w:trPr>
        <w:tc>
          <w:tcPr>
            <w:tcW w:w="1680" w:type="dxa"/>
            <w:vAlign w:val="bottom"/>
          </w:tcPr>
          <w:p>
            <w:pPr>
              <w:ind w:left="40"/>
              <w:spacing w:after="0"/>
              <w:rPr>
                <w:sz w:val="20"/>
                <w:szCs w:val="20"/>
                <w:color w:val="auto"/>
              </w:rPr>
            </w:pPr>
            <w:r>
              <w:rPr>
                <w:rFonts w:ascii="Arial" w:cs="Arial" w:eastAsia="Arial" w:hAnsi="Arial"/>
                <w:sz w:val="16"/>
                <w:szCs w:val="16"/>
                <w:color w:val="auto"/>
              </w:rPr>
              <w:t>Credit Agreement</w:t>
            </w:r>
          </w:p>
        </w:tc>
        <w:tc>
          <w:tcPr>
            <w:tcW w:w="9740" w:type="dxa"/>
            <w:vAlign w:val="bottom"/>
          </w:tcPr>
          <w:p>
            <w:pPr>
              <w:ind w:left="380"/>
              <w:spacing w:after="0"/>
              <w:rPr>
                <w:sz w:val="20"/>
                <w:szCs w:val="20"/>
                <w:color w:val="auto"/>
              </w:rPr>
            </w:pPr>
            <w:r>
              <w:rPr>
                <w:rFonts w:ascii="Arial" w:cs="Arial" w:eastAsia="Arial" w:hAnsi="Arial"/>
                <w:sz w:val="16"/>
                <w:szCs w:val="16"/>
                <w:color w:val="auto"/>
              </w:rPr>
              <w:t>Credit Agreement dated as of October 31, 2012 by and between Winnebago Industries, Inc. and Winnebago of Indiana, LLC, as</w:t>
            </w:r>
          </w:p>
        </w:tc>
      </w:tr>
      <w:tr>
        <w:trPr>
          <w:trHeight w:val="204"/>
        </w:trPr>
        <w:tc>
          <w:tcPr>
            <w:tcW w:w="1680" w:type="dxa"/>
            <w:vAlign w:val="bottom"/>
          </w:tcPr>
          <w:p>
            <w:pPr>
              <w:spacing w:after="0"/>
              <w:rPr>
                <w:sz w:val="17"/>
                <w:szCs w:val="17"/>
                <w:color w:val="auto"/>
              </w:rPr>
            </w:pPr>
          </w:p>
        </w:tc>
        <w:tc>
          <w:tcPr>
            <w:tcW w:w="9740" w:type="dxa"/>
            <w:vAlign w:val="bottom"/>
          </w:tcPr>
          <w:p>
            <w:pPr>
              <w:ind w:left="380"/>
              <w:spacing w:after="0"/>
              <w:rPr>
                <w:sz w:val="20"/>
                <w:szCs w:val="20"/>
                <w:color w:val="auto"/>
              </w:rPr>
            </w:pPr>
            <w:r>
              <w:rPr>
                <w:rFonts w:ascii="Arial" w:cs="Arial" w:eastAsia="Arial" w:hAnsi="Arial"/>
                <w:sz w:val="16"/>
                <w:szCs w:val="16"/>
                <w:color w:val="auto"/>
              </w:rPr>
              <w:t>Borrowers, and General Electric Capital Corporation, as Agent</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DCF</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Discounted Cash Flow</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FASB</w:t>
            </w:r>
          </w:p>
        </w:tc>
        <w:tc>
          <w:tcPr>
            <w:tcW w:w="9740" w:type="dxa"/>
            <w:vAlign w:val="bottom"/>
          </w:tcPr>
          <w:p>
            <w:pPr>
              <w:ind w:left="380"/>
              <w:spacing w:after="0"/>
              <w:rPr>
                <w:sz w:val="20"/>
                <w:szCs w:val="20"/>
                <w:color w:val="auto"/>
              </w:rPr>
            </w:pPr>
            <w:r>
              <w:rPr>
                <w:rFonts w:ascii="Arial" w:cs="Arial" w:eastAsia="Arial" w:hAnsi="Arial"/>
                <w:sz w:val="16"/>
                <w:szCs w:val="16"/>
                <w:color w:val="auto"/>
              </w:rPr>
              <w:t>Financial Accounting Standards Board</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FIFO</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First In, First Out</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GAAP</w:t>
            </w:r>
          </w:p>
        </w:tc>
        <w:tc>
          <w:tcPr>
            <w:tcW w:w="9740" w:type="dxa"/>
            <w:vAlign w:val="bottom"/>
          </w:tcPr>
          <w:p>
            <w:pPr>
              <w:ind w:left="380"/>
              <w:spacing w:after="0"/>
              <w:rPr>
                <w:sz w:val="20"/>
                <w:szCs w:val="20"/>
                <w:color w:val="auto"/>
              </w:rPr>
            </w:pPr>
            <w:r>
              <w:rPr>
                <w:rFonts w:ascii="Arial" w:cs="Arial" w:eastAsia="Arial" w:hAnsi="Arial"/>
                <w:sz w:val="16"/>
                <w:szCs w:val="16"/>
                <w:color w:val="auto"/>
              </w:rPr>
              <w:t>Generally Accepted Accounting Principles</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GECC</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 Electric Capital Corporation</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IRS</w:t>
            </w:r>
          </w:p>
        </w:tc>
        <w:tc>
          <w:tcPr>
            <w:tcW w:w="9740" w:type="dxa"/>
            <w:vAlign w:val="bottom"/>
          </w:tcPr>
          <w:p>
            <w:pPr>
              <w:ind w:left="380"/>
              <w:spacing w:after="0"/>
              <w:rPr>
                <w:sz w:val="20"/>
                <w:szCs w:val="20"/>
                <w:color w:val="auto"/>
              </w:rPr>
            </w:pPr>
            <w:r>
              <w:rPr>
                <w:rFonts w:ascii="Arial" w:cs="Arial" w:eastAsia="Arial" w:hAnsi="Arial"/>
                <w:sz w:val="16"/>
                <w:szCs w:val="16"/>
                <w:color w:val="auto"/>
              </w:rPr>
              <w:t>Internal Revenue Service</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IT</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Information Technology</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LIBOR</w:t>
            </w:r>
          </w:p>
        </w:tc>
        <w:tc>
          <w:tcPr>
            <w:tcW w:w="9740" w:type="dxa"/>
            <w:vAlign w:val="bottom"/>
          </w:tcPr>
          <w:p>
            <w:pPr>
              <w:ind w:left="380"/>
              <w:spacing w:after="0"/>
              <w:rPr>
                <w:sz w:val="20"/>
                <w:szCs w:val="20"/>
                <w:color w:val="auto"/>
              </w:rPr>
            </w:pPr>
            <w:r>
              <w:rPr>
                <w:rFonts w:ascii="Arial" w:cs="Arial" w:eastAsia="Arial" w:hAnsi="Arial"/>
                <w:sz w:val="16"/>
                <w:szCs w:val="16"/>
                <w:color w:val="auto"/>
              </w:rPr>
              <w:t>London Interbank Offered Rate</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Last In, First Out</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NMF</w:t>
            </w:r>
          </w:p>
        </w:tc>
        <w:tc>
          <w:tcPr>
            <w:tcW w:w="9740" w:type="dxa"/>
            <w:vAlign w:val="bottom"/>
          </w:tcPr>
          <w:p>
            <w:pPr>
              <w:ind w:left="380"/>
              <w:spacing w:after="0"/>
              <w:rPr>
                <w:sz w:val="20"/>
                <w:szCs w:val="20"/>
                <w:color w:val="auto"/>
              </w:rPr>
            </w:pPr>
            <w:r>
              <w:rPr>
                <w:rFonts w:ascii="Arial" w:cs="Arial" w:eastAsia="Arial" w:hAnsi="Arial"/>
                <w:sz w:val="16"/>
                <w:szCs w:val="16"/>
                <w:color w:val="auto"/>
              </w:rPr>
              <w:t>Non-Meaningful Figure</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NYSE</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New York Stock Exchange</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OCI</w:t>
            </w:r>
          </w:p>
        </w:tc>
        <w:tc>
          <w:tcPr>
            <w:tcW w:w="9740" w:type="dxa"/>
            <w:vAlign w:val="bottom"/>
          </w:tcPr>
          <w:p>
            <w:pPr>
              <w:ind w:left="380"/>
              <w:spacing w:after="0"/>
              <w:rPr>
                <w:sz w:val="20"/>
                <w:szCs w:val="20"/>
                <w:color w:val="auto"/>
              </w:rPr>
            </w:pPr>
            <w:r>
              <w:rPr>
                <w:rFonts w:ascii="Arial" w:cs="Arial" w:eastAsia="Arial" w:hAnsi="Arial"/>
                <w:sz w:val="16"/>
                <w:szCs w:val="16"/>
                <w:color w:val="auto"/>
              </w:rPr>
              <w:t>Other Comprehensive Income</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RV</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Recreation Vehicle</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RVIA</w:t>
            </w:r>
          </w:p>
        </w:tc>
        <w:tc>
          <w:tcPr>
            <w:tcW w:w="9740" w:type="dxa"/>
            <w:vAlign w:val="bottom"/>
          </w:tcPr>
          <w:p>
            <w:pPr>
              <w:ind w:left="380"/>
              <w:spacing w:after="0"/>
              <w:rPr>
                <w:sz w:val="20"/>
                <w:szCs w:val="20"/>
                <w:color w:val="auto"/>
              </w:rPr>
            </w:pPr>
            <w:r>
              <w:rPr>
                <w:rFonts w:ascii="Arial" w:cs="Arial" w:eastAsia="Arial" w:hAnsi="Arial"/>
                <w:sz w:val="16"/>
                <w:szCs w:val="16"/>
                <w:color w:val="auto"/>
              </w:rPr>
              <w:t>Recreation Vehicle Industry Association</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Securities and Exchange Commission</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SERP</w:t>
            </w:r>
          </w:p>
        </w:tc>
        <w:tc>
          <w:tcPr>
            <w:tcW w:w="9740" w:type="dxa"/>
            <w:vAlign w:val="bottom"/>
          </w:tcPr>
          <w:p>
            <w:pPr>
              <w:ind w:left="380"/>
              <w:spacing w:after="0"/>
              <w:rPr>
                <w:sz w:val="20"/>
                <w:szCs w:val="20"/>
                <w:color w:val="auto"/>
              </w:rPr>
            </w:pPr>
            <w:r>
              <w:rPr>
                <w:rFonts w:ascii="Arial" w:cs="Arial" w:eastAsia="Arial" w:hAnsi="Arial"/>
                <w:sz w:val="16"/>
                <w:szCs w:val="16"/>
                <w:color w:val="auto"/>
              </w:rPr>
              <w:t>Supplemental Executive Retirement Plan</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 Surveys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Statistical Surveys, Inc.</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SunnyBrook</w:t>
            </w:r>
          </w:p>
        </w:tc>
        <w:tc>
          <w:tcPr>
            <w:tcW w:w="9740" w:type="dxa"/>
            <w:vAlign w:val="bottom"/>
          </w:tcPr>
          <w:p>
            <w:pPr>
              <w:ind w:left="380"/>
              <w:spacing w:after="0"/>
              <w:rPr>
                <w:sz w:val="20"/>
                <w:szCs w:val="20"/>
                <w:color w:val="auto"/>
              </w:rPr>
            </w:pPr>
            <w:r>
              <w:rPr>
                <w:rFonts w:ascii="Arial" w:cs="Arial" w:eastAsia="Arial" w:hAnsi="Arial"/>
                <w:sz w:val="16"/>
                <w:szCs w:val="16"/>
                <w:color w:val="auto"/>
              </w:rPr>
              <w:t>SunnyBrook RV, Inc.</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Winnebago of Indiana, LLC, a wholly-owned subsidiary of Winnebago Industries, Inc.</w:t>
            </w: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US</w:t>
            </w:r>
          </w:p>
        </w:tc>
        <w:tc>
          <w:tcPr>
            <w:tcW w:w="9740" w:type="dxa"/>
            <w:vAlign w:val="bottom"/>
          </w:tcPr>
          <w:p>
            <w:pPr>
              <w:ind w:left="380"/>
              <w:spacing w:after="0"/>
              <w:rPr>
                <w:sz w:val="20"/>
                <w:szCs w:val="20"/>
                <w:color w:val="auto"/>
              </w:rPr>
            </w:pPr>
            <w:r>
              <w:rPr>
                <w:rFonts w:ascii="Arial" w:cs="Arial" w:eastAsia="Arial" w:hAnsi="Arial"/>
                <w:sz w:val="16"/>
                <w:szCs w:val="16"/>
                <w:color w:val="auto"/>
              </w:rPr>
              <w:t>United States of America</w:t>
            </w: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eXtensible Business Reporting Language</w:t>
            </w:r>
          </w:p>
        </w:tc>
      </w:tr>
      <w:tr>
        <w:trPr>
          <w:trHeight w:val="845"/>
        </w:trPr>
        <w:tc>
          <w:tcPr>
            <w:tcW w:w="1680" w:type="dxa"/>
            <w:vAlign w:val="bottom"/>
          </w:tcPr>
          <w:p>
            <w:pPr>
              <w:spacing w:after="0"/>
              <w:rPr>
                <w:sz w:val="24"/>
                <w:szCs w:val="24"/>
                <w:color w:val="auto"/>
              </w:rPr>
            </w:pPr>
          </w:p>
        </w:tc>
        <w:tc>
          <w:tcPr>
            <w:tcW w:w="9740" w:type="dxa"/>
            <w:vAlign w:val="bottom"/>
          </w:tcPr>
          <w:p>
            <w:pPr>
              <w:ind w:left="3980"/>
              <w:spacing w:after="0"/>
              <w:rPr>
                <w:sz w:val="20"/>
                <w:szCs w:val="20"/>
                <w:color w:val="auto"/>
              </w:rPr>
            </w:pPr>
            <w:r>
              <w:rPr>
                <w:rFonts w:ascii="Arial" w:cs="Arial" w:eastAsia="Arial" w:hAnsi="Arial"/>
                <w:sz w:val="16"/>
                <w:szCs w:val="16"/>
                <w:color w:val="auto"/>
              </w:rPr>
              <w:t>1</w:t>
            </w: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Operations and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1,</w:t>
            </w:r>
          </w:p>
        </w:tc>
        <w:tc>
          <w:tcPr>
            <w:tcW w:w="32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2,</w:t>
            </w:r>
          </w:p>
        </w:tc>
        <w:tc>
          <w:tcPr>
            <w:tcW w:w="26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1,</w:t>
            </w:r>
          </w:p>
        </w:tc>
        <w:tc>
          <w:tcPr>
            <w:tcW w:w="260" w:type="dxa"/>
            <w:vAlign w:val="bottom"/>
          </w:tcPr>
          <w:p>
            <w:pPr>
              <w:spacing w:after="0"/>
              <w:rPr>
                <w:sz w:val="17"/>
                <w:szCs w:val="17"/>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2,</w:t>
            </w:r>
          </w:p>
        </w:tc>
      </w:tr>
      <w:tr>
        <w:trPr>
          <w:trHeight w:val="228"/>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228,811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177,166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451,481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370,720</w:t>
            </w: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205,966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159,975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402,674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332,782</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22,845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17,191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48,807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37,938</w:t>
            </w:r>
          </w:p>
        </w:tc>
      </w:tr>
      <w:tr>
        <w:trPr>
          <w:trHeight w:val="254"/>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4,489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3,831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8,822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8,792</w:t>
            </w: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4,949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4,488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10,572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10,300</w:t>
            </w:r>
          </w:p>
        </w:tc>
      </w:tr>
      <w:tr>
        <w:trPr>
          <w:trHeight w:val="273"/>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(Gain) loss on sale of real estate</w:t>
            </w: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w:t>
            </w:r>
          </w:p>
        </w:tc>
      </w:tr>
      <w:tr>
        <w:trPr>
          <w:trHeight w:val="250"/>
        </w:trPr>
        <w:tc>
          <w:tcPr>
            <w:tcW w:w="4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8,809</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8,319</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18,765</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19,120</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14,036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8,872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30,042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18,818</w:t>
            </w: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Non-operating (expense) income</w:t>
            </w: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595</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13,962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8,853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30,059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19,413</w:t>
            </w: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taxes</w:t>
            </w: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4,369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2,568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9,320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5,737</w:t>
            </w:r>
          </w:p>
        </w:tc>
      </w:tr>
      <w:tr>
        <w:trPr>
          <w:trHeight w:val="24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9,593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20,739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13,676</w:t>
            </w: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7"/>
        </w:trPr>
        <w:tc>
          <w:tcPr>
            <w:tcW w:w="4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0.49</w:t>
            </w: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0.48</w:t>
            </w:r>
          </w:p>
        </w:tc>
      </w:tr>
      <w:tr>
        <w:trPr>
          <w:trHeight w:val="284"/>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27,595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28,084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27,723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28,196</w:t>
            </w: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27,724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28,191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27,850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28,280</w:t>
            </w:r>
          </w:p>
        </w:tc>
      </w:tr>
      <w:tr>
        <w:trPr>
          <w:trHeight w:val="284"/>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9,593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6,285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20,739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13,676</w:t>
            </w:r>
          </w:p>
        </w:tc>
      </w:tr>
      <w:tr>
        <w:trPr>
          <w:trHeight w:val="260"/>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8"/>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$528, $474, $1,010 and $916)</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(1,520)</w:t>
            </w:r>
          </w:p>
        </w:tc>
      </w:tr>
      <w:tr>
        <w:trPr>
          <w:trHeight w:val="218"/>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Amortization of net actuarial loss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4"/>
        </w:trPr>
        <w:tc>
          <w:tcPr>
            <w:tcW w:w="4640" w:type="dxa"/>
            <w:vAlign w:val="bottom"/>
            <w:gridSpan w:val="2"/>
          </w:tcPr>
          <w:p>
            <w:pPr>
              <w:ind w:left="360"/>
              <w:spacing w:after="0"/>
              <w:rPr>
                <w:sz w:val="20"/>
                <w:szCs w:val="20"/>
                <w:color w:val="auto"/>
              </w:rPr>
            </w:pPr>
            <w:r>
              <w:rPr>
                <w:rFonts w:ascii="Arial" w:cs="Arial" w:eastAsia="Arial" w:hAnsi="Arial"/>
                <w:sz w:val="16"/>
                <w:szCs w:val="16"/>
                <w:color w:val="auto"/>
              </w:rPr>
              <w:t>(net of tax of $102, $147, $201 and $296)</w:t>
            </w:r>
          </w:p>
        </w:tc>
        <w:tc>
          <w:tcPr>
            <w:tcW w:w="320" w:type="dxa"/>
            <w:vAlign w:val="bottom"/>
          </w:tcPr>
          <w:p>
            <w:pPr>
              <w:spacing w:after="0"/>
              <w:rPr>
                <w:sz w:val="17"/>
                <w:szCs w:val="17"/>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503</w:t>
            </w:r>
          </w:p>
        </w:tc>
      </w:tr>
      <w:tr>
        <w:trPr>
          <w:trHeight w:val="228"/>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Plan amendment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$1,346, $1,613, $1,346 and $1,613)</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2,676</w:t>
            </w:r>
          </w:p>
        </w:tc>
      </w:tr>
      <w:tr>
        <w:trPr>
          <w:trHeight w:val="218"/>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Unrealized (depreciation) appreciation of investments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8"/>
        </w:trPr>
        <w:tc>
          <w:tcPr>
            <w:tcW w:w="4640" w:type="dxa"/>
            <w:vAlign w:val="bottom"/>
            <w:gridSpan w:val="2"/>
          </w:tcPr>
          <w:p>
            <w:pPr>
              <w:ind w:left="360"/>
              <w:spacing w:after="0"/>
              <w:rPr>
                <w:sz w:val="20"/>
                <w:szCs w:val="20"/>
                <w:color w:val="auto"/>
              </w:rPr>
            </w:pPr>
            <w:r>
              <w:rPr>
                <w:rFonts w:ascii="Arial" w:cs="Arial" w:eastAsia="Arial" w:hAnsi="Arial"/>
                <w:sz w:val="16"/>
                <w:szCs w:val="16"/>
                <w:color w:val="auto"/>
              </w:rPr>
              <w:t>(net of tax of $0, $33, $91 and $33)</w:t>
            </w:r>
          </w:p>
        </w:tc>
        <w:tc>
          <w:tcPr>
            <w:tcW w:w="32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(56)</w:t>
            </w:r>
          </w:p>
        </w:tc>
      </w:tr>
      <w:tr>
        <w:trPr>
          <w:trHeight w:val="250"/>
        </w:trPr>
        <w:tc>
          <w:tcPr>
            <w:tcW w:w="464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1,526</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2,085</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1,041</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1,603</w:t>
            </w:r>
          </w:p>
        </w:tc>
      </w:tr>
      <w:tr>
        <w:trPr>
          <w:trHeight w:val="240"/>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11,119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8,370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21,780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15,279</w:t>
            </w: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1,</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2013</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16,258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64,277</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($149 and $152)</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69,628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29,145</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124,289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112,541</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8,029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8,277</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receivable and prepaid</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1,061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1,868</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8,264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7,742</w:t>
            </w:r>
          </w:p>
        </w:tc>
      </w:tr>
      <w:tr>
        <w:trPr>
          <w:trHeight w:val="250"/>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227,529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223,850</w:t>
            </w:r>
          </w:p>
        </w:tc>
      </w:tr>
      <w:tr>
        <w:trPr>
          <w:trHeight w:val="24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Pr>
          <w:p>
            <w:pPr>
              <w:spacing w:after="0"/>
              <w:rPr>
                <w:sz w:val="21"/>
                <w:szCs w:val="21"/>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20,411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20,266</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36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2,108</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Investment in life insurance</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25,587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25,051</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24,087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25,649</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1,228</w:t>
            </w:r>
          </w:p>
        </w:tc>
      </w:tr>
      <w:tr>
        <w:trPr>
          <w:trHeight w:val="273"/>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10,284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10,993</w:t>
            </w:r>
          </w:p>
        </w:tc>
      </w:tr>
      <w:tr>
        <w:trPr>
          <w:trHeight w:val="28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309,126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309,145</w:t>
            </w:r>
          </w:p>
        </w:tc>
      </w:tr>
      <w:tr>
        <w:trPr>
          <w:trHeight w:val="267"/>
        </w:trPr>
        <w:tc>
          <w:tcPr>
            <w:tcW w:w="1260" w:type="dxa"/>
            <w:vAlign w:val="bottom"/>
            <w:shd w:val="clear" w:color="auto" w:fill="CCEEFF"/>
          </w:tcPr>
          <w:p>
            <w:pPr>
              <w:spacing w:after="0"/>
              <w:rPr>
                <w:sz w:val="23"/>
                <w:szCs w:val="23"/>
                <w:color w:val="auto"/>
              </w:rPr>
            </w:pPr>
          </w:p>
        </w:tc>
        <w:tc>
          <w:tcPr>
            <w:tcW w:w="6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28,867</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28,142</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Accrued compensation</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17,749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22,101</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Product warranties</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8,781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8,443</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Self-insurance</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4,612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4,531</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loss on repurchases</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1,287</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Promotional</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2,405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1,910</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5,251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3,940</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69,636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70,354</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3,641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3,988</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compensations benefits</w:t>
            </w:r>
          </w:p>
        </w:tc>
        <w:tc>
          <w:tcPr>
            <w:tcW w:w="3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59,611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64,074</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long-term liabilities</w:t>
            </w:r>
          </w:p>
        </w:tc>
        <w:tc>
          <w:tcPr>
            <w:tcW w:w="3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63,252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68,062</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Contingent liabilities and commitments</w:t>
            </w:r>
          </w:p>
        </w:tc>
        <w:tc>
          <w:tcPr>
            <w:tcW w:w="3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2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stock common, par value $0.50;</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4"/>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31,445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29,334</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530,182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509,443</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Pr>
          <w:p>
            <w:pPr>
              <w:spacing w:after="0"/>
              <w:rPr>
                <w:sz w:val="22"/>
                <w:szCs w:val="22"/>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1,890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849</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at cost (24,555 and 23,917 shares)</w:t>
            </w:r>
          </w:p>
        </w:tc>
        <w:tc>
          <w:tcPr>
            <w:tcW w:w="3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(413,167)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(394,785)</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176,238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170,729</w:t>
            </w:r>
          </w:p>
        </w:tc>
      </w:tr>
      <w:tr>
        <w:trPr>
          <w:trHeight w:val="240"/>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309,126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309,145</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8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21"/>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9"/>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126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1,</w:t>
            </w:r>
          </w:p>
        </w:tc>
        <w:tc>
          <w:tcPr>
            <w:tcW w:w="320" w:type="dxa"/>
            <w:vAlign w:val="bottom"/>
          </w:tcPr>
          <w:p>
            <w:pPr>
              <w:spacing w:after="0"/>
              <w:rPr>
                <w:sz w:val="17"/>
                <w:szCs w:val="17"/>
                <w:color w:val="auto"/>
              </w:rPr>
            </w:pPr>
          </w:p>
        </w:tc>
        <w:tc>
          <w:tcPr>
            <w:tcW w:w="1440" w:type="dxa"/>
            <w:vAlign w:val="bottom"/>
          </w:tcPr>
          <w:p>
            <w:pPr>
              <w:jc w:val="right"/>
              <w:ind w:right="499"/>
              <w:spacing w:after="0"/>
              <w:rPr>
                <w:sz w:val="20"/>
                <w:szCs w:val="20"/>
                <w:color w:val="auto"/>
              </w:rPr>
            </w:pPr>
            <w:r>
              <w:rPr>
                <w:rFonts w:ascii="Arial" w:cs="Arial" w:eastAsia="Arial" w:hAnsi="Arial"/>
                <w:sz w:val="16"/>
                <w:szCs w:val="16"/>
                <w:b w:val="1"/>
                <w:bCs w:val="1"/>
                <w:color w:val="auto"/>
              </w:rPr>
              <w:t>March 2,</w:t>
            </w:r>
          </w:p>
        </w:tc>
      </w:tr>
      <w:tr>
        <w:trPr>
          <w:trHeight w:val="228"/>
        </w:trPr>
        <w:tc>
          <w:tcPr>
            <w:tcW w:w="77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2013</w:t>
            </w:r>
          </w:p>
        </w:tc>
      </w:tr>
      <w:tr>
        <w:trPr>
          <w:trHeight w:val="27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20,739</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13,676</w:t>
            </w:r>
          </w:p>
        </w:tc>
      </w:tr>
      <w:tr>
        <w:trPr>
          <w:trHeight w:val="28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2,178</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551</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1,388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996</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 including valuation allowance</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(1,550)</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3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284</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(Benefit) provision for doubtful accounts</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Gain on disposal of property</w:t>
            </w:r>
          </w:p>
        </w:tc>
        <w:tc>
          <w:tcPr>
            <w:tcW w:w="3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(26)</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Gain on life insurance</w:t>
            </w:r>
          </w:p>
        </w:tc>
        <w:tc>
          <w:tcPr>
            <w:tcW w:w="32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(509)</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3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(547)</w:t>
            </w:r>
          </w:p>
        </w:tc>
      </w:tr>
      <w:tr>
        <w:trPr>
          <w:trHeight w:val="28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(12,356)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(37,401)</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Receivables, prepaid and other assets</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(40,056)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(6,334)</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1,269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1,618</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3,052</w:t>
            </w:r>
          </w:p>
        </w:tc>
      </w:tr>
      <w:tr>
        <w:trPr>
          <w:trHeight w:val="264"/>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(1,924)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(2,136)</w:t>
            </w:r>
          </w:p>
        </w:tc>
      </w:tr>
      <w:tr>
        <w:trPr>
          <w:trHeight w:val="25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(29,530)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(26,142)</w:t>
            </w:r>
          </w:p>
        </w:tc>
      </w:tr>
      <w:tr>
        <w:trPr>
          <w:trHeight w:val="284"/>
        </w:trPr>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investments, at par</w:t>
            </w: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2,350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250</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life insurance</w:t>
            </w:r>
          </w:p>
        </w:tc>
        <w:tc>
          <w:tcPr>
            <w:tcW w:w="32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974</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(3,772)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(2,443)</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sale of property</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2,392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614</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Repayments of COLI borrowings</w:t>
            </w:r>
          </w:p>
        </w:tc>
        <w:tc>
          <w:tcPr>
            <w:tcW w:w="320" w:type="dxa"/>
            <w:vAlign w:val="bottom"/>
          </w:tcPr>
          <w:p>
            <w:pPr>
              <w:spacing w:after="0"/>
              <w:rPr>
                <w:sz w:val="22"/>
                <w:szCs w:val="22"/>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(1,371)</w:t>
            </w:r>
          </w:p>
        </w:tc>
      </w:tr>
      <w:tr>
        <w:trPr>
          <w:trHeight w:val="273"/>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151</w:t>
            </w:r>
          </w:p>
        </w:tc>
      </w:tr>
      <w:tr>
        <w:trPr>
          <w:trHeight w:val="250"/>
        </w:trPr>
        <w:tc>
          <w:tcPr>
            <w:tcW w:w="7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(1,825)</w:t>
            </w:r>
          </w:p>
        </w:tc>
      </w:tr>
      <w:tr>
        <w:trPr>
          <w:trHeight w:val="284"/>
        </w:trPr>
        <w:tc>
          <w:tcPr>
            <w:tcW w:w="1260" w:type="dxa"/>
            <w:vAlign w:val="bottom"/>
            <w:shd w:val="clear" w:color="auto" w:fill="CCEEFF"/>
          </w:tcPr>
          <w:p>
            <w:pPr>
              <w:spacing w:after="0"/>
              <w:rPr>
                <w:sz w:val="24"/>
                <w:szCs w:val="24"/>
                <w:color w:val="auto"/>
              </w:rPr>
            </w:pPr>
          </w:p>
        </w:tc>
        <w:tc>
          <w:tcPr>
            <w:tcW w:w="6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(21,484)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(8,367)</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2,080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(114)</w:t>
            </w:r>
          </w:p>
        </w:tc>
      </w:tr>
      <w:tr>
        <w:trPr>
          <w:trHeight w:val="250"/>
        </w:trPr>
        <w:tc>
          <w:tcPr>
            <w:tcW w:w="7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(19,354)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(8,481)</w:t>
            </w:r>
          </w:p>
        </w:tc>
      </w:tr>
      <w:tr>
        <w:trPr>
          <w:trHeight w:val="284"/>
        </w:trPr>
        <w:tc>
          <w:tcPr>
            <w:tcW w:w="1260" w:type="dxa"/>
            <w:vAlign w:val="bottom"/>
            <w:shd w:val="clear" w:color="auto" w:fill="CCEEFF"/>
          </w:tcPr>
          <w:p>
            <w:pPr>
              <w:spacing w:after="0"/>
              <w:rPr>
                <w:sz w:val="24"/>
                <w:szCs w:val="24"/>
                <w:color w:val="auto"/>
              </w:rPr>
            </w:pPr>
          </w:p>
        </w:tc>
        <w:tc>
          <w:tcPr>
            <w:tcW w:w="6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(48,019)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(36,448)</w:t>
            </w:r>
          </w:p>
        </w:tc>
      </w:tr>
      <w:tr>
        <w:trPr>
          <w:trHeight w:val="273"/>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64,277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62,683</w:t>
            </w:r>
          </w:p>
        </w:tc>
      </w:tr>
      <w:tr>
        <w:trPr>
          <w:trHeight w:val="280"/>
        </w:trPr>
        <w:tc>
          <w:tcPr>
            <w:tcW w:w="7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16,258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26,235</w:t>
            </w:r>
          </w:p>
        </w:tc>
      </w:tr>
      <w:tr>
        <w:trPr>
          <w:trHeight w:val="267"/>
        </w:trPr>
        <w:tc>
          <w:tcPr>
            <w:tcW w:w="1260" w:type="dxa"/>
            <w:vAlign w:val="bottom"/>
            <w:shd w:val="clear" w:color="auto" w:fill="CCEEFF"/>
          </w:tcPr>
          <w:p>
            <w:pPr>
              <w:spacing w:after="0"/>
              <w:rPr>
                <w:sz w:val="23"/>
                <w:szCs w:val="23"/>
                <w:color w:val="auto"/>
              </w:rPr>
            </w:pPr>
          </w:p>
        </w:tc>
        <w:tc>
          <w:tcPr>
            <w:tcW w:w="65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Supplement cash flow disclosure:</w:t>
            </w: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paid, net of refunds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8,200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5,670</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wholly-owned subsidiary, Winnebago of Indiana, LLC, as appropriate in the context.</w:t>
      </w:r>
    </w:p>
    <w:p>
      <w:pPr>
        <w:spacing w:after="0" w:line="169"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 our website is www.winnebagoind.com. Our common stock trades on the NYSE under the symbol “WGO.”</w:t>
      </w:r>
    </w:p>
    <w:p>
      <w:pPr>
        <w:spacing w:after="0" w:line="17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our opinion, the accompanying condensed unaudited consolidated financial statements contain all adjustments, consisting of normal recurring accruals, necessary to present fairly our consolidated financial position as of March 1, 2014 and the consolidated results of operations and comprehensive income and consolidated cash flows for the first six months of Fiscal 2014 and 2013. The consolidated statement of operations and comprehensive income for the first six months of Fiscal 2014 is not necessarily indicative of the results to be expected for the full year. The consolidated balance sheet data as of August 31, 2013 was derived from audited financial statements, but does not include all of the information and footnotes required by GAAP for complete financial statements. These interim financial statements should be read in conjunction with the audited consolidated financial statements and notes thereto appearing in our Annual Report on Form 10-K for the fiscal year ended August 31, 2013.</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auto"/>
        </w:rPr>
        <w:t>We follow a 52-/53-week fiscal year, ending the last Saturday in August. Fiscal 2014 is a 52-week year; the first quarter ending November 30, 2013 had 13 weeks; the first six months ending March 1, 2014 had 26 weeks. Fiscal 2013 was a 53-week fiscal year; the first quarter ending December 1, 2012 had 14 weeks; the first six months ending March 2, 2013 had 27 weeks.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In July 2013, the FASB issued ASU 2013-11, </w:t>
      </w:r>
      <w:r>
        <w:rPr>
          <w:rFonts w:ascii="Arial" w:cs="Arial" w:eastAsia="Arial" w:hAnsi="Arial"/>
          <w:sz w:val="16"/>
          <w:szCs w:val="16"/>
          <w:i w:val="1"/>
          <w:iCs w:val="1"/>
          <w:color w:val="auto"/>
        </w:rPr>
        <w:t>Income Taxes (Topic 740)</w:t>
      </w:r>
      <w:r>
        <w:rPr>
          <w:rFonts w:ascii="Arial" w:cs="Arial" w:eastAsia="Arial" w:hAnsi="Arial"/>
          <w:sz w:val="16"/>
          <w:szCs w:val="16"/>
          <w:color w:val="auto"/>
        </w:rPr>
        <w:t>, which requires entities to present unrecognized tax benefits as a liability and not combine it with deferred tax assets to the extent a net operating loss carryforward, a similar tax loss, or a tax credit carryforward is not available at the reporting date. ASU 2013-11 will become effective for fiscal years beginning after December 15, 2013 (our Fiscal 2015). We are currently evaluating the impact on our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w:t>
      </w:r>
      <w:r>
        <w:rPr>
          <w:rFonts w:ascii="Arial" w:cs="Arial" w:eastAsia="Arial" w:hAnsi="Arial"/>
          <w:sz w:val="18"/>
          <w:szCs w:val="18"/>
          <w:color w:val="auto"/>
        </w:rPr>
        <w:t>:</w:t>
      </w:r>
      <w:r>
        <w:rPr>
          <w:rFonts w:ascii="Arial" w:cs="Arial" w:eastAsia="Arial" w:hAnsi="Arial"/>
          <w:sz w:val="16"/>
          <w:szCs w:val="16"/>
          <w:b w:val="1"/>
          <w:bCs w:val="1"/>
          <w:color w:val="auto"/>
        </w:rPr>
        <w:t xml:space="preserve"> Concentration Risk</w:t>
      </w:r>
    </w:p>
    <w:p>
      <w:pPr>
        <w:spacing w:after="0" w:line="21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One of our dealer organizations accounted for 20.3% and 26.2% of our consolidated net revenue for the first six months of Fiscal 2014 and Fiscal 2013, respectively. A second dealer organization accounted for 12.3% and 13.4% of our consolidated net revenue for the first six months of Fiscal 2014 and Fiscal 2013, respectively. The loss of either of both of these dealer organizations could have a significant adverse effect on our business. In addition, deterioration in the liquidity or creditworthiness of these dealers could negatively impact our sales and could trigger repurchase obligations under our repurchase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carrying value of cash equivalents approximates fair value as original maturities are less than three months. Our cash equivalents are comprised of money market funds traded in an active market with no restrictions.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 March 1, 2014 and August 31, 2013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16"/>
                <w:szCs w:val="16"/>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March 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6,389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6,389</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0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24"/>
                <w:szCs w:val="24"/>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August 31,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Student loan ARS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2,108</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7,127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10,264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8,156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table above that used significant unobservable inputs (Level 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March 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w:t>
            </w:r>
          </w:p>
        </w:tc>
        <w:tc>
          <w:tcPr>
            <w:tcW w:w="280" w:type="dxa"/>
            <w:vAlign w:val="bottom"/>
          </w:tcPr>
          <w:p>
            <w:pPr>
              <w:spacing w:after="0"/>
              <w:rPr>
                <w:sz w:val="17"/>
                <w:szCs w:val="17"/>
                <w:color w:val="auto"/>
              </w:rPr>
            </w:pPr>
          </w:p>
        </w:tc>
        <w:tc>
          <w:tcPr>
            <w:tcW w:w="14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1,</w:t>
            </w:r>
          </w:p>
        </w:tc>
        <w:tc>
          <w:tcPr>
            <w:tcW w:w="300" w:type="dxa"/>
            <w:vAlign w:val="bottom"/>
          </w:tcPr>
          <w:p>
            <w:pPr>
              <w:spacing w:after="0"/>
              <w:rPr>
                <w:sz w:val="17"/>
                <w:szCs w:val="17"/>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2,</w:t>
            </w:r>
          </w:p>
        </w:tc>
      </w:tr>
      <w:tr>
        <w:trPr>
          <w:trHeight w:val="22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2013</w:t>
            </w:r>
          </w:p>
        </w:tc>
      </w:tr>
      <w:tr>
        <w:trPr>
          <w:trHeight w:val="257"/>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8,823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9,074</w:t>
            </w:r>
          </w:p>
        </w:tc>
      </w:tr>
      <w:tr>
        <w:trPr>
          <w:trHeight w:val="260"/>
        </w:trPr>
        <w:tc>
          <w:tcPr>
            <w:tcW w:w="4800" w:type="dxa"/>
            <w:vAlign w:val="bottom"/>
            <w:gridSpan w:val="2"/>
          </w:tcPr>
          <w:p>
            <w:pPr>
              <w:ind w:left="40"/>
              <w:spacing w:after="0"/>
              <w:rPr>
                <w:sz w:val="20"/>
                <w:szCs w:val="20"/>
                <w:color w:val="auto"/>
              </w:rPr>
            </w:pPr>
            <w:r>
              <w:rPr>
                <w:rFonts w:ascii="Arial" w:cs="Arial" w:eastAsia="Arial" w:hAnsi="Arial"/>
                <w:sz w:val="16"/>
                <w:szCs w:val="16"/>
                <w:color w:val="auto"/>
              </w:rPr>
              <w:t>Transfer to Level 2</w:t>
            </w:r>
          </w:p>
        </w:tc>
        <w:tc>
          <w:tcPr>
            <w:tcW w:w="1080" w:type="dxa"/>
            <w:vAlign w:val="bottom"/>
          </w:tcPr>
          <w:p>
            <w:pPr>
              <w:spacing w:after="0"/>
              <w:rPr>
                <w:sz w:val="22"/>
                <w:szCs w:val="22"/>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(250)</w:t>
            </w:r>
          </w:p>
        </w:tc>
      </w:tr>
      <w:tr>
        <w:trPr>
          <w:trHeight w:val="280"/>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10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(89)</w:t>
            </w:r>
          </w:p>
        </w:tc>
      </w:tr>
      <w:tr>
        <w:trPr>
          <w:trHeight w:val="264"/>
        </w:trPr>
        <w:tc>
          <w:tcPr>
            <w:tcW w:w="4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Sales</w:t>
            </w:r>
          </w:p>
        </w:tc>
        <w:tc>
          <w:tcPr>
            <w:tcW w:w="10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(2,350)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40"/>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8,735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8,735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Investments</w:t>
      </w:r>
    </w:p>
    <w:p>
      <w:pPr>
        <w:spacing w:after="0" w:line="2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long-term investments were comprised of ARS. Our long-term ARS investments were classified as Level 3, as quoted prices were unavailable and there was insufficient observable ARS market information available to determine the fair value of our ARS investments. Due to limited market information, we utilized a DCF model to derive an estimate of fair value for the ARS for prior periods.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 During the first quarter of Fiscal 2014 we redeemed our last ARS holding at par value of $2.4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They are classified as Level 1 as they are traded in an active market for which closing stock prices are readily available. These securities fund the Executive Share Option Plan (see Note 8), a deferred compensation program, and are presented as other assets in the accompanying balance sheets.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non-financial assets, which include goodwill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six months of Fiscal 2014, no impairments were recorded for non-financial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gridSpan w:val="2"/>
          </w:tcPr>
          <w:p>
            <w:pPr>
              <w:spacing w:after="0"/>
              <w:rPr>
                <w:sz w:val="20"/>
                <w:szCs w:val="20"/>
                <w:color w:val="auto"/>
              </w:rPr>
            </w:pPr>
            <w:r>
              <w:rPr>
                <w:rFonts w:ascii="Arial" w:cs="Arial" w:eastAsia="Arial" w:hAnsi="Arial"/>
                <w:sz w:val="16"/>
                <w:szCs w:val="16"/>
                <w:b w:val="1"/>
                <w:bCs w:val="1"/>
                <w:color w:val="auto"/>
              </w:rPr>
              <w:t>Note 4: Inventories</w:t>
            </w: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51"/>
        </w:trPr>
        <w:tc>
          <w:tcPr>
            <w:tcW w:w="6780" w:type="dxa"/>
            <w:vAlign w:val="bottom"/>
            <w:gridSpan w:val="2"/>
          </w:tcPr>
          <w:p>
            <w:pPr>
              <w:spacing w:after="0"/>
              <w:rPr>
                <w:sz w:val="20"/>
                <w:szCs w:val="20"/>
                <w:color w:val="auto"/>
              </w:rPr>
            </w:pPr>
            <w:r>
              <w:rPr>
                <w:rFonts w:ascii="Arial" w:cs="Arial" w:eastAsia="Arial" w:hAnsi="Arial"/>
                <w:sz w:val="16"/>
                <w:szCs w:val="16"/>
                <w:color w:val="auto"/>
              </w:rPr>
              <w:t>Inventories consist of the following:</w:t>
            </w: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6"/>
        </w:trPr>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gridSpan w:val="2"/>
          </w:tcPr>
          <w:p>
            <w:pPr>
              <w:ind w:left="320"/>
              <w:spacing w:after="0"/>
              <w:rPr>
                <w:sz w:val="20"/>
                <w:szCs w:val="20"/>
                <w:color w:val="auto"/>
              </w:rPr>
            </w:pPr>
            <w:r>
              <w:rPr>
                <w:rFonts w:ascii="Arial" w:cs="Arial" w:eastAsia="Arial" w:hAnsi="Arial"/>
                <w:sz w:val="16"/>
                <w:szCs w:val="16"/>
                <w:b w:val="1"/>
                <w:bCs w:val="1"/>
                <w:color w:val="auto"/>
              </w:rPr>
              <w:t>March 1,</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2013</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46,768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43,927</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Work-in-process</w:t>
            </w:r>
          </w:p>
        </w:tc>
        <w:tc>
          <w:tcPr>
            <w:tcW w:w="460" w:type="dxa"/>
            <w:vAlign w:val="bottom"/>
          </w:tcPr>
          <w:p>
            <w:pPr>
              <w:spacing w:after="0"/>
              <w:rPr>
                <w:sz w:val="22"/>
                <w:szCs w:val="22"/>
                <w:color w:val="auto"/>
              </w:rPr>
            </w:pPr>
          </w:p>
        </w:tc>
        <w:tc>
          <w:tcPr>
            <w:tcW w:w="1800" w:type="dxa"/>
            <w:vAlign w:val="bottom"/>
          </w:tcPr>
          <w:p>
            <w:pPr>
              <w:jc w:val="right"/>
              <w:ind w:right="459"/>
              <w:spacing w:after="0"/>
              <w:rPr>
                <w:sz w:val="20"/>
                <w:szCs w:val="20"/>
                <w:color w:val="auto"/>
              </w:rPr>
            </w:pPr>
            <w:r>
              <w:rPr>
                <w:rFonts w:ascii="Arial" w:cs="Arial" w:eastAsia="Arial" w:hAnsi="Arial"/>
                <w:sz w:val="16"/>
                <w:szCs w:val="16"/>
                <w:color w:val="auto"/>
              </w:rPr>
              <w:t>48,857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46,257</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46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59,117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52,201</w:t>
            </w:r>
          </w:p>
        </w:tc>
      </w:tr>
      <w:tr>
        <w:trPr>
          <w:trHeight w:val="24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460" w:type="dxa"/>
            <w:vAlign w:val="bottom"/>
          </w:tcPr>
          <w:p>
            <w:pPr>
              <w:spacing w:after="0"/>
              <w:rPr>
                <w:sz w:val="21"/>
                <w:szCs w:val="21"/>
                <w:color w:val="auto"/>
              </w:rPr>
            </w:pPr>
          </w:p>
        </w:tc>
        <w:tc>
          <w:tcPr>
            <w:tcW w:w="1800" w:type="dxa"/>
            <w:vAlign w:val="bottom"/>
          </w:tcPr>
          <w:p>
            <w:pPr>
              <w:jc w:val="right"/>
              <w:ind w:right="459"/>
              <w:spacing w:after="0"/>
              <w:rPr>
                <w:sz w:val="20"/>
                <w:szCs w:val="20"/>
                <w:color w:val="auto"/>
              </w:rPr>
            </w:pPr>
            <w:r>
              <w:rPr>
                <w:rFonts w:ascii="Arial" w:cs="Arial" w:eastAsia="Arial" w:hAnsi="Arial"/>
                <w:sz w:val="16"/>
                <w:szCs w:val="16"/>
                <w:color w:val="auto"/>
              </w:rPr>
              <w:t>154,742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142,385</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46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(30,453)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(29,844)</w:t>
            </w:r>
          </w:p>
        </w:tc>
      </w:tr>
      <w:tr>
        <w:trPr>
          <w:trHeight w:val="24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inventories</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124,289</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112,541</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Of the $154.7 million and $142.4 million inventory at March 1, 2014 and August 31, 2013, respectively, $145.7 million and $136.1 million is valued on a LIFO basis. Towables inventory of $9.0 million and $6.3 million at March 1, 2014 and August 31, 2013, respectively, is valued on a FIFO basis.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20" w:type="dxa"/>
            <w:vAlign w:val="bottom"/>
            <w:gridSpan w:val="2"/>
          </w:tcPr>
          <w:p>
            <w:pPr>
              <w:ind w:left="320"/>
              <w:spacing w:after="0"/>
              <w:rPr>
                <w:sz w:val="20"/>
                <w:szCs w:val="20"/>
                <w:color w:val="auto"/>
              </w:rPr>
            </w:pPr>
            <w:r>
              <w:rPr>
                <w:rFonts w:ascii="Arial" w:cs="Arial" w:eastAsia="Arial" w:hAnsi="Arial"/>
                <w:sz w:val="16"/>
                <w:szCs w:val="16"/>
                <w:b w:val="1"/>
                <w:bCs w:val="1"/>
                <w:color w:val="auto"/>
              </w:rPr>
              <w:t>March 1,</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2013</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707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757</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Buildings and building improvements</w:t>
            </w:r>
          </w:p>
        </w:tc>
        <w:tc>
          <w:tcPr>
            <w:tcW w:w="460" w:type="dxa"/>
            <w:vAlign w:val="bottom"/>
          </w:tcPr>
          <w:p>
            <w:pPr>
              <w:spacing w:after="0"/>
              <w:rPr>
                <w:sz w:val="22"/>
                <w:szCs w:val="22"/>
                <w:color w:val="auto"/>
              </w:rPr>
            </w:pPr>
          </w:p>
        </w:tc>
        <w:tc>
          <w:tcPr>
            <w:tcW w:w="1800" w:type="dxa"/>
            <w:vAlign w:val="bottom"/>
          </w:tcPr>
          <w:p>
            <w:pPr>
              <w:jc w:val="right"/>
              <w:ind w:right="459"/>
              <w:spacing w:after="0"/>
              <w:rPr>
                <w:sz w:val="20"/>
                <w:szCs w:val="20"/>
                <w:color w:val="auto"/>
              </w:rPr>
            </w:pPr>
            <w:r>
              <w:rPr>
                <w:rFonts w:ascii="Arial" w:cs="Arial" w:eastAsia="Arial" w:hAnsi="Arial"/>
                <w:sz w:val="16"/>
                <w:szCs w:val="16"/>
                <w:color w:val="auto"/>
              </w:rPr>
              <w:t>47,067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50,297</w:t>
            </w:r>
          </w:p>
        </w:tc>
      </w:tr>
      <w:tr>
        <w:trPr>
          <w:trHeight w:val="280"/>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46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92,954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91,224</w:t>
            </w:r>
          </w:p>
        </w:tc>
      </w:tr>
      <w:tr>
        <w:trPr>
          <w:trHeight w:val="264"/>
        </w:trPr>
        <w:tc>
          <w:tcPr>
            <w:tcW w:w="6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Transportation</w:t>
            </w:r>
          </w:p>
        </w:tc>
        <w:tc>
          <w:tcPr>
            <w:tcW w:w="4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8,942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9,044</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46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149,670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151,322</w:t>
            </w:r>
          </w:p>
        </w:tc>
      </w:tr>
      <w:tr>
        <w:trPr>
          <w:trHeight w:val="264"/>
        </w:trPr>
        <w:tc>
          <w:tcPr>
            <w:tcW w:w="6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accumulated depreciation</w:t>
            </w:r>
          </w:p>
        </w:tc>
        <w:tc>
          <w:tcPr>
            <w:tcW w:w="4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(129,259)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(131,056)</w:t>
            </w:r>
          </w:p>
        </w:tc>
      </w:tr>
      <w:tr>
        <w:trPr>
          <w:trHeight w:val="24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20,411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20,266</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On December 19, 2013 3M exercised an option to purchase warehouse facilities that they had leased from us since 1980. Net proceeds from the sale were</w:t>
      </w:r>
    </w:p>
    <w:p>
      <w:pPr>
        <w:spacing w:after="0" w:line="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$2.3 million, resulting in a gain of $629,000. We received lease payments of $860,000 and recorded depreciation charges of $148,000 in Fiscal 2013 related to these warehouse facilities.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Credit Facilities</w:t>
      </w:r>
    </w:p>
    <w:p>
      <w:pPr>
        <w:spacing w:after="0" w:line="26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On October 31, 2012, we entered into the Credit Agreement with GECC. The Credit Agreement provides for an initial $35.0 million revolving credit facility based on the Company's eligible inventory and expires on October 31, 2015, unless terminated earlier in accordance with its terms. There is no termination fee associated with the Credit Agreement.</w:t>
      </w:r>
    </w:p>
    <w:p>
      <w:pPr>
        <w:spacing w:after="0" w:line="22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In addition the Credit Agreement also includes a framework to expand the size of the facility up to $50.0 million, based on mutually agreeable terms at the time of the expansion. Interest on loans made under the new facility will be based on LIBOR plus a margin of 3.0%. The initial unused line fee associated with the Credit Agreement is 0.5% per annum and has the ability to be lowered based upon facility usage.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9"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Credit Agreement contains typical affirmative representations and covenants for a credit agreement of this size and nature. Additionally, the Credit Agreement contains negative covenants limiting our ability, among other things, to incur debt, grant liens, make acquisitions, make certain investments, pay certain dividends and distributions, engage in mergers, consolidations or acquisitions and sell certain assets. Obligations under the Credit Agreement are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230" w:lineRule="exact"/>
        <w:rPr>
          <w:sz w:val="20"/>
          <w:szCs w:val="20"/>
          <w:color w:val="auto"/>
        </w:rPr>
      </w:pPr>
    </w:p>
    <w:p>
      <w:pPr>
        <w:ind w:right="1560"/>
        <w:spacing w:after="0" w:line="471" w:lineRule="auto"/>
        <w:rPr>
          <w:sz w:val="20"/>
          <w:szCs w:val="20"/>
          <w:color w:val="auto"/>
        </w:rPr>
      </w:pPr>
      <w:r>
        <w:rPr>
          <w:rFonts w:ascii="Arial" w:cs="Arial" w:eastAsia="Arial" w:hAnsi="Arial"/>
          <w:sz w:val="16"/>
          <w:szCs w:val="16"/>
          <w:color w:val="auto"/>
        </w:rPr>
        <w:t xml:space="preserve">As of the date of this report, we are in compliance with all terms of the Credit Agreement, and no borrowings have been made thereunder. </w:t>
      </w:r>
      <w:r>
        <w:rPr>
          <w:rFonts w:ascii="Arial" w:cs="Arial" w:eastAsia="Arial" w:hAnsi="Arial"/>
          <w:sz w:val="16"/>
          <w:szCs w:val="16"/>
          <w:b w:val="1"/>
          <w:bCs w:val="1"/>
          <w:color w:val="auto"/>
        </w:rPr>
        <w:t>Note 7: Warranty</w:t>
      </w:r>
    </w:p>
    <w:p>
      <w:pPr>
        <w:spacing w:after="0" w:line="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We have also incurred costs for certain warranty-type expenses which occurred after the normal warranty period. We have voluntarily agreed to pay such costs to help protect the reputation of our products and the goodwill of our customers.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gridSpan w:val="2"/>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right"/>
              <w:ind w:right="9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98"/>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1,</w:t>
            </w:r>
          </w:p>
        </w:tc>
        <w:tc>
          <w:tcPr>
            <w:tcW w:w="300" w:type="dxa"/>
            <w:vAlign w:val="bottom"/>
          </w:tcPr>
          <w:p>
            <w:pPr>
              <w:spacing w:after="0"/>
              <w:rPr>
                <w:sz w:val="17"/>
                <w:szCs w:val="17"/>
                <w:color w:val="auto"/>
              </w:rPr>
            </w:pPr>
          </w:p>
        </w:tc>
        <w:tc>
          <w:tcPr>
            <w:tcW w:w="1460" w:type="dxa"/>
            <w:vAlign w:val="bottom"/>
            <w:gridSpan w:val="4"/>
          </w:tcPr>
          <w:p>
            <w:pPr>
              <w:ind w:left="180"/>
              <w:spacing w:after="0"/>
              <w:rPr>
                <w:sz w:val="20"/>
                <w:szCs w:val="20"/>
                <w:color w:val="auto"/>
              </w:rPr>
            </w:pPr>
            <w:r>
              <w:rPr>
                <w:rFonts w:ascii="Arial" w:cs="Arial" w:eastAsia="Arial" w:hAnsi="Arial"/>
                <w:sz w:val="16"/>
                <w:szCs w:val="16"/>
                <w:b w:val="1"/>
                <w:bCs w:val="1"/>
                <w:color w:val="auto"/>
              </w:rPr>
              <w:t>March 2,</w:t>
            </w:r>
          </w:p>
        </w:tc>
        <w:tc>
          <w:tcPr>
            <w:tcW w:w="18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Arial" w:cs="Arial" w:eastAsia="Arial" w:hAnsi="Arial"/>
                <w:sz w:val="16"/>
                <w:szCs w:val="16"/>
                <w:b w:val="1"/>
                <w:bCs w:val="1"/>
                <w:color w:val="auto"/>
              </w:rPr>
              <w:t>March 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2,</w:t>
            </w:r>
          </w:p>
        </w:tc>
        <w:tc>
          <w:tcPr>
            <w:tcW w:w="0" w:type="dxa"/>
            <w:vAlign w:val="bottom"/>
          </w:tcPr>
          <w:p>
            <w:pPr>
              <w:spacing w:after="0"/>
              <w:rPr>
                <w:sz w:val="1"/>
                <w:szCs w:val="1"/>
                <w:color w:val="auto"/>
              </w:rPr>
            </w:pPr>
          </w:p>
        </w:tc>
      </w:tr>
      <w:tr>
        <w:trPr>
          <w:trHeight w:val="228"/>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57"/>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8,345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7,549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8,443</w:t>
            </w:r>
          </w:p>
        </w:tc>
        <w:tc>
          <w:tcPr>
            <w:tcW w:w="10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6,990</w:t>
            </w:r>
          </w:p>
        </w:tc>
        <w:tc>
          <w:tcPr>
            <w:tcW w:w="0" w:type="dxa"/>
            <w:vAlign w:val="bottom"/>
          </w:tcPr>
          <w:p>
            <w:pPr>
              <w:spacing w:after="0"/>
              <w:rPr>
                <w:sz w:val="1"/>
                <w:szCs w:val="1"/>
                <w:color w:val="auto"/>
              </w:rPr>
            </w:pPr>
          </w:p>
        </w:tc>
      </w:tr>
      <w:tr>
        <w:trPr>
          <w:trHeight w:val="260"/>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280" w:type="dxa"/>
            <w:vAlign w:val="bottom"/>
          </w:tcPr>
          <w:p>
            <w:pPr>
              <w:spacing w:after="0"/>
              <w:rPr>
                <w:sz w:val="22"/>
                <w:szCs w:val="22"/>
                <w:color w:val="auto"/>
              </w:rPr>
            </w:pP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2,368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6"/>
                <w:szCs w:val="16"/>
                <w:color w:val="auto"/>
              </w:rPr>
              <w:t>2,463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5,138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4,949</w:t>
            </w:r>
          </w:p>
        </w:tc>
        <w:tc>
          <w:tcPr>
            <w:tcW w:w="0" w:type="dxa"/>
            <w:vAlign w:val="bottom"/>
          </w:tcPr>
          <w:p>
            <w:pPr>
              <w:spacing w:after="0"/>
              <w:rPr>
                <w:sz w:val="1"/>
                <w:szCs w:val="1"/>
                <w:color w:val="auto"/>
              </w:rPr>
            </w:pPr>
          </w:p>
        </w:tc>
      </w:tr>
      <w:tr>
        <w:trPr>
          <w:trHeight w:val="273"/>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(1,932)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(1,947)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(4,800)</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(3,874)</w:t>
            </w: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Balance at end of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8,781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440"/>
              <w:spacing w:after="0"/>
              <w:rPr>
                <w:sz w:val="20"/>
                <w:szCs w:val="20"/>
                <w:color w:val="auto"/>
              </w:rPr>
            </w:pPr>
            <w:r>
              <w:rPr>
                <w:rFonts w:ascii="Arial" w:cs="Arial" w:eastAsia="Arial" w:hAnsi="Arial"/>
                <w:sz w:val="16"/>
                <w:szCs w:val="16"/>
                <w:color w:val="auto"/>
              </w:rPr>
              <w:t>8,065</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8,781</w:t>
            </w:r>
          </w:p>
        </w:tc>
        <w:tc>
          <w:tcPr>
            <w:tcW w:w="100" w:type="dxa"/>
            <w:vAlign w:val="bottom"/>
          </w:tcPr>
          <w:p>
            <w:pPr>
              <w:spacing w:after="0"/>
              <w:rPr>
                <w:sz w:val="20"/>
                <w:szCs w:val="20"/>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8,065</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8: Employee and Retiree Benefits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20" w:type="dxa"/>
            <w:vAlign w:val="bottom"/>
            <w:gridSpan w:val="5"/>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March 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31,</w:t>
            </w:r>
          </w:p>
        </w:tc>
        <w:tc>
          <w:tcPr>
            <w:tcW w:w="0" w:type="dxa"/>
            <w:vAlign w:val="bottom"/>
          </w:tcPr>
          <w:p>
            <w:pPr>
              <w:spacing w:after="0"/>
              <w:rPr>
                <w:sz w:val="1"/>
                <w:szCs w:val="1"/>
                <w:color w:val="auto"/>
              </w:rPr>
            </w:pPr>
          </w:p>
        </w:tc>
      </w:tr>
      <w:tr>
        <w:trPr>
          <w:trHeight w:val="228"/>
        </w:trPr>
        <w:tc>
          <w:tcPr>
            <w:tcW w:w="44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57"/>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33,113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36,244</w:t>
            </w:r>
          </w:p>
        </w:tc>
        <w:tc>
          <w:tcPr>
            <w:tcW w:w="0" w:type="dxa"/>
            <w:vAlign w:val="bottom"/>
          </w:tcPr>
          <w:p>
            <w:pPr>
              <w:spacing w:after="0"/>
              <w:rPr>
                <w:sz w:val="1"/>
                <w:szCs w:val="1"/>
                <w:color w:val="auto"/>
              </w:rPr>
            </w:pPr>
          </w:p>
        </w:tc>
      </w:tr>
      <w:tr>
        <w:trPr>
          <w:trHeight w:val="260"/>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Non-qualified deferred compensation</w:t>
            </w: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21,669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22,366</w:t>
            </w:r>
          </w:p>
        </w:tc>
        <w:tc>
          <w:tcPr>
            <w:tcW w:w="0" w:type="dxa"/>
            <w:vAlign w:val="bottom"/>
          </w:tcPr>
          <w:p>
            <w:pPr>
              <w:spacing w:after="0"/>
              <w:rPr>
                <w:sz w:val="1"/>
                <w:szCs w:val="1"/>
                <w:color w:val="auto"/>
              </w:rPr>
            </w:pPr>
          </w:p>
        </w:tc>
      </w:tr>
      <w:tr>
        <w:trPr>
          <w:trHeight w:val="280"/>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6,382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6,959</w:t>
            </w:r>
          </w:p>
        </w:tc>
        <w:tc>
          <w:tcPr>
            <w:tcW w:w="0" w:type="dxa"/>
            <w:vAlign w:val="bottom"/>
          </w:tcPr>
          <w:p>
            <w:pPr>
              <w:spacing w:after="0"/>
              <w:rPr>
                <w:sz w:val="1"/>
                <w:szCs w:val="1"/>
                <w:color w:val="auto"/>
              </w:rPr>
            </w:pPr>
          </w:p>
        </w:tc>
      </w:tr>
      <w:tr>
        <w:trPr>
          <w:trHeight w:val="260"/>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SERP benefit liability</w:t>
            </w: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2,952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2,876</w:t>
            </w:r>
          </w:p>
        </w:tc>
        <w:tc>
          <w:tcPr>
            <w:tcW w:w="0" w:type="dxa"/>
            <w:vAlign w:val="bottom"/>
          </w:tcPr>
          <w:p>
            <w:pPr>
              <w:spacing w:after="0"/>
              <w:rPr>
                <w:sz w:val="1"/>
                <w:szCs w:val="1"/>
                <w:color w:val="auto"/>
              </w:rPr>
            </w:pPr>
          </w:p>
        </w:tc>
      </w:tr>
      <w:tr>
        <w:trPr>
          <w:trHeight w:val="280"/>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Officer stock-based compensation</w:t>
            </w:r>
          </w:p>
        </w:tc>
        <w:tc>
          <w:tcPr>
            <w:tcW w:w="28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57"/>
        </w:trPr>
        <w:tc>
          <w:tcPr>
            <w:tcW w:w="622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64,689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69,093</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current portion</w:t>
            </w:r>
          </w:p>
        </w:tc>
        <w:tc>
          <w:tcPr>
            <w:tcW w:w="28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(5,078)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(5,019)</w:t>
            </w:r>
          </w:p>
        </w:tc>
        <w:tc>
          <w:tcPr>
            <w:tcW w:w="0" w:type="dxa"/>
            <w:vAlign w:val="bottom"/>
          </w:tcPr>
          <w:p>
            <w:pPr>
              <w:spacing w:after="0"/>
              <w:rPr>
                <w:sz w:val="1"/>
                <w:szCs w:val="1"/>
                <w:color w:val="auto"/>
              </w:rPr>
            </w:pPr>
          </w:p>
        </w:tc>
      </w:tr>
      <w:tr>
        <w:trPr>
          <w:trHeight w:val="240"/>
        </w:trPr>
        <w:tc>
          <w:tcPr>
            <w:tcW w:w="622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3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59,611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64,074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 Changes in the postretirement benefit plan include:</w:t>
      </w:r>
    </w:p>
    <w:p>
      <w:pPr>
        <w:spacing w:after="0" w:line="1" w:lineRule="exact"/>
        <w:rPr>
          <w:sz w:val="20"/>
          <w:szCs w:val="20"/>
          <w:color w:val="auto"/>
        </w:rPr>
      </w:pPr>
    </w:p>
    <w:p>
      <w:pPr>
        <w:ind w:left="340" w:right="12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Fiscal 2005,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w:t>
      </w:r>
    </w:p>
    <w:p>
      <w:pPr>
        <w:spacing w:after="0" w:line="1" w:lineRule="exact"/>
        <w:rPr>
          <w:rFonts w:ascii="Arial" w:cs="Arial" w:eastAsia="Arial" w:hAnsi="Arial"/>
          <w:sz w:val="16"/>
          <w:szCs w:val="16"/>
          <w:color w:val="auto"/>
        </w:rPr>
      </w:pPr>
    </w:p>
    <w:p>
      <w:pPr>
        <w:ind w:left="340" w:right="12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2012 the employer-established dollar caps were reduced by 10%, which reduced our liability for postretirement health care by $4.6 million and is being amortized as prior service credit over 7.8 years.</w:t>
      </w:r>
    </w:p>
    <w:p>
      <w:pPr>
        <w:ind w:left="340" w:right="80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2013 the employer-established dollar caps were further reduced by 10%, which reduced our liability for postretirement health care by approximately $4.3 million and is being amortized as prior service credit over 7.5 years.</w:t>
      </w:r>
    </w:p>
    <w:p>
      <w:pPr>
        <w:ind w:left="340" w:right="800" w:hanging="332"/>
        <w:spacing w:after="0" w:line="260"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2014 the employer-established dollar caps were further reduced by 10%, which reduced our liability for postretirement health care by approximately $3.6 million and is being amortized as prior service credit over 7.3 years.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4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444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47"/>
        </w:trPr>
        <w:tc>
          <w:tcPr>
            <w:tcW w:w="6200" w:type="dxa"/>
            <w:vAlign w:val="bottom"/>
            <w:gridSpan w:val="6"/>
          </w:tcPr>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12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1,</w:t>
            </w:r>
          </w:p>
        </w:tc>
        <w:tc>
          <w:tcPr>
            <w:tcW w:w="30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2,</w:t>
            </w:r>
          </w:p>
        </w:tc>
        <w:tc>
          <w:tcPr>
            <w:tcW w:w="30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1,</w:t>
            </w:r>
          </w:p>
        </w:tc>
        <w:tc>
          <w:tcPr>
            <w:tcW w:w="300" w:type="dxa"/>
            <w:vAlign w:val="bottom"/>
          </w:tcPr>
          <w:p>
            <w:pPr>
              <w:spacing w:after="0"/>
              <w:rPr>
                <w:sz w:val="17"/>
                <w:szCs w:val="17"/>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2,</w:t>
            </w:r>
          </w:p>
        </w:tc>
      </w:tr>
      <w:tr>
        <w:trPr>
          <w:trHeight w:val="228"/>
        </w:trPr>
        <w:tc>
          <w:tcPr>
            <w:tcW w:w="43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r>
      <w:tr>
        <w:trPr>
          <w:trHeight w:val="257"/>
        </w:trPr>
        <w:tc>
          <w:tcPr>
            <w:tcW w:w="44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780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763</w:t>
            </w:r>
          </w:p>
        </w:tc>
      </w:tr>
      <w:tr>
        <w:trPr>
          <w:trHeight w:val="260"/>
        </w:trPr>
        <w:tc>
          <w:tcPr>
            <w:tcW w:w="4440" w:type="dxa"/>
            <w:vAlign w:val="bottom"/>
            <w:gridSpan w:val="3"/>
          </w:tcPr>
          <w:p>
            <w:pPr>
              <w:ind w:left="40"/>
              <w:spacing w:after="0"/>
              <w:rPr>
                <w:sz w:val="20"/>
                <w:szCs w:val="20"/>
                <w:color w:val="auto"/>
              </w:rPr>
            </w:pPr>
            <w:r>
              <w:rPr>
                <w:rFonts w:ascii="Arial" w:cs="Arial" w:eastAsia="Arial" w:hAnsi="Arial"/>
                <w:sz w:val="16"/>
                <w:szCs w:val="16"/>
                <w:color w:val="auto"/>
              </w:rPr>
              <w:t>Service cost</w:t>
            </w:r>
          </w:p>
        </w:tc>
        <w:tc>
          <w:tcPr>
            <w:tcW w:w="30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ind w:right="33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293</w:t>
            </w:r>
          </w:p>
        </w:tc>
      </w:tr>
      <w:tr>
        <w:trPr>
          <w:trHeight w:val="280"/>
        </w:trPr>
        <w:tc>
          <w:tcPr>
            <w:tcW w:w="44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(1,405)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(1,261)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(2,686)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(2,437)</w:t>
            </w:r>
          </w:p>
        </w:tc>
      </w:tr>
      <w:tr>
        <w:trPr>
          <w:trHeight w:val="264"/>
        </w:trPr>
        <w:tc>
          <w:tcPr>
            <w:tcW w:w="44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788</w:t>
            </w:r>
          </w:p>
        </w:tc>
      </w:tr>
      <w:tr>
        <w:trPr>
          <w:trHeight w:val="24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(652)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(1,177)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(593)</w:t>
            </w:r>
          </w:p>
        </w:tc>
      </w:tr>
      <w:tr>
        <w:trPr>
          <w:trHeight w:val="20"/>
        </w:trPr>
        <w:tc>
          <w:tcPr>
            <w:tcW w:w="1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4"/>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565</w:t>
            </w:r>
          </w:p>
        </w:tc>
      </w:tr>
      <w:tr>
        <w:trPr>
          <w:trHeight w:val="20"/>
        </w:trPr>
        <w:tc>
          <w:tcPr>
            <w:tcW w:w="1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Stock-Based Compensation Plans</w:t>
      </w:r>
    </w:p>
    <w:p>
      <w:pPr>
        <w:spacing w:after="0" w:line="18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October 2013, we adopted the 2014 Omnibus Equity, Performance Award, and Incentive Compensation Plan (as amended, the "Plan"). It was approved by shareholders in December 2013 and allows us to grant or issue non-qualified stock options, incentive stock options, share awards and other equity compensation to key employees and to non-employee directors.</w:t>
      </w:r>
    </w:p>
    <w:p>
      <w:pPr>
        <w:spacing w:after="0" w:line="147"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The Plan replaced the 2004 Incentive Compensation Plan which had a ten-year term. No new grants may be made from the 2004 Incentive Compensation Plan on or after January 1, 2014. Any stock awards previously granted under the 2004 Incentive Compensation Plan shall continue to vest and /or be exercisable in accordance with their original terms and conditions.</w:t>
      </w:r>
    </w:p>
    <w:p>
      <w:pPr>
        <w:spacing w:after="0" w:line="147"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On October 16, 2013 and October 10, 2012 the Board of Directors granted an aggregate of 84,200 and 155,600 shares, respectively, of restricted common stock to our key employees and non-employee directors under the 2004 Plan. The value of the restricted stock award is determined using the intrinsic value method which, in this case, is based on the number of shares granted and the closing price of our common stock on the date of grant.</w:t>
      </w:r>
    </w:p>
    <w:p>
      <w:pPr>
        <w:spacing w:after="0" w:line="14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Stock-based compensation expense was $436,000 and $309,000 during the second quarters of Fiscal 2014 and 2013, respectively. Stock-based compensation expense was $1.4 million and $996,000 during the six months of Fiscal 2014 and 2013, respectively. Of the $1.4 million in Fiscal 2014, $934,000 related to the October 16, 2013 grant of 84,200 shares. The remainder is related to the amortization of previously granted restricted stock awards, as well as non-employee director stock units issued in lieu of director fees. Compensation expense is recognized over the requisite service period of the award or over a period ending with the employee's eligible retirement date, if earlier.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recreation vehicles purchased.</w:t>
      </w:r>
    </w:p>
    <w:p>
      <w:pPr>
        <w:spacing w:after="0" w:line="14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$288.7 million and $232.9 million at March 1, 2014 and August 31, 2013, respectively.</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 repurchase exposure beyond existing repurchase agreements, related to dealer inventory in states that we have had historical experience of repurchasing inventory, totaled $18.4 million and $5.0 million at March 1, 2014 and August 31, 2013, respectively.</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risk of loss related to our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$2.0 million as of March 1, 2014 and $1.3 million as of August 31, 2013.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1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516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47"/>
        </w:trPr>
        <w:tc>
          <w:tcPr>
            <w:tcW w:w="5160" w:type="dxa"/>
            <w:vAlign w:val="bottom"/>
            <w:gridSpan w:val="3"/>
          </w:tcPr>
          <w:p>
            <w:pPr>
              <w:spacing w:after="0"/>
              <w:rPr>
                <w:sz w:val="20"/>
                <w:szCs w:val="20"/>
                <w:color w:val="auto"/>
              </w:rPr>
            </w:pPr>
            <w:r>
              <w:rPr>
                <w:rFonts w:ascii="Arial" w:cs="Arial" w:eastAsia="Arial" w:hAnsi="Arial"/>
                <w:sz w:val="16"/>
                <w:szCs w:val="16"/>
                <w:color w:val="auto"/>
              </w:rPr>
              <w:t>A summary of repurchase activity is as follows: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12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March 1,</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March 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1,</w:t>
            </w:r>
          </w:p>
        </w:tc>
        <w:tc>
          <w:tcPr>
            <w:tcW w:w="26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6"/>
                <w:szCs w:val="16"/>
                <w:b w:val="1"/>
                <w:bCs w:val="1"/>
                <w:color w:val="auto"/>
              </w:rPr>
              <w:t>March 2,</w:t>
            </w:r>
          </w:p>
        </w:tc>
      </w:tr>
      <w:tr>
        <w:trPr>
          <w:trHeight w:val="228"/>
        </w:trPr>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2014</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2013</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2013</w:t>
            </w:r>
          </w:p>
        </w:tc>
      </w:tr>
      <w:tr>
        <w:trPr>
          <w:trHeight w:val="270"/>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1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5160" w:type="dxa"/>
            <w:vAlign w:val="bottom"/>
            <w:gridSpan w:val="3"/>
          </w:tcPr>
          <w:p>
            <w:pPr>
              <w:ind w:left="280"/>
              <w:spacing w:after="0"/>
              <w:rPr>
                <w:sz w:val="20"/>
                <w:szCs w:val="20"/>
                <w:color w:val="auto"/>
              </w:rPr>
            </w:pPr>
            <w:r>
              <w:rPr>
                <w:rFonts w:ascii="Arial" w:cs="Arial" w:eastAsia="Arial" w:hAnsi="Arial"/>
                <w:sz w:val="16"/>
                <w:szCs w:val="16"/>
                <w:color w:val="auto"/>
              </w:rPr>
              <w:t>Units</w:t>
            </w:r>
          </w:p>
        </w:tc>
        <w:tc>
          <w:tcPr>
            <w:tcW w:w="1140" w:type="dxa"/>
            <w:vAlign w:val="bottom"/>
          </w:tcPr>
          <w:p>
            <w:pPr>
              <w:spacing w:after="0"/>
              <w:rPr>
                <w:sz w:val="22"/>
                <w:szCs w:val="22"/>
                <w:color w:val="auto"/>
              </w:rPr>
            </w:pPr>
          </w:p>
        </w:tc>
        <w:tc>
          <w:tcPr>
            <w:tcW w:w="4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Inventory resold:</w:t>
            </w: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1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114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3"/>
          </w:tcPr>
          <w:p>
            <w:pPr>
              <w:ind w:left="280"/>
              <w:spacing w:after="0"/>
              <w:rPr>
                <w:sz w:val="20"/>
                <w:szCs w:val="20"/>
                <w:color w:val="auto"/>
              </w:rPr>
            </w:pPr>
            <w:r>
              <w:rPr>
                <w:rFonts w:ascii="Arial" w:cs="Arial" w:eastAsia="Arial" w:hAnsi="Arial"/>
                <w:sz w:val="16"/>
                <w:szCs w:val="16"/>
                <w:color w:val="auto"/>
              </w:rPr>
              <w:t>Cash collected</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Loss recognized</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r>
      <w:tr>
        <w:trPr>
          <w:trHeight w:val="251"/>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Units in ending inventory</w:t>
            </w:r>
          </w:p>
        </w:tc>
        <w:tc>
          <w:tcPr>
            <w:tcW w:w="114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1"/>
                <w:szCs w:val="21"/>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r>
    </w:tbl>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 A hypothetical change of a 10% increase or decrease in our significant repurchase commitment assumptions at March 1, 2014 would have affected net income by approximately $315,000.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Income Taxes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Significant judgment is required in determining our provision for income taxes, our deferred tax assets and liabilities and any valuation allowance recorded against our deferred tax assets. Valuation allowances arise due to uncertainty of realizing deferred tax assets. ASC 740 requires that companies assess whether valuation allowances should be established against their deferred tax assets based on the consideration of all available evidence, using a “more-likely-than-not” standard. In making such assessments, significant weight is given to evidence that can be objectively verified. A company's current or previous losses are given more weight than its future outlook. Based on ASC 740 guidelines, as of March 1, 2014 and August 31, 2013, we have applied a valuation allowance of $1.4 million and $1.6 million, respectively, against our deferred tax assets.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37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examinations by the IRS and various state taxing authorities, net operating loss carryforwards generated in those years may still be adjusted upon examination by the IRS or state taxing authorities if they either have been or will be used in a future period. Due to such carryback claims, our federal returns from Fiscal 2004 to present continue to be subject to review by the IRS. Periodically, various state and local jurisdictions conduct audits, therefore, a variety of years are subject to state and local jurisdiction review.</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 of March 1, 2014, our unrecognized tax benefits were $2.0 million, of which if realized $2.5 million could have a positive impact on the overall effective tax rate. It is our policy to recognize interest and penalties accrued relative to unrecognized tax benefits as tax expense. As of March 1, 2014, we had accrued $1.6 million in interest and penalties which are not included in the unrecognized tax benefits of $2.0 million. We do not anticipate any significant changes in unrecognized tax benefits within the next twelve months. Actual results may differ materially from this estimate.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1,</w:t>
            </w:r>
          </w:p>
        </w:tc>
        <w:tc>
          <w:tcPr>
            <w:tcW w:w="26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w:t>
            </w:r>
          </w:p>
        </w:tc>
        <w:tc>
          <w:tcPr>
            <w:tcW w:w="26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1,</w:t>
            </w:r>
          </w:p>
        </w:tc>
        <w:tc>
          <w:tcPr>
            <w:tcW w:w="260" w:type="dxa"/>
            <w:vAlign w:val="bottom"/>
          </w:tcPr>
          <w:p>
            <w:pPr>
              <w:spacing w:after="0"/>
              <w:rPr>
                <w:sz w:val="17"/>
                <w:szCs w:val="17"/>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2,</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9,593</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6,285</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20,739</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13,676</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27,595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28,084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28,196</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 per share - basic</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0.49</w:t>
            </w:r>
          </w:p>
        </w:tc>
      </w:tr>
      <w:tr>
        <w:trPr>
          <w:trHeight w:val="293"/>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Income per share - assuming dilution</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20,739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13,676</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2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27,595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28,084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27,723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28,196</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2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27,724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28,191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27,850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28,280</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r>
    </w:tbl>
    <w:p>
      <w:pPr>
        <w:spacing w:after="0" w:line="19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 xml:space="preserve">At the end of the second quarters of Fiscal 2014 and Fiscal 2013, there were options outstanding to purchase 316,600 shares and 673,328 shares, respectively, of common stock at an average price of $32.02 and $29.83, respectively, which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Comprehensive Income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by component,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50"/>
        </w:trPr>
        <w:tc>
          <w:tcPr>
            <w:tcW w:w="3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March 1, 2014</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March 2, 2013</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198"/>
        </w:trPr>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rPr>
              <w:t>Unrealized</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79"/>
              <w:spacing w:after="0"/>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rPr>
              <w:t>Gains and</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79"/>
              <w:spacing w:after="0"/>
              <w:rPr>
                <w:sz w:val="20"/>
                <w:szCs w:val="20"/>
                <w:color w:val="auto"/>
              </w:rPr>
            </w:pPr>
            <w:r>
              <w:rPr>
                <w:rFonts w:ascii="Arial" w:cs="Arial" w:eastAsia="Arial" w:hAnsi="Arial"/>
                <w:sz w:val="16"/>
                <w:szCs w:val="16"/>
                <w:b w:val="1"/>
                <w:bCs w:val="1"/>
                <w:color w:val="auto"/>
              </w:rPr>
              <w:t>Gains and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Arial" w:cs="Arial" w:eastAsia="Arial" w:hAnsi="Arial"/>
                <w:sz w:val="16"/>
                <w:szCs w:val="16"/>
                <w:b w:val="1"/>
                <w:bCs w:val="1"/>
                <w:color w:val="auto"/>
              </w:rPr>
              <w:t>Defined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b w:val="1"/>
                <w:bCs w:val="1"/>
                <w:color w:val="auto"/>
              </w:rPr>
              <w:t>Losses on</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rPr>
              <w:t>Defined</w:t>
            </w:r>
          </w:p>
        </w:tc>
        <w:tc>
          <w:tcPr>
            <w:tcW w:w="26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Losses on</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220"/>
              <w:spacing w:after="0"/>
              <w:rPr>
                <w:sz w:val="20"/>
                <w:szCs w:val="20"/>
                <w:color w:val="auto"/>
              </w:rPr>
            </w:pPr>
            <w:r>
              <w:rPr>
                <w:rFonts w:ascii="Arial" w:cs="Arial" w:eastAsia="Arial" w:hAnsi="Arial"/>
                <w:sz w:val="16"/>
                <w:szCs w:val="16"/>
                <w:b w:val="1"/>
                <w:bCs w:val="1"/>
                <w:color w:val="auto"/>
              </w:rPr>
              <w:t>Benefit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b w:val="1"/>
                <w:bCs w:val="1"/>
                <w:color w:val="auto"/>
              </w:rPr>
              <w:t>Available-</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Benefit</w:t>
            </w:r>
          </w:p>
        </w:tc>
        <w:tc>
          <w:tcPr>
            <w:tcW w:w="26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Available-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180"/>
              <w:spacing w:after="0"/>
              <w:rPr>
                <w:sz w:val="20"/>
                <w:szCs w:val="20"/>
                <w:color w:val="auto"/>
              </w:rPr>
            </w:pPr>
            <w:r>
              <w:rPr>
                <w:rFonts w:ascii="Arial" w:cs="Arial" w:eastAsia="Arial" w:hAnsi="Arial"/>
                <w:sz w:val="16"/>
                <w:szCs w:val="16"/>
                <w:b w:val="1"/>
                <w:bCs w:val="1"/>
                <w:color w:val="auto"/>
              </w:rPr>
              <w:t>Pension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b w:val="1"/>
                <w:bCs w:val="1"/>
                <w:color w:val="auto"/>
              </w:rPr>
              <w:t>for-Sale</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Pension</w:t>
            </w:r>
          </w:p>
        </w:tc>
        <w:tc>
          <w:tcPr>
            <w:tcW w:w="26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for-Sale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8"/>
        </w:trPr>
        <w:tc>
          <w:tcPr>
            <w:tcW w:w="3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Items</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Securities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Items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57"/>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364</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7"/>
              </w:rPr>
              <w:t>364</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(3,807)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(361)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(4,168)</w:t>
            </w:r>
          </w:p>
        </w:tc>
      </w:tr>
      <w:tr>
        <w:trPr>
          <w:trHeight w:val="270"/>
        </w:trPr>
        <w:tc>
          <w:tcPr>
            <w:tcW w:w="3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2,234</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2,234</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2,676</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(55)</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2,621</w:t>
            </w:r>
          </w:p>
        </w:tc>
      </w:tr>
      <w:tr>
        <w:trPr>
          <w:trHeight w:val="264"/>
        </w:trPr>
        <w:tc>
          <w:tcPr>
            <w:tcW w:w="3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(708)</w:t>
            </w: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rPr>
              <w:t>(708)</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(536)</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(536)</w:t>
            </w:r>
          </w:p>
        </w:tc>
      </w:tr>
      <w:tr>
        <w:trPr>
          <w:trHeight w:val="250"/>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1,526</w:t>
            </w: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1,526</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2,140</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2,085</w:t>
            </w:r>
          </w:p>
        </w:tc>
      </w:tr>
      <w:tr>
        <w:trPr>
          <w:trHeight w:val="270"/>
        </w:trPr>
        <w:tc>
          <w:tcPr>
            <w:tcW w:w="3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4"/>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1,890</w:t>
            </w:r>
          </w:p>
        </w:tc>
        <w:tc>
          <w:tcPr>
            <w:tcW w:w="2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1,890</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(1,667)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(416)</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(2,083)</w:t>
            </w:r>
          </w:p>
        </w:tc>
      </w:tr>
      <w:tr>
        <w:trPr>
          <w:trHeight w:val="20"/>
        </w:trPr>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98"/>
        </w:trPr>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439"/>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50"/>
        </w:trPr>
        <w:tc>
          <w:tcPr>
            <w:tcW w:w="3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March 1, 2014</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March 2, 2013</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198"/>
        </w:trPr>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rPr>
              <w:t>Unrealized</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rPr>
              <w:t>Gains and</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Unrealized Gains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80"/>
              <w:spacing w:after="0"/>
              <w:rPr>
                <w:sz w:val="20"/>
                <w:szCs w:val="20"/>
                <w:color w:val="auto"/>
              </w:rPr>
            </w:pPr>
            <w:r>
              <w:rPr>
                <w:rFonts w:ascii="Arial" w:cs="Arial" w:eastAsia="Arial" w:hAnsi="Arial"/>
                <w:sz w:val="16"/>
                <w:szCs w:val="16"/>
                <w:b w:val="1"/>
                <w:bCs w:val="1"/>
                <w:color w:val="auto"/>
              </w:rPr>
              <w:t>Defined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rPr>
              <w:t>Losses on</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Defined</w:t>
            </w:r>
          </w:p>
        </w:tc>
        <w:tc>
          <w:tcPr>
            <w:tcW w:w="260" w:type="dxa"/>
            <w:vAlign w:val="bottom"/>
          </w:tcPr>
          <w:p>
            <w:pPr>
              <w:spacing w:after="0"/>
              <w:rPr>
                <w:sz w:val="16"/>
                <w:szCs w:val="16"/>
                <w:color w:val="auto"/>
              </w:rPr>
            </w:pPr>
          </w:p>
        </w:tc>
        <w:tc>
          <w:tcPr>
            <w:tcW w:w="126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and Losses on</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Arial" w:cs="Arial" w:eastAsia="Arial" w:hAnsi="Arial"/>
                <w:sz w:val="16"/>
                <w:szCs w:val="16"/>
                <w:b w:val="1"/>
                <w:bCs w:val="1"/>
                <w:color w:val="auto"/>
              </w:rPr>
              <w:t>Benefit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rPr>
              <w:t>Available-</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Benefit</w:t>
            </w:r>
          </w:p>
        </w:tc>
        <w:tc>
          <w:tcPr>
            <w:tcW w:w="260" w:type="dxa"/>
            <w:vAlign w:val="bottom"/>
          </w:tcPr>
          <w:p>
            <w:pPr>
              <w:spacing w:after="0"/>
              <w:rPr>
                <w:sz w:val="16"/>
                <w:szCs w:val="16"/>
                <w:color w:val="auto"/>
              </w:rPr>
            </w:pPr>
          </w:p>
        </w:tc>
        <w:tc>
          <w:tcPr>
            <w:tcW w:w="1260" w:type="dxa"/>
            <w:vAlign w:val="bottom"/>
          </w:tcPr>
          <w:p>
            <w:pPr>
              <w:jc w:val="center"/>
              <w:ind w:right="19"/>
              <w:spacing w:after="0"/>
              <w:rPr>
                <w:sz w:val="20"/>
                <w:szCs w:val="20"/>
                <w:color w:val="auto"/>
              </w:rPr>
            </w:pPr>
            <w:r>
              <w:rPr>
                <w:rFonts w:ascii="Arial" w:cs="Arial" w:eastAsia="Arial" w:hAnsi="Arial"/>
                <w:sz w:val="16"/>
                <w:szCs w:val="16"/>
                <w:b w:val="1"/>
                <w:bCs w:val="1"/>
                <w:color w:val="auto"/>
              </w:rPr>
              <w:t>Available-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Arial" w:cs="Arial" w:eastAsia="Arial" w:hAnsi="Arial"/>
                <w:sz w:val="16"/>
                <w:szCs w:val="16"/>
                <w:b w:val="1"/>
                <w:bCs w:val="1"/>
                <w:color w:val="auto"/>
              </w:rPr>
              <w:t>Pension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rPr>
              <w:t>for-Sale</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Pension</w:t>
            </w:r>
          </w:p>
        </w:tc>
        <w:tc>
          <w:tcPr>
            <w:tcW w:w="260" w:type="dxa"/>
            <w:vAlign w:val="bottom"/>
          </w:tcPr>
          <w:p>
            <w:pPr>
              <w:spacing w:after="0"/>
              <w:rPr>
                <w:sz w:val="16"/>
                <w:szCs w:val="16"/>
                <w:color w:val="auto"/>
              </w:rPr>
            </w:pPr>
          </w:p>
        </w:tc>
        <w:tc>
          <w:tcPr>
            <w:tcW w:w="1260" w:type="dxa"/>
            <w:vAlign w:val="bottom"/>
          </w:tcPr>
          <w:p>
            <w:pPr>
              <w:jc w:val="center"/>
              <w:ind w:right="19"/>
              <w:spacing w:after="0"/>
              <w:rPr>
                <w:sz w:val="20"/>
                <w:szCs w:val="20"/>
                <w:color w:val="auto"/>
              </w:rPr>
            </w:pPr>
            <w:r>
              <w:rPr>
                <w:rFonts w:ascii="Arial" w:cs="Arial" w:eastAsia="Arial" w:hAnsi="Arial"/>
                <w:sz w:val="16"/>
                <w:szCs w:val="16"/>
                <w:b w:val="1"/>
                <w:bCs w:val="1"/>
                <w:color w:val="auto"/>
              </w:rPr>
              <w:t>for-Sale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8"/>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Items</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Securities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Items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57"/>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849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(3,326)</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(360)</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(3,686)</w:t>
            </w:r>
          </w:p>
        </w:tc>
      </w:tr>
      <w:tr>
        <w:trPr>
          <w:trHeight w:val="270"/>
        </w:trPr>
        <w:tc>
          <w:tcPr>
            <w:tcW w:w="3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2,234</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151</w:t>
            </w: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2,385</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2,676</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(56)</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2,620</w:t>
            </w:r>
          </w:p>
        </w:tc>
      </w:tr>
      <w:tr>
        <w:trPr>
          <w:trHeight w:val="264"/>
        </w:trPr>
        <w:tc>
          <w:tcPr>
            <w:tcW w:w="3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(1,344)</w:t>
            </w: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(1,344)</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(1,017)</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(1,017)</w:t>
            </w:r>
          </w:p>
        </w:tc>
      </w:tr>
      <w:tr>
        <w:trPr>
          <w:trHeight w:val="250"/>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890</w:t>
            </w: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151</w:t>
            </w: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1,041</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1,659</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(56)</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1,603</w:t>
            </w:r>
          </w:p>
        </w:tc>
      </w:tr>
      <w:tr>
        <w:trPr>
          <w:trHeight w:val="270"/>
        </w:trPr>
        <w:tc>
          <w:tcPr>
            <w:tcW w:w="3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4"/>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1,890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1,890</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(1,667)</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(416)</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(2,083)</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308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63"/>
        </w:trPr>
        <w:tc>
          <w:tcPr>
            <w:tcW w:w="5540" w:type="dxa"/>
            <w:vAlign w:val="bottom"/>
            <w:gridSpan w:val="5"/>
          </w:tcPr>
          <w:p>
            <w:pPr>
              <w:spacing w:after="0"/>
              <w:rPr>
                <w:sz w:val="20"/>
                <w:szCs w:val="20"/>
                <w:color w:val="auto"/>
              </w:rPr>
            </w:pPr>
            <w:r>
              <w:rPr>
                <w:rFonts w:ascii="Arial" w:cs="Arial" w:eastAsia="Arial" w:hAnsi="Arial"/>
                <w:sz w:val="16"/>
                <w:szCs w:val="16"/>
                <w:color w:val="auto"/>
              </w:rPr>
              <w:t>Reclassifications out of AOCI in net periodic benefit costs, net of tax, were:</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24"/>
                <w:szCs w:val="24"/>
                <w:color w:val="auto"/>
              </w:rPr>
            </w:pPr>
          </w:p>
        </w:tc>
        <w:tc>
          <w:tcPr>
            <w:tcW w:w="278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w:t>
            </w:r>
          </w:p>
        </w:tc>
      </w:tr>
      <w:tr>
        <w:trPr>
          <w:trHeight w:val="184"/>
        </w:trPr>
        <w:tc>
          <w:tcPr>
            <w:tcW w:w="1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2"/>
          </w:tcPr>
          <w:p>
            <w:pPr>
              <w:ind w:left="40"/>
              <w:spacing w:after="0"/>
              <w:rPr>
                <w:sz w:val="20"/>
                <w:szCs w:val="20"/>
                <w:color w:val="auto"/>
              </w:rPr>
            </w:pPr>
            <w:r>
              <w:rPr>
                <w:rFonts w:ascii="Arial" w:cs="Arial" w:eastAsia="Arial" w:hAnsi="Arial"/>
                <w:sz w:val="16"/>
                <w:szCs w:val="16"/>
                <w:b w:val="1"/>
                <w:bCs w:val="1"/>
                <w:color w:val="auto"/>
              </w:rPr>
              <w:t>Location on Consolidated</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2"/>
          </w:tcPr>
          <w:p>
            <w:pPr>
              <w:ind w:left="40"/>
              <w:spacing w:after="0"/>
              <w:rPr>
                <w:sz w:val="20"/>
                <w:szCs w:val="20"/>
                <w:color w:val="auto"/>
              </w:rPr>
            </w:pPr>
            <w:r>
              <w:rPr>
                <w:rFonts w:ascii="Arial" w:cs="Arial" w:eastAsia="Arial" w:hAnsi="Arial"/>
                <w:sz w:val="16"/>
                <w:szCs w:val="16"/>
                <w:b w:val="1"/>
                <w:bCs w:val="1"/>
                <w:color w:val="auto"/>
              </w:rPr>
              <w:t>Statements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2"/>
          </w:tcPr>
          <w:p>
            <w:pPr>
              <w:ind w:left="40"/>
              <w:spacing w:after="0"/>
              <w:rPr>
                <w:sz w:val="20"/>
                <w:szCs w:val="20"/>
                <w:color w:val="auto"/>
              </w:rPr>
            </w:pPr>
            <w:r>
              <w:rPr>
                <w:rFonts w:ascii="Arial" w:cs="Arial" w:eastAsia="Arial" w:hAnsi="Arial"/>
                <w:sz w:val="16"/>
                <w:szCs w:val="16"/>
                <w:b w:val="1"/>
                <w:bCs w:val="1"/>
                <w:color w:val="auto"/>
              </w:rPr>
              <w:t>of Operations and</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8"/>
        </w:trPr>
        <w:tc>
          <w:tcPr>
            <w:tcW w:w="29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March 1, 2014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March 2, 2013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March 1, 2014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March 2, 2013</w:t>
            </w:r>
          </w:p>
        </w:tc>
      </w:tr>
      <w:tr>
        <w:trPr>
          <w:trHeight w:val="257"/>
        </w:trPr>
        <w:tc>
          <w:tcPr>
            <w:tcW w:w="3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goods sold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(1,319)</w:t>
            </w:r>
          </w:p>
        </w:tc>
      </w:tr>
      <w:tr>
        <w:trPr>
          <w:trHeight w:val="264"/>
        </w:trPr>
        <w:tc>
          <w:tcPr>
            <w:tcW w:w="126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(876)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(1,676)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w:t>
            </w:r>
          </w:p>
        </w:tc>
      </w:tr>
      <w:tr>
        <w:trPr>
          <w:trHeight w:val="257"/>
        </w:trPr>
        <w:tc>
          <w:tcPr>
            <w:tcW w:w="126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(1,520)</w:t>
            </w:r>
          </w:p>
        </w:tc>
      </w:tr>
      <w:tr>
        <w:trPr>
          <w:trHeight w:val="270"/>
        </w:trPr>
        <w:tc>
          <w:tcPr>
            <w:tcW w:w="12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3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Amortization of net actuarial loss</w:t>
            </w:r>
          </w:p>
        </w:tc>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goods sold</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427</w:t>
            </w:r>
          </w:p>
        </w:tc>
      </w:tr>
      <w:tr>
        <w:trPr>
          <w:trHeight w:val="264"/>
        </w:trPr>
        <w:tc>
          <w:tcPr>
            <w:tcW w:w="126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76</w:t>
            </w:r>
          </w:p>
        </w:tc>
      </w:tr>
      <w:tr>
        <w:trPr>
          <w:trHeight w:val="257"/>
        </w:trPr>
        <w:tc>
          <w:tcPr>
            <w:tcW w:w="126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503</w:t>
            </w:r>
          </w:p>
        </w:tc>
      </w:tr>
      <w:tr>
        <w:trPr>
          <w:trHeight w:val="270"/>
        </w:trPr>
        <w:tc>
          <w:tcPr>
            <w:tcW w:w="12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4"/>
        </w:trPr>
        <w:tc>
          <w:tcPr>
            <w:tcW w:w="3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(1,017)</w:t>
            </w:r>
          </w:p>
        </w:tc>
      </w:tr>
      <w:tr>
        <w:trPr>
          <w:trHeight w:val="20"/>
        </w:trPr>
        <w:tc>
          <w:tcPr>
            <w:tcW w:w="1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Subsequent Event</w:t>
      </w:r>
    </w:p>
    <w:p>
      <w:pPr>
        <w:spacing w:after="0" w:line="21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evaluated all events or transactions occurring between the balance sheet date for the quarterly period ended March 1, 2014 and the date of issuance of the financial statements that would require recognition or disclosure in the financial statements. There were no material subsequent events.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ind w:right="160"/>
        <w:spacing w:after="0" w:line="192" w:lineRule="exact"/>
        <w:rPr>
          <w:sz w:val="20"/>
          <w:szCs w:val="20"/>
          <w:color w:val="auto"/>
        </w:rPr>
      </w:pPr>
      <w:r>
        <w:rPr>
          <w:rFonts w:ascii="Arial" w:cs="Arial" w:eastAsia="Arial" w:hAnsi="Arial"/>
          <w:sz w:val="16"/>
          <w:szCs w:val="16"/>
          <w:color w:val="auto"/>
        </w:rPr>
        <w:t>This management's discussion should be read in conjunction with the Condensed Unaudited Financial Statements contained in this Form 10-Q as well as the Management's Discussion and Analysis and Risk Factors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31, 2013.</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availability of chassis and other key component parts, increases in interest rates, availability of credit, low consumer confidence, significant increase in repurchase obligations, inadequate liquidity or capital resources, availability and price of fuel, a slowdown in the economy, increased material and component costs, sales order cancellations, slower than anticipated sales of new or existing products, new product introductions by competitors, a breach of our information technology systems, the effect of global tensions, integration of operations relating to mergers and acquisitions activities and other factors which may be disclosed throughout this report. Although we believe that the expectations reflected in the “forward-looking statements” are reasonable, we cannot guarantee future results, or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18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produce all of our motorhomes in vertically integrated manufacturing facilities in Iowa and we produce all of our travel trailer and fifth wheels in Indiana. We distribute our products primarily through independent dealers throughout the US and Canada, who then retail the products to the end consumer.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Our motorized and towable retail unit market share, as reported by Stat Surveys based on state records, is illustrated below. Note that this data is subject to adjustment and is continuously updated.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Motorized</w:t>
            </w:r>
          </w:p>
        </w:tc>
        <w:tc>
          <w:tcPr>
            <w:tcW w:w="1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64"/>
        </w:trPr>
        <w:tc>
          <w:tcPr>
            <w:tcW w:w="4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ind w:left="540"/>
              <w:spacing w:after="0"/>
              <w:rPr>
                <w:sz w:val="20"/>
                <w:szCs w:val="20"/>
                <w:color w:val="auto"/>
              </w:rPr>
            </w:pPr>
            <w:r>
              <w:rPr>
                <w:rFonts w:ascii="Arial" w:cs="Arial" w:eastAsia="Arial" w:hAnsi="Arial"/>
                <w:sz w:val="14"/>
                <w:szCs w:val="14"/>
                <w:b w:val="1"/>
                <w:bCs w:val="1"/>
                <w:color w:val="auto"/>
              </w:rPr>
              <w:t>Through January 31</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40" w:type="dxa"/>
            <w:vAlign w:val="bottom"/>
          </w:tcPr>
          <w:p>
            <w:pPr>
              <w:jc w:val="center"/>
              <w:ind w:right="21"/>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Pr>
          <w:p>
            <w:pPr>
              <w:spacing w:after="0"/>
              <w:rPr>
                <w:sz w:val="22"/>
                <w:szCs w:val="22"/>
                <w:color w:val="auto"/>
              </w:rPr>
            </w:pPr>
          </w:p>
        </w:tc>
      </w:tr>
      <w:tr>
        <w:trPr>
          <w:trHeight w:val="250"/>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gridSpan w:val="2"/>
          </w:tcPr>
          <w:p>
            <w:pPr>
              <w:spacing w:after="0"/>
              <w:rPr>
                <w:sz w:val="21"/>
                <w:szCs w:val="21"/>
                <w:color w:val="auto"/>
              </w:rPr>
            </w:pPr>
          </w:p>
        </w:tc>
        <w:tc>
          <w:tcPr>
            <w:tcW w:w="1380" w:type="dxa"/>
            <w:vAlign w:val="bottom"/>
            <w:tcBorders>
              <w:top w:val="single" w:sz="8" w:color="auto"/>
              <w:bottom w:val="single" w:sz="8" w:color="auto"/>
            </w:tcBorders>
            <w:gridSpan w:val="2"/>
          </w:tcPr>
          <w:p>
            <w:pPr>
              <w:jc w:val="right"/>
              <w:ind w:right="523"/>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gridSpan w:val="2"/>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154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2012</w:t>
            </w:r>
          </w:p>
        </w:tc>
        <w:tc>
          <w:tcPr>
            <w:tcW w:w="11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2011</w:t>
            </w:r>
          </w:p>
        </w:tc>
      </w:tr>
      <w:tr>
        <w:trPr>
          <w:trHeight w:val="256"/>
        </w:trPr>
        <w:tc>
          <w:tcPr>
            <w:tcW w:w="4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6"/>
                <w:szCs w:val="16"/>
                <w:color w:val="auto"/>
              </w:rPr>
              <w:t>20.6%</w:t>
            </w:r>
          </w:p>
        </w:tc>
        <w:tc>
          <w:tcPr>
            <w:tcW w:w="10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26.3%</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22.4%</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24.2%</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22.2%</w:t>
            </w:r>
          </w:p>
        </w:tc>
      </w:tr>
      <w:tr>
        <w:trPr>
          <w:trHeight w:val="264"/>
        </w:trPr>
        <w:tc>
          <w:tcPr>
            <w:tcW w:w="4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A diesel</w:t>
            </w:r>
          </w:p>
        </w:tc>
        <w:tc>
          <w:tcPr>
            <w:tcW w:w="138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6"/>
                <w:szCs w:val="16"/>
                <w:color w:val="auto"/>
              </w:rPr>
              <w:t>20.6%</w:t>
            </w: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19.9%</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6"/>
                <w:szCs w:val="16"/>
                <w:color w:val="auto"/>
              </w:rPr>
              <w:t>18.0%</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19.4%</w:t>
            </w: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17.6%</w:t>
            </w:r>
          </w:p>
        </w:tc>
      </w:tr>
      <w:tr>
        <w:trPr>
          <w:trHeight w:val="257"/>
        </w:trPr>
        <w:tc>
          <w:tcPr>
            <w:tcW w:w="4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6"/>
                <w:szCs w:val="16"/>
                <w:color w:val="auto"/>
              </w:rPr>
              <w:t>20.6%</w:t>
            </w:r>
          </w:p>
        </w:tc>
        <w:tc>
          <w:tcPr>
            <w:tcW w:w="10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23.6%</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20.7%</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22.2%</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20.2%</w:t>
            </w:r>
          </w:p>
        </w:tc>
      </w:tr>
      <w:tr>
        <w:trPr>
          <w:trHeight w:val="264"/>
        </w:trPr>
        <w:tc>
          <w:tcPr>
            <w:tcW w:w="4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C</w:t>
            </w:r>
          </w:p>
        </w:tc>
        <w:tc>
          <w:tcPr>
            <w:tcW w:w="138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6"/>
                <w:szCs w:val="16"/>
                <w:color w:val="auto"/>
              </w:rPr>
              <w:t>15.8%</w:t>
            </w: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18.8%</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6"/>
                <w:szCs w:val="16"/>
                <w:color w:val="auto"/>
              </w:rPr>
              <w:t>17.5%</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18.3%</w:t>
            </w: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17.4%</w:t>
            </w:r>
          </w:p>
        </w:tc>
      </w:tr>
      <w:tr>
        <w:trPr>
          <w:trHeight w:val="240"/>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380" w:type="dxa"/>
            <w:vAlign w:val="bottom"/>
            <w:tcBorders>
              <w:bottom w:val="single" w:sz="8" w:color="auto"/>
            </w:tcBorders>
            <w:gridSpan w:val="2"/>
            <w:shd w:val="clear" w:color="auto" w:fill="CCEEFF"/>
          </w:tcPr>
          <w:p>
            <w:pPr>
              <w:jc w:val="right"/>
              <w:ind w:right="243"/>
              <w:spacing w:after="0"/>
              <w:rPr>
                <w:sz w:val="20"/>
                <w:szCs w:val="20"/>
                <w:color w:val="auto"/>
              </w:rPr>
            </w:pPr>
            <w:r>
              <w:rPr>
                <w:rFonts w:ascii="Arial" w:cs="Arial" w:eastAsia="Arial" w:hAnsi="Arial"/>
                <w:sz w:val="16"/>
                <w:szCs w:val="16"/>
                <w:color w:val="auto"/>
              </w:rPr>
              <w:t>18.5%</w:t>
            </w: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21.9%</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19.2%</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20.5%</w:t>
            </w:r>
          </w:p>
        </w:tc>
        <w:tc>
          <w:tcPr>
            <w:tcW w:w="11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19.0%</w:t>
            </w: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4"/>
        </w:trPr>
        <w:tc>
          <w:tcPr>
            <w:tcW w:w="4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4"/>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380" w:type="dxa"/>
            <w:vAlign w:val="bottom"/>
            <w:tcBorders>
              <w:bottom w:val="single" w:sz="8" w:color="auto"/>
            </w:tcBorders>
            <w:gridSpan w:val="2"/>
            <w:shd w:val="clear" w:color="auto" w:fill="CCEEFF"/>
          </w:tcPr>
          <w:p>
            <w:pPr>
              <w:jc w:val="right"/>
              <w:ind w:right="243"/>
              <w:spacing w:after="0"/>
              <w:rPr>
                <w:sz w:val="20"/>
                <w:szCs w:val="20"/>
                <w:color w:val="auto"/>
              </w:rPr>
            </w:pPr>
            <w:r>
              <w:rPr>
                <w:rFonts w:ascii="Arial" w:cs="Arial" w:eastAsia="Arial" w:hAnsi="Arial"/>
                <w:sz w:val="16"/>
                <w:szCs w:val="16"/>
                <w:color w:val="auto"/>
              </w:rPr>
              <w:t>16.0%</w:t>
            </w: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18.4%</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17.0%</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17.6%</w:t>
            </w:r>
          </w:p>
        </w:tc>
        <w:tc>
          <w:tcPr>
            <w:tcW w:w="11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7.9%</w:t>
            </w:r>
          </w:p>
        </w:tc>
      </w:tr>
      <w:tr>
        <w:trPr>
          <w:trHeight w:val="20"/>
        </w:trPr>
        <w:tc>
          <w:tcPr>
            <w:tcW w:w="4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18"/>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Canadian</w:t>
            </w:r>
          </w:p>
        </w:tc>
        <w:tc>
          <w:tcPr>
            <w:tcW w:w="100" w:type="dxa"/>
            <w:vAlign w:val="bottom"/>
            <w:tcBorders>
              <w:bottom w:val="single" w:sz="8" w:color="CCEEFF"/>
            </w:tcBorders>
            <w:gridSpan w:val="2"/>
          </w:tcPr>
          <w:p>
            <w:pPr>
              <w:spacing w:after="0"/>
              <w:rPr>
                <w:sz w:val="24"/>
                <w:szCs w:val="24"/>
                <w:color w:val="auto"/>
              </w:rPr>
            </w:pPr>
          </w:p>
        </w:tc>
        <w:tc>
          <w:tcPr>
            <w:tcW w:w="1380" w:type="dxa"/>
            <w:vAlign w:val="bottom"/>
            <w:tcBorders>
              <w:bottom w:val="single" w:sz="8" w:color="auto"/>
            </w:tcBorders>
            <w:gridSpan w:val="2"/>
          </w:tcPr>
          <w:p>
            <w:pPr>
              <w:jc w:val="right"/>
              <w:ind w:right="523"/>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gridSpan w:val="2"/>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15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2012</w:t>
            </w: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2011</w:t>
            </w:r>
          </w:p>
        </w:tc>
      </w:tr>
      <w:tr>
        <w:trPr>
          <w:trHeight w:val="256"/>
        </w:trPr>
        <w:tc>
          <w:tcPr>
            <w:tcW w:w="4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6"/>
                <w:szCs w:val="16"/>
                <w:color w:val="auto"/>
              </w:rPr>
              <w:t>25.0%</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13.9%</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15.3%</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16.5%</w:t>
            </w:r>
          </w:p>
        </w:tc>
      </w:tr>
      <w:tr>
        <w:trPr>
          <w:trHeight w:val="264"/>
        </w:trPr>
        <w:tc>
          <w:tcPr>
            <w:tcW w:w="4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A diesel</w:t>
            </w:r>
          </w:p>
        </w:tc>
        <w:tc>
          <w:tcPr>
            <w:tcW w:w="138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6"/>
                <w:szCs w:val="16"/>
                <w:color w:val="auto"/>
              </w:rPr>
              <w:t>5.9%</w:t>
            </w: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16.7%</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6"/>
                <w:szCs w:val="16"/>
                <w:color w:val="auto"/>
              </w:rPr>
              <w:t>15.6%</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17.3%</w:t>
            </w: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18.0%</w:t>
            </w:r>
          </w:p>
        </w:tc>
      </w:tr>
      <w:tr>
        <w:trPr>
          <w:trHeight w:val="257"/>
        </w:trPr>
        <w:tc>
          <w:tcPr>
            <w:tcW w:w="4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6"/>
                <w:szCs w:val="16"/>
                <w:color w:val="auto"/>
              </w:rPr>
              <w:t>16.2%</w:t>
            </w:r>
          </w:p>
        </w:tc>
        <w:tc>
          <w:tcPr>
            <w:tcW w:w="10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9.5%</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14.5%</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16.1%</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17.1%</w:t>
            </w:r>
          </w:p>
        </w:tc>
      </w:tr>
      <w:tr>
        <w:trPr>
          <w:trHeight w:val="264"/>
        </w:trPr>
        <w:tc>
          <w:tcPr>
            <w:tcW w:w="4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C</w:t>
            </w:r>
          </w:p>
        </w:tc>
        <w:tc>
          <w:tcPr>
            <w:tcW w:w="138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6"/>
                <w:szCs w:val="16"/>
                <w:color w:val="auto"/>
              </w:rPr>
              <w:t>18.8%</w:t>
            </w: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33.3%</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6"/>
                <w:szCs w:val="16"/>
                <w:color w:val="auto"/>
              </w:rPr>
              <w:t>11.9%</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14.9%</w:t>
            </w: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15.9%</w:t>
            </w:r>
          </w:p>
        </w:tc>
      </w:tr>
      <w:tr>
        <w:trPr>
          <w:trHeight w:val="240"/>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380" w:type="dxa"/>
            <w:vAlign w:val="bottom"/>
            <w:tcBorders>
              <w:bottom w:val="single" w:sz="8" w:color="auto"/>
            </w:tcBorders>
            <w:gridSpan w:val="2"/>
            <w:shd w:val="clear" w:color="auto" w:fill="CCEEFF"/>
          </w:tcPr>
          <w:p>
            <w:pPr>
              <w:jc w:val="right"/>
              <w:ind w:right="243"/>
              <w:spacing w:after="0"/>
              <w:rPr>
                <w:sz w:val="20"/>
                <w:szCs w:val="20"/>
                <w:color w:val="auto"/>
              </w:rPr>
            </w:pPr>
            <w:r>
              <w:rPr>
                <w:rFonts w:ascii="Arial" w:cs="Arial" w:eastAsia="Arial" w:hAnsi="Arial"/>
                <w:sz w:val="16"/>
                <w:szCs w:val="16"/>
                <w:color w:val="auto"/>
              </w:rPr>
              <w:t>17.0%</w:t>
            </w: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19.4%</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13.1%</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15.5%</w:t>
            </w:r>
          </w:p>
        </w:tc>
        <w:tc>
          <w:tcPr>
            <w:tcW w:w="11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16.5%</w:t>
            </w: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4"/>
        </w:trPr>
        <w:tc>
          <w:tcPr>
            <w:tcW w:w="4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4"/>
        </w:trPr>
        <w:tc>
          <w:tcPr>
            <w:tcW w:w="4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20.1%</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12.7%</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7.1%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83"/>
        </w:trPr>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Towables</w:t>
            </w:r>
          </w:p>
        </w:tc>
        <w:tc>
          <w:tcPr>
            <w:tcW w:w="1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64"/>
        </w:trPr>
        <w:tc>
          <w:tcPr>
            <w:tcW w:w="4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Through January 31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Borders>
              <w:bottom w:val="single" w:sz="8" w:color="auto"/>
            </w:tcBorders>
          </w:tcPr>
          <w:p>
            <w:pPr>
              <w:spacing w:after="0"/>
              <w:rPr>
                <w:sz w:val="22"/>
                <w:szCs w:val="22"/>
                <w:color w:val="auto"/>
              </w:rPr>
            </w:pPr>
          </w:p>
        </w:tc>
      </w:tr>
      <w:tr>
        <w:trPr>
          <w:trHeight w:val="250"/>
        </w:trPr>
        <w:tc>
          <w:tcPr>
            <w:tcW w:w="4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US</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2013</w:t>
            </w:r>
          </w:p>
        </w:tc>
        <w:tc>
          <w:tcPr>
            <w:tcW w:w="15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2012</w:t>
            </w:r>
          </w:p>
        </w:tc>
        <w:tc>
          <w:tcPr>
            <w:tcW w:w="11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2011</w:t>
            </w:r>
          </w:p>
        </w:tc>
      </w:tr>
      <w:tr>
        <w:trPr>
          <w:trHeight w:val="256"/>
        </w:trPr>
        <w:tc>
          <w:tcPr>
            <w:tcW w:w="4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380" w:type="dxa"/>
            <w:vAlign w:val="bottom"/>
            <w:gridSpan w:val="2"/>
            <w:shd w:val="clear" w:color="auto" w:fill="CCEEFF"/>
          </w:tcPr>
          <w:p>
            <w:pPr>
              <w:jc w:val="right"/>
              <w:ind w:right="203"/>
              <w:spacing w:after="0"/>
              <w:rPr>
                <w:sz w:val="20"/>
                <w:szCs w:val="20"/>
                <w:color w:val="auto"/>
              </w:rPr>
            </w:pPr>
            <w:r>
              <w:rPr>
                <w:rFonts w:ascii="Arial" w:cs="Arial" w:eastAsia="Arial" w:hAnsi="Arial"/>
                <w:sz w:val="16"/>
                <w:szCs w:val="16"/>
                <w:color w:val="auto"/>
              </w:rPr>
              <w:t>1.0%</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1.0%</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0.8%</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0.6%</w:t>
            </w:r>
          </w:p>
        </w:tc>
      </w:tr>
      <w:tr>
        <w:trPr>
          <w:trHeight w:val="264"/>
        </w:trPr>
        <w:tc>
          <w:tcPr>
            <w:tcW w:w="4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Fifth wheel</w:t>
            </w:r>
          </w:p>
        </w:tc>
        <w:tc>
          <w:tcPr>
            <w:tcW w:w="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0.5%</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0.9%</w:t>
            </w: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0.8%</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1.1%</w:t>
            </w: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0.5%</w:t>
            </w:r>
          </w:p>
        </w:tc>
      </w:tr>
      <w:tr>
        <w:trPr>
          <w:trHeight w:val="240"/>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0.9%</w:t>
            </w:r>
          </w:p>
        </w:tc>
        <w:tc>
          <w:tcPr>
            <w:tcW w:w="10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0.9%</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0.9%</w:t>
            </w:r>
          </w:p>
        </w:tc>
        <w:tc>
          <w:tcPr>
            <w:tcW w:w="11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0.6%</w:t>
            </w:r>
          </w:p>
        </w:tc>
      </w:tr>
      <w:tr>
        <w:trPr>
          <w:trHeight w:val="20"/>
        </w:trPr>
        <w:tc>
          <w:tcPr>
            <w:tcW w:w="4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18"/>
        </w:trPr>
        <w:tc>
          <w:tcPr>
            <w:tcW w:w="4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Canadian</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2013</w:t>
            </w:r>
          </w:p>
        </w:tc>
        <w:tc>
          <w:tcPr>
            <w:tcW w:w="15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2012</w:t>
            </w:r>
          </w:p>
        </w:tc>
        <w:tc>
          <w:tcPr>
            <w:tcW w:w="11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2011</w:t>
            </w:r>
          </w:p>
        </w:tc>
      </w:tr>
      <w:tr>
        <w:trPr>
          <w:trHeight w:val="256"/>
        </w:trPr>
        <w:tc>
          <w:tcPr>
            <w:tcW w:w="4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380" w:type="dxa"/>
            <w:vAlign w:val="bottom"/>
            <w:gridSpan w:val="2"/>
            <w:shd w:val="clear" w:color="auto" w:fill="CCEEFF"/>
          </w:tcPr>
          <w:p>
            <w:pPr>
              <w:jc w:val="right"/>
              <w:ind w:right="203"/>
              <w:spacing w:after="0"/>
              <w:rPr>
                <w:sz w:val="20"/>
                <w:szCs w:val="20"/>
                <w:color w:val="auto"/>
              </w:rPr>
            </w:pPr>
            <w:r>
              <w:rPr>
                <w:rFonts w:ascii="Arial" w:cs="Arial" w:eastAsia="Arial" w:hAnsi="Arial"/>
                <w:sz w:val="16"/>
                <w:szCs w:val="16"/>
                <w:color w:val="auto"/>
              </w:rPr>
              <w:t>0.3%</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0.6%</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0.9%</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0.6%</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0.5%</w:t>
            </w:r>
          </w:p>
        </w:tc>
      </w:tr>
      <w:tr>
        <w:trPr>
          <w:trHeight w:val="264"/>
        </w:trPr>
        <w:tc>
          <w:tcPr>
            <w:tcW w:w="4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Fifth wheel</w:t>
            </w:r>
          </w:p>
        </w:tc>
        <w:tc>
          <w:tcPr>
            <w:tcW w:w="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0.8%</w:t>
            </w: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1.4%</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1.5%</w:t>
            </w: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0.6%</w:t>
            </w:r>
          </w:p>
        </w:tc>
      </w:tr>
      <w:tr>
        <w:trPr>
          <w:trHeight w:val="240"/>
        </w:trPr>
        <w:tc>
          <w:tcPr>
            <w:tcW w:w="4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1380" w:type="dxa"/>
            <w:vAlign w:val="bottom"/>
            <w:gridSpan w:val="2"/>
            <w:shd w:val="clear" w:color="auto" w:fill="CCEEFF"/>
          </w:tcPr>
          <w:p>
            <w:pPr>
              <w:jc w:val="right"/>
              <w:ind w:right="203"/>
              <w:spacing w:after="0"/>
              <w:rPr>
                <w:sz w:val="20"/>
                <w:szCs w:val="20"/>
                <w:color w:val="auto"/>
              </w:rPr>
            </w:pPr>
            <w:r>
              <w:rPr>
                <w:rFonts w:ascii="Arial" w:cs="Arial" w:eastAsia="Arial" w:hAnsi="Arial"/>
                <w:sz w:val="16"/>
                <w:szCs w:val="16"/>
                <w:color w:val="auto"/>
              </w:rPr>
              <w:t>0.2%</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0.6%</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1.0%</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0.9%</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gridSpan w:val="5"/>
          </w:tcPr>
          <w:p>
            <w:pPr>
              <w:spacing w:after="0"/>
              <w:rPr>
                <w:sz w:val="20"/>
                <w:szCs w:val="20"/>
                <w:color w:val="auto"/>
              </w:rPr>
            </w:pPr>
            <w:r>
              <w:rPr>
                <w:rFonts w:ascii="Arial" w:cs="Arial" w:eastAsia="Arial" w:hAnsi="Arial"/>
                <w:sz w:val="16"/>
                <w:szCs w:val="16"/>
                <w:color w:val="auto"/>
              </w:rPr>
              <w:t>Presented in fiscal quarters, certain key metrics are shown below:</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6"/>
                <w:szCs w:val="16"/>
                <w:b w:val="1"/>
                <w:bCs w:val="1"/>
                <w:color w:val="auto"/>
              </w:rPr>
              <w:t>Class A, B &amp; C Motorhomes</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b w:val="1"/>
                <w:bCs w:val="1"/>
                <w:color w:val="auto"/>
              </w:rPr>
              <w:t>Travel Trailers &amp; Fifth Wheels</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60"/>
              <w:spacing w:after="0"/>
              <w:rPr>
                <w:sz w:val="20"/>
                <w:szCs w:val="20"/>
                <w:color w:val="auto"/>
              </w:rPr>
            </w:pPr>
            <w:r>
              <w:rPr>
                <w:rFonts w:ascii="Arial" w:cs="Arial" w:eastAsia="Arial" w:hAnsi="Arial"/>
                <w:sz w:val="14"/>
                <w:szCs w:val="14"/>
                <w:b w:val="1"/>
                <w:bCs w:val="1"/>
                <w:color w:val="auto"/>
              </w:rPr>
              <w:t>Wholesale</w:t>
            </w:r>
          </w:p>
        </w:tc>
        <w:tc>
          <w:tcPr>
            <w:tcW w:w="126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20" w:type="dxa"/>
            <w:vAlign w:val="bottom"/>
          </w:tcPr>
          <w:p>
            <w:pPr>
              <w:jc w:val="right"/>
              <w:ind w:right="361"/>
              <w:spacing w:after="0"/>
              <w:rPr>
                <w:sz w:val="20"/>
                <w:szCs w:val="20"/>
                <w:color w:val="auto"/>
              </w:rPr>
            </w:pPr>
            <w:r>
              <w:rPr>
                <w:rFonts w:ascii="Arial" w:cs="Arial" w:eastAsia="Arial" w:hAnsi="Arial"/>
                <w:sz w:val="14"/>
                <w:szCs w:val="14"/>
                <w:b w:val="1"/>
                <w:bCs w:val="1"/>
                <w:color w:val="auto"/>
              </w:rPr>
              <w:t>Dealer</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Order</w:t>
            </w:r>
          </w:p>
        </w:tc>
        <w:tc>
          <w:tcPr>
            <w:tcW w:w="1120" w:type="dxa"/>
            <w:vAlign w:val="bottom"/>
          </w:tcPr>
          <w:p>
            <w:pPr>
              <w:jc w:val="right"/>
              <w:ind w:right="120"/>
              <w:spacing w:after="0"/>
              <w:rPr>
                <w:sz w:val="20"/>
                <w:szCs w:val="20"/>
                <w:color w:val="auto"/>
              </w:rPr>
            </w:pPr>
            <w:r>
              <w:rPr>
                <w:rFonts w:ascii="Arial" w:cs="Arial" w:eastAsia="Arial" w:hAnsi="Arial"/>
                <w:sz w:val="14"/>
                <w:szCs w:val="14"/>
                <w:b w:val="1"/>
                <w:bCs w:val="1"/>
                <w:color w:val="auto"/>
              </w:rPr>
              <w:t>Wholesale</w:t>
            </w:r>
          </w:p>
        </w:tc>
        <w:tc>
          <w:tcPr>
            <w:tcW w:w="126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40" w:type="dxa"/>
            <w:vAlign w:val="bottom"/>
          </w:tcPr>
          <w:p>
            <w:pPr>
              <w:jc w:val="right"/>
              <w:ind w:right="381"/>
              <w:spacing w:after="0"/>
              <w:rPr>
                <w:sz w:val="20"/>
                <w:szCs w:val="20"/>
                <w:color w:val="auto"/>
              </w:rPr>
            </w:pPr>
            <w:r>
              <w:rPr>
                <w:rFonts w:ascii="Arial" w:cs="Arial" w:eastAsia="Arial" w:hAnsi="Arial"/>
                <w:sz w:val="14"/>
                <w:szCs w:val="14"/>
                <w:b w:val="1"/>
                <w:bCs w:val="1"/>
                <w:color w:val="auto"/>
              </w:rPr>
              <w:t>Dealer</w:t>
            </w:r>
          </w:p>
        </w:tc>
        <w:tc>
          <w:tcPr>
            <w:tcW w:w="1020" w:type="dxa"/>
            <w:vAlign w:val="bottom"/>
          </w:tcPr>
          <w:p>
            <w:pPr>
              <w:jc w:val="right"/>
              <w:ind w:right="301"/>
              <w:spacing w:after="0"/>
              <w:rPr>
                <w:sz w:val="20"/>
                <w:szCs w:val="20"/>
                <w:color w:val="auto"/>
              </w:rPr>
            </w:pPr>
            <w:r>
              <w:rPr>
                <w:rFonts w:ascii="Arial" w:cs="Arial" w:eastAsia="Arial" w:hAnsi="Arial"/>
                <w:sz w:val="14"/>
                <w:szCs w:val="14"/>
                <w:b w:val="1"/>
                <w:bCs w:val="1"/>
                <w:color w:val="auto"/>
              </w:rPr>
              <w:t>Order</w:t>
            </w:r>
          </w:p>
        </w:tc>
        <w:tc>
          <w:tcPr>
            <w:tcW w:w="0" w:type="dxa"/>
            <w:vAlign w:val="bottom"/>
          </w:tcPr>
          <w:p>
            <w:pPr>
              <w:spacing w:after="0"/>
              <w:rPr>
                <w:sz w:val="1"/>
                <w:szCs w:val="1"/>
                <w:color w:val="auto"/>
              </w:rPr>
            </w:pPr>
          </w:p>
        </w:tc>
      </w:tr>
      <w:tr>
        <w:trPr>
          <w:trHeight w:val="276"/>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Deliveries</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Inventory</w:t>
            </w: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Deliveries</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Inventory</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0" w:type="dxa"/>
            <w:vAlign w:val="bottom"/>
          </w:tcPr>
          <w:p>
            <w:pPr>
              <w:spacing w:after="0"/>
              <w:rPr>
                <w:sz w:val="1"/>
                <w:szCs w:val="1"/>
                <w:color w:val="auto"/>
              </w:rPr>
            </w:pPr>
          </w:p>
        </w:tc>
      </w:tr>
      <w:tr>
        <w:trPr>
          <w:trHeight w:val="25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Q3 2012</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1,280</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1,414</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1,940</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1,237</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646</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652</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1,370</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60"/>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Q4 2012</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1,321</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1,334</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1,927</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1,473</w:t>
            </w:r>
          </w:p>
        </w:tc>
        <w:tc>
          <w:tcPr>
            <w:tcW w:w="1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695</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700</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1,365</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8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Q1 2013</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1,534</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1,416</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2,045</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2,118</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557</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367</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1,555</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Q2 2013</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1,419</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1,072</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2,392</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2,752</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548</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328</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1,775</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4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5,554</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5,236</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2,446</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2,047</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ind w:left="40"/>
              <w:spacing w:after="0"/>
              <w:rPr>
                <w:sz w:val="20"/>
                <w:szCs w:val="20"/>
                <w:color w:val="auto"/>
              </w:rPr>
            </w:pPr>
            <w:r>
              <w:rPr>
                <w:rFonts w:ascii="Arial" w:cs="Arial" w:eastAsia="Arial" w:hAnsi="Arial"/>
                <w:sz w:val="16"/>
                <w:szCs w:val="16"/>
                <w:color w:val="auto"/>
              </w:rPr>
              <w:t>Mar 2012-Feb 2013</w:t>
            </w: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2"/>
            <w:vMerge w:val="continue"/>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Q3 2013</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1,978</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1,736</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2,634</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2,846</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713</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846</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1,642</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60"/>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Q4 2013</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1,890</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1,870</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2,654</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3,409</w:t>
            </w:r>
          </w:p>
        </w:tc>
        <w:tc>
          <w:tcPr>
            <w:tcW w:w="1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717</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748</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1,611</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8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Q1 2014</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2,005</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1,524</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3,135</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3,534</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484</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504</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1,591</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Q2 2014</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2,055</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1,283</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3,907</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2,900</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575</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394</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1,772</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4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7,928</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6,413</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2,489</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2,492</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ind w:left="40"/>
              <w:spacing w:after="0"/>
              <w:rPr>
                <w:sz w:val="20"/>
                <w:szCs w:val="20"/>
                <w:color w:val="auto"/>
              </w:rPr>
            </w:pPr>
            <w:r>
              <w:rPr>
                <w:rFonts w:ascii="Arial" w:cs="Arial" w:eastAsia="Arial" w:hAnsi="Arial"/>
                <w:sz w:val="16"/>
                <w:szCs w:val="16"/>
                <w:color w:val="auto"/>
              </w:rPr>
              <w:t>Mar 2013-Feb 2014</w:t>
            </w: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2"/>
            <w:vMerge w:val="continue"/>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89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41" w:right="239" w:bottom="89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motorhome industry are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4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US and Canada Industry Class A, B &amp; C Motorhomes</w:t>
            </w:r>
          </w:p>
        </w:tc>
        <w:tc>
          <w:tcPr>
            <w:tcW w:w="1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06"/>
        </w:trPr>
        <w:tc>
          <w:tcPr>
            <w:tcW w:w="2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4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Calendar Year</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6"/>
                <w:szCs w:val="16"/>
                <w:b w:val="1"/>
                <w:bCs w:val="1"/>
                <w:color w:val="auto"/>
              </w:rPr>
              <w:t>Calendar Year</w:t>
            </w: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2012</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Increase</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Increase</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2"/>
                <w:szCs w:val="22"/>
                <w:color w:val="auto"/>
              </w:rPr>
            </w:pPr>
          </w:p>
        </w:tc>
      </w:tr>
      <w:tr>
        <w:trPr>
          <w:trHeight w:val="260"/>
        </w:trPr>
        <w:tc>
          <w:tcPr>
            <w:tcW w:w="2460" w:type="dxa"/>
            <w:vAlign w:val="bottom"/>
          </w:tcPr>
          <w:p>
            <w:pPr>
              <w:ind w:left="40"/>
              <w:spacing w:after="0"/>
              <w:rPr>
                <w:sz w:val="20"/>
                <w:szCs w:val="20"/>
                <w:color w:val="auto"/>
              </w:rPr>
            </w:pPr>
            <w:r>
              <w:rPr>
                <w:rFonts w:ascii="Arial" w:cs="Arial" w:eastAsia="Arial" w:hAnsi="Arial"/>
                <w:sz w:val="16"/>
                <w:szCs w:val="16"/>
                <w:color w:val="auto"/>
              </w:rPr>
              <w:t>Q1</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8,500</w:t>
            </w:r>
          </w:p>
        </w:tc>
        <w:tc>
          <w:tcPr>
            <w:tcW w:w="280" w:type="dxa"/>
            <w:vAlign w:val="bottom"/>
          </w:tcPr>
          <w:p>
            <w:pPr>
              <w:spacing w:after="0"/>
              <w:rPr>
                <w:sz w:val="22"/>
                <w:szCs w:val="22"/>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6,869</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1,631</w:t>
            </w:r>
          </w:p>
        </w:tc>
        <w:tc>
          <w:tcPr>
            <w:tcW w:w="920" w:type="dxa"/>
            <w:vAlign w:val="bottom"/>
          </w:tcPr>
          <w:p>
            <w:pPr>
              <w:jc w:val="right"/>
              <w:spacing w:after="0"/>
              <w:rPr>
                <w:sz w:val="20"/>
                <w:szCs w:val="20"/>
                <w:color w:val="auto"/>
              </w:rPr>
            </w:pPr>
            <w:r>
              <w:rPr>
                <w:rFonts w:ascii="Arial" w:cs="Arial" w:eastAsia="Arial" w:hAnsi="Arial"/>
                <w:sz w:val="16"/>
                <w:szCs w:val="16"/>
                <w:color w:val="auto"/>
              </w:rPr>
              <w:t>23.7%</w:t>
            </w:r>
          </w:p>
        </w:tc>
        <w:tc>
          <w:tcPr>
            <w:tcW w:w="1020" w:type="dxa"/>
            <w:vAlign w:val="bottom"/>
            <w:gridSpan w:val="2"/>
          </w:tcPr>
          <w:p>
            <w:pPr>
              <w:jc w:val="right"/>
              <w:ind w:right="39"/>
              <w:spacing w:after="0"/>
              <w:rPr>
                <w:sz w:val="20"/>
                <w:szCs w:val="20"/>
                <w:color w:val="auto"/>
              </w:rPr>
            </w:pPr>
            <w:r>
              <w:rPr>
                <w:rFonts w:ascii="Arial" w:cs="Arial" w:eastAsia="Arial" w:hAnsi="Arial"/>
                <w:sz w:val="16"/>
                <w:szCs w:val="16"/>
                <w:color w:val="auto"/>
              </w:rPr>
              <w:t>7,145</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5,706</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1,439</w:t>
            </w:r>
          </w:p>
        </w:tc>
        <w:tc>
          <w:tcPr>
            <w:tcW w:w="980" w:type="dxa"/>
            <w:vAlign w:val="bottom"/>
          </w:tcPr>
          <w:p>
            <w:pPr>
              <w:jc w:val="right"/>
              <w:spacing w:after="0"/>
              <w:rPr>
                <w:sz w:val="20"/>
                <w:szCs w:val="20"/>
                <w:color w:val="auto"/>
              </w:rPr>
            </w:pPr>
            <w:r>
              <w:rPr>
                <w:rFonts w:ascii="Arial" w:cs="Arial" w:eastAsia="Arial" w:hAnsi="Arial"/>
                <w:sz w:val="16"/>
                <w:szCs w:val="16"/>
                <w:color w:val="auto"/>
              </w:rPr>
              <w:t>25.2%</w:t>
            </w:r>
          </w:p>
        </w:tc>
        <w:tc>
          <w:tcPr>
            <w:tcW w:w="20" w:type="dxa"/>
            <w:vAlign w:val="bottom"/>
          </w:tcPr>
          <w:p>
            <w:pPr>
              <w:spacing w:after="0"/>
              <w:rPr>
                <w:sz w:val="22"/>
                <w:szCs w:val="22"/>
                <w:color w:val="auto"/>
              </w:rPr>
            </w:pPr>
          </w:p>
        </w:tc>
      </w:tr>
      <w:tr>
        <w:trPr>
          <w:trHeight w:val="280"/>
        </w:trPr>
        <w:tc>
          <w:tcPr>
            <w:tcW w:w="24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10,972</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7,707</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3,265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10,898</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8,206</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2,692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20" w:type="dxa"/>
            <w:vAlign w:val="bottom"/>
          </w:tcPr>
          <w:p>
            <w:pPr>
              <w:spacing w:after="0"/>
              <w:rPr>
                <w:sz w:val="24"/>
                <w:szCs w:val="24"/>
                <w:color w:val="auto"/>
              </w:rPr>
            </w:pPr>
          </w:p>
        </w:tc>
      </w:tr>
      <w:tr>
        <w:trPr>
          <w:trHeight w:val="260"/>
        </w:trPr>
        <w:tc>
          <w:tcPr>
            <w:tcW w:w="2460" w:type="dxa"/>
            <w:vAlign w:val="bottom"/>
          </w:tcPr>
          <w:p>
            <w:pPr>
              <w:ind w:left="40"/>
              <w:spacing w:after="0"/>
              <w:rPr>
                <w:sz w:val="20"/>
                <w:szCs w:val="20"/>
                <w:color w:val="auto"/>
              </w:rPr>
            </w:pPr>
            <w:r>
              <w:rPr>
                <w:rFonts w:ascii="Arial" w:cs="Arial" w:eastAsia="Arial" w:hAnsi="Arial"/>
                <w:sz w:val="16"/>
                <w:szCs w:val="16"/>
                <w:color w:val="auto"/>
              </w:rPr>
              <w:t>Q3</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9,469</w:t>
            </w:r>
          </w:p>
        </w:tc>
        <w:tc>
          <w:tcPr>
            <w:tcW w:w="280" w:type="dxa"/>
            <w:vAlign w:val="bottom"/>
          </w:tcPr>
          <w:p>
            <w:pPr>
              <w:spacing w:after="0"/>
              <w:rPr>
                <w:sz w:val="22"/>
                <w:szCs w:val="22"/>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6,678</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2,791</w:t>
            </w:r>
          </w:p>
        </w:tc>
        <w:tc>
          <w:tcPr>
            <w:tcW w:w="920" w:type="dxa"/>
            <w:vAlign w:val="bottom"/>
          </w:tcPr>
          <w:p>
            <w:pPr>
              <w:jc w:val="right"/>
              <w:spacing w:after="0"/>
              <w:rPr>
                <w:sz w:val="20"/>
                <w:szCs w:val="20"/>
                <w:color w:val="auto"/>
              </w:rPr>
            </w:pPr>
            <w:r>
              <w:rPr>
                <w:rFonts w:ascii="Arial" w:cs="Arial" w:eastAsia="Arial" w:hAnsi="Arial"/>
                <w:sz w:val="16"/>
                <w:szCs w:val="16"/>
                <w:color w:val="auto"/>
              </w:rPr>
              <w:t>41.8%</w:t>
            </w:r>
          </w:p>
        </w:tc>
        <w:tc>
          <w:tcPr>
            <w:tcW w:w="1020" w:type="dxa"/>
            <w:vAlign w:val="bottom"/>
            <w:gridSpan w:val="2"/>
          </w:tcPr>
          <w:p>
            <w:pPr>
              <w:jc w:val="right"/>
              <w:ind w:right="39"/>
              <w:spacing w:after="0"/>
              <w:rPr>
                <w:sz w:val="20"/>
                <w:szCs w:val="20"/>
                <w:color w:val="auto"/>
              </w:rPr>
            </w:pPr>
            <w:r>
              <w:rPr>
                <w:rFonts w:ascii="Arial" w:cs="Arial" w:eastAsia="Arial" w:hAnsi="Arial"/>
                <w:sz w:val="16"/>
                <w:szCs w:val="16"/>
                <w:color w:val="auto"/>
              </w:rPr>
              <w:t>9,111</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6,916</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2,195</w:t>
            </w:r>
          </w:p>
        </w:tc>
        <w:tc>
          <w:tcPr>
            <w:tcW w:w="980" w:type="dxa"/>
            <w:vAlign w:val="bottom"/>
          </w:tcPr>
          <w:p>
            <w:pPr>
              <w:jc w:val="right"/>
              <w:spacing w:after="0"/>
              <w:rPr>
                <w:sz w:val="20"/>
                <w:szCs w:val="20"/>
                <w:color w:val="auto"/>
              </w:rPr>
            </w:pPr>
            <w:r>
              <w:rPr>
                <w:rFonts w:ascii="Arial" w:cs="Arial" w:eastAsia="Arial" w:hAnsi="Arial"/>
                <w:sz w:val="16"/>
                <w:szCs w:val="16"/>
                <w:color w:val="auto"/>
              </w:rPr>
              <w:t>31.7%</w:t>
            </w:r>
          </w:p>
        </w:tc>
        <w:tc>
          <w:tcPr>
            <w:tcW w:w="20" w:type="dxa"/>
            <w:vAlign w:val="bottom"/>
          </w:tcPr>
          <w:p>
            <w:pPr>
              <w:spacing w:after="0"/>
              <w:rPr>
                <w:sz w:val="22"/>
                <w:szCs w:val="22"/>
                <w:color w:val="auto"/>
              </w:rPr>
            </w:pPr>
          </w:p>
        </w:tc>
      </w:tr>
      <w:tr>
        <w:trPr>
          <w:trHeight w:val="273"/>
        </w:trPr>
        <w:tc>
          <w:tcPr>
            <w:tcW w:w="24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9,391</w:t>
            </w: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6,944</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2,447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6,276</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4,922</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1,354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0" w:type="dxa"/>
            <w:vAlign w:val="bottom"/>
          </w:tcPr>
          <w:p>
            <w:pPr>
              <w:spacing w:after="0"/>
              <w:rPr>
                <w:sz w:val="23"/>
                <w:szCs w:val="23"/>
                <w:color w:val="auto"/>
              </w:rPr>
            </w:pPr>
          </w:p>
        </w:tc>
      </w:tr>
      <w:tr>
        <w:trPr>
          <w:trHeight w:val="307"/>
        </w:trPr>
        <w:tc>
          <w:tcPr>
            <w:tcW w:w="2460" w:type="dxa"/>
            <w:vAlign w:val="bottom"/>
          </w:tcPr>
          <w:p>
            <w:pPr>
              <w:ind w:left="40"/>
              <w:spacing w:after="0"/>
              <w:rPr>
                <w:sz w:val="20"/>
                <w:szCs w:val="20"/>
                <w:color w:val="auto"/>
              </w:rPr>
            </w:pPr>
            <w:r>
              <w:rPr>
                <w:rFonts w:ascii="Arial" w:cs="Arial" w:eastAsia="Arial" w:hAnsi="Arial"/>
                <w:sz w:val="16"/>
                <w:szCs w:val="16"/>
                <w:color w:val="auto"/>
              </w:rPr>
              <w:t>Total</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38,332</w:t>
            </w:r>
          </w:p>
        </w:tc>
        <w:tc>
          <w:tcPr>
            <w:tcW w:w="280" w:type="dxa"/>
            <w:vAlign w:val="bottom"/>
          </w:tcPr>
          <w:p>
            <w:pPr>
              <w:spacing w:after="0"/>
              <w:rPr>
                <w:sz w:val="24"/>
                <w:szCs w:val="24"/>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28,198</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10,134</w:t>
            </w:r>
          </w:p>
        </w:tc>
        <w:tc>
          <w:tcPr>
            <w:tcW w:w="920" w:type="dxa"/>
            <w:vAlign w:val="bottom"/>
          </w:tcPr>
          <w:p>
            <w:pPr>
              <w:jc w:val="right"/>
              <w:spacing w:after="0"/>
              <w:rPr>
                <w:sz w:val="20"/>
                <w:szCs w:val="20"/>
                <w:color w:val="auto"/>
              </w:rPr>
            </w:pPr>
            <w:r>
              <w:rPr>
                <w:rFonts w:ascii="Arial" w:cs="Arial" w:eastAsia="Arial" w:hAnsi="Arial"/>
                <w:sz w:val="16"/>
                <w:szCs w:val="16"/>
                <w:color w:val="auto"/>
              </w:rPr>
              <w:t>35.9%</w:t>
            </w:r>
          </w:p>
        </w:tc>
        <w:tc>
          <w:tcPr>
            <w:tcW w:w="1020" w:type="dxa"/>
            <w:vAlign w:val="bottom"/>
            <w:gridSpan w:val="2"/>
          </w:tcPr>
          <w:p>
            <w:pPr>
              <w:jc w:val="right"/>
              <w:ind w:right="39"/>
              <w:spacing w:after="0"/>
              <w:rPr>
                <w:sz w:val="20"/>
                <w:szCs w:val="20"/>
                <w:color w:val="auto"/>
              </w:rPr>
            </w:pPr>
            <w:r>
              <w:rPr>
                <w:rFonts w:ascii="Arial" w:cs="Arial" w:eastAsia="Arial" w:hAnsi="Arial"/>
                <w:sz w:val="16"/>
                <w:szCs w:val="16"/>
                <w:color w:val="auto"/>
              </w:rPr>
              <w:t>33,430</w:t>
            </w: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25,750</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7,680</w:t>
            </w:r>
          </w:p>
        </w:tc>
        <w:tc>
          <w:tcPr>
            <w:tcW w:w="980" w:type="dxa"/>
            <w:vAlign w:val="bottom"/>
          </w:tcPr>
          <w:p>
            <w:pPr>
              <w:jc w:val="right"/>
              <w:spacing w:after="0"/>
              <w:rPr>
                <w:sz w:val="20"/>
                <w:szCs w:val="20"/>
                <w:color w:val="auto"/>
              </w:rPr>
            </w:pPr>
            <w:r>
              <w:rPr>
                <w:rFonts w:ascii="Arial" w:cs="Arial" w:eastAsia="Arial" w:hAnsi="Arial"/>
                <w:sz w:val="16"/>
                <w:szCs w:val="16"/>
                <w:color w:val="auto"/>
              </w:rPr>
              <w:t>29.8%</w:t>
            </w:r>
          </w:p>
        </w:tc>
        <w:tc>
          <w:tcPr>
            <w:tcW w:w="20" w:type="dxa"/>
            <w:vAlign w:val="bottom"/>
          </w:tcPr>
          <w:p>
            <w:pPr>
              <w:spacing w:after="0"/>
              <w:rPr>
                <w:sz w:val="24"/>
                <w:szCs w:val="24"/>
                <w:color w:val="auto"/>
              </w:rPr>
            </w:pPr>
          </w:p>
        </w:tc>
      </w:tr>
      <w:tr>
        <w:trPr>
          <w:trHeight w:val="254"/>
        </w:trPr>
        <w:tc>
          <w:tcPr>
            <w:tcW w:w="2460" w:type="dxa"/>
            <w:vAlign w:val="bottom"/>
            <w:tcBorders>
              <w:top w:val="single" w:sz="8" w:color="CCEEFF"/>
              <w:left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2014</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2013</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Increase</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Increase</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20" w:type="dxa"/>
            <w:vAlign w:val="bottom"/>
            <w:tcBorders>
              <w:bottom w:val="single" w:sz="8" w:color="auto"/>
            </w:tcBorders>
          </w:tcPr>
          <w:p>
            <w:pPr>
              <w:spacing w:after="0"/>
              <w:rPr>
                <w:sz w:val="22"/>
                <w:szCs w:val="22"/>
                <w:color w:val="auto"/>
              </w:rPr>
            </w:pPr>
          </w:p>
        </w:tc>
      </w:tr>
      <w:tr>
        <w:trPr>
          <w:trHeight w:val="270"/>
        </w:trPr>
        <w:tc>
          <w:tcPr>
            <w:tcW w:w="24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January</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3,268</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2,577</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1,955</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1,775</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0" w:type="dxa"/>
            <w:vAlign w:val="bottom"/>
            <w:shd w:val="clear" w:color="auto" w:fill="000000"/>
          </w:tcPr>
          <w:p>
            <w:pPr>
              <w:spacing w:after="0"/>
              <w:rPr>
                <w:sz w:val="23"/>
                <w:szCs w:val="23"/>
                <w:color w:val="auto"/>
              </w:rPr>
            </w:pPr>
          </w:p>
        </w:tc>
      </w:tr>
      <w:tr>
        <w:trPr>
          <w:trHeight w:val="260"/>
        </w:trPr>
        <w:tc>
          <w:tcPr>
            <w:tcW w:w="246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February</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3,737</w:t>
            </w:r>
          </w:p>
        </w:tc>
        <w:tc>
          <w:tcPr>
            <w:tcW w:w="280" w:type="dxa"/>
            <w:vAlign w:val="bottom"/>
          </w:tcPr>
          <w:p>
            <w:pPr>
              <w:spacing w:after="0"/>
              <w:rPr>
                <w:sz w:val="22"/>
                <w:szCs w:val="22"/>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2,838</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899</w:t>
            </w:r>
          </w:p>
        </w:tc>
        <w:tc>
          <w:tcPr>
            <w:tcW w:w="92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2,172</w:t>
            </w:r>
          </w:p>
        </w:tc>
        <w:tc>
          <w:tcPr>
            <w:tcW w:w="1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r>
      <w:tr>
        <w:trPr>
          <w:trHeight w:val="273"/>
        </w:trPr>
        <w:tc>
          <w:tcPr>
            <w:tcW w:w="24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March</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4,229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3,085</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1,144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3,198</w:t>
            </w:r>
          </w:p>
        </w:tc>
        <w:tc>
          <w:tcPr>
            <w:tcW w:w="1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r>
      <w:tr>
        <w:trPr>
          <w:trHeight w:val="260"/>
        </w:trPr>
        <w:tc>
          <w:tcPr>
            <w:tcW w:w="2460" w:type="dxa"/>
            <w:vAlign w:val="bottom"/>
          </w:tcPr>
          <w:p>
            <w:pPr>
              <w:ind w:left="40"/>
              <w:spacing w:after="0"/>
              <w:rPr>
                <w:sz w:val="20"/>
                <w:szCs w:val="20"/>
                <w:color w:val="auto"/>
              </w:rPr>
            </w:pPr>
            <w:r>
              <w:rPr>
                <w:rFonts w:ascii="Arial" w:cs="Arial" w:eastAsia="Arial" w:hAnsi="Arial"/>
                <w:sz w:val="16"/>
                <w:szCs w:val="16"/>
                <w:color w:val="auto"/>
              </w:rPr>
              <w:t>Q1</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11,234</w:t>
            </w:r>
          </w:p>
        </w:tc>
        <w:tc>
          <w:tcPr>
            <w:tcW w:w="280" w:type="dxa"/>
            <w:vAlign w:val="bottom"/>
          </w:tcPr>
          <w:p>
            <w:pPr>
              <w:jc w:val="right"/>
              <w:spacing w:after="0"/>
              <w:rPr>
                <w:sz w:val="20"/>
                <w:szCs w:val="20"/>
                <w:color w:val="auto"/>
              </w:rPr>
            </w:pPr>
            <w:r>
              <w:rPr>
                <w:rFonts w:ascii="Arial" w:cs="Arial" w:eastAsia="Arial" w:hAnsi="Arial"/>
                <w:sz w:val="11"/>
                <w:szCs w:val="11"/>
                <w:color w:val="auto"/>
              </w:rPr>
              <w:t>(3)</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8,500</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2,734</w:t>
            </w:r>
          </w:p>
        </w:tc>
        <w:tc>
          <w:tcPr>
            <w:tcW w:w="92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7,145</w:t>
            </w:r>
          </w:p>
        </w:tc>
        <w:tc>
          <w:tcPr>
            <w:tcW w:w="1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0"/>
        </w:trPr>
        <w:tc>
          <w:tcPr>
            <w:tcW w:w="24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12,500</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10,972</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1,528</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10,898</w:t>
            </w:r>
          </w:p>
        </w:tc>
        <w:tc>
          <w:tcPr>
            <w:tcW w:w="1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2460" w:type="dxa"/>
            <w:vAlign w:val="bottom"/>
          </w:tcPr>
          <w:p>
            <w:pPr>
              <w:ind w:left="40"/>
              <w:spacing w:after="0"/>
              <w:rPr>
                <w:sz w:val="20"/>
                <w:szCs w:val="20"/>
                <w:color w:val="auto"/>
              </w:rPr>
            </w:pPr>
            <w:r>
              <w:rPr>
                <w:rFonts w:ascii="Arial" w:cs="Arial" w:eastAsia="Arial" w:hAnsi="Arial"/>
                <w:sz w:val="16"/>
                <w:szCs w:val="16"/>
                <w:color w:val="auto"/>
              </w:rPr>
              <w:t>Q3</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10,800</w:t>
            </w:r>
          </w:p>
        </w:tc>
        <w:tc>
          <w:tcPr>
            <w:tcW w:w="280" w:type="dxa"/>
            <w:vAlign w:val="bottom"/>
          </w:tcPr>
          <w:p>
            <w:pPr>
              <w:jc w:val="right"/>
              <w:spacing w:after="0"/>
              <w:rPr>
                <w:sz w:val="20"/>
                <w:szCs w:val="20"/>
                <w:color w:val="auto"/>
              </w:rPr>
            </w:pPr>
            <w:r>
              <w:rPr>
                <w:rFonts w:ascii="Arial" w:cs="Arial" w:eastAsia="Arial" w:hAnsi="Arial"/>
                <w:sz w:val="11"/>
                <w:szCs w:val="11"/>
                <w:color w:val="auto"/>
              </w:rPr>
              <w:t>(3)</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9,469</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1,331</w:t>
            </w:r>
          </w:p>
        </w:tc>
        <w:tc>
          <w:tcPr>
            <w:tcW w:w="92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9,111</w:t>
            </w:r>
          </w:p>
        </w:tc>
        <w:tc>
          <w:tcPr>
            <w:tcW w:w="1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3"/>
        </w:trPr>
        <w:tc>
          <w:tcPr>
            <w:tcW w:w="24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9,391</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6,276</w:t>
            </w:r>
          </w:p>
        </w:tc>
        <w:tc>
          <w:tcPr>
            <w:tcW w:w="1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40"/>
        </w:trPr>
        <w:tc>
          <w:tcPr>
            <w:tcW w:w="2460" w:type="dxa"/>
            <w:vAlign w:val="bottom"/>
          </w:tcPr>
          <w:p>
            <w:pPr>
              <w:ind w:left="4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44,734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38,332</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6,402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33,430</w:t>
            </w: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2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Class A, B and C wholesale shipments as reported by RVIA.</w:t>
      </w:r>
    </w:p>
    <w:p>
      <w:pPr>
        <w:ind w:left="340" w:hanging="332"/>
        <w:spacing w:after="0" w:line="187"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Class A, B and C retail registrations as reported by Stat Surveys for the US and Canada combined.</w:t>
      </w:r>
    </w:p>
    <w:p>
      <w:pPr>
        <w:ind w:left="340" w:right="360" w:hanging="332"/>
        <w:spacing w:after="0" w:line="220"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2014 Class A, B and C wholesale shipments are based upon the forecast prepared by Dr. Richard Curtin of the University of Michigan Consumer Survey Research Center for RVIA and reported in the Roadsigns RV Spring 2014 Industry Forecast Issue. The revised RVIA annual 2014 wholesale shipment forecast is 43,900.</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2014 retail demand for this period.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18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gridSpan w:val="6"/>
          </w:tcPr>
          <w:p>
            <w:pPr>
              <w:jc w:val="right"/>
              <w:ind w:right="341"/>
              <w:spacing w:after="0"/>
              <w:rPr>
                <w:sz w:val="20"/>
                <w:szCs w:val="20"/>
                <w:color w:val="auto"/>
              </w:rPr>
            </w:pPr>
            <w:r>
              <w:rPr>
                <w:rFonts w:ascii="Arial" w:cs="Arial" w:eastAsia="Arial" w:hAnsi="Arial"/>
                <w:sz w:val="14"/>
                <w:szCs w:val="14"/>
                <w:b w:val="1"/>
                <w:bCs w:val="1"/>
                <w:color w:val="auto"/>
              </w:rPr>
              <w:t>US and Canada Travel Trailer &amp; Fifth Wheel Industry</w:t>
            </w:r>
          </w:p>
        </w:tc>
        <w:tc>
          <w:tcPr>
            <w:tcW w:w="1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2"/>
          </w:tcPr>
          <w:p>
            <w:pPr>
              <w:jc w:val="right"/>
              <w:ind w:right="50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8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8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Calendar Year</w:t>
            </w:r>
          </w:p>
        </w:tc>
        <w:tc>
          <w:tcPr>
            <w:tcW w:w="8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2"/>
          </w:tcPr>
          <w:p>
            <w:pPr>
              <w:jc w:val="right"/>
              <w:ind w:right="681"/>
              <w:spacing w:after="0"/>
              <w:rPr>
                <w:sz w:val="20"/>
                <w:szCs w:val="20"/>
                <w:color w:val="auto"/>
              </w:rPr>
            </w:pPr>
            <w:r>
              <w:rPr>
                <w:rFonts w:ascii="Arial" w:cs="Arial" w:eastAsia="Arial" w:hAnsi="Arial"/>
                <w:sz w:val="14"/>
                <w:szCs w:val="14"/>
                <w:b w:val="1"/>
                <w:bCs w:val="1"/>
                <w:color w:val="auto"/>
              </w:rPr>
              <w:t>Calendar Year</w:t>
            </w:r>
          </w:p>
        </w:tc>
        <w:tc>
          <w:tcPr>
            <w:tcW w:w="1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Increase</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2012</w:t>
            </w:r>
          </w:p>
        </w:tc>
        <w:tc>
          <w:tcPr>
            <w:tcW w:w="13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Increase</w:t>
            </w:r>
          </w:p>
        </w:tc>
        <w:tc>
          <w:tcPr>
            <w:tcW w:w="12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66,745</w:t>
            </w:r>
          </w:p>
        </w:tc>
        <w:tc>
          <w:tcPr>
            <w:tcW w:w="3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60,402</w:t>
            </w: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6,343</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42,959</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39,093</w:t>
            </w:r>
          </w:p>
        </w:tc>
        <w:tc>
          <w:tcPr>
            <w:tcW w:w="13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3,866</w:t>
            </w:r>
          </w:p>
        </w:tc>
        <w:tc>
          <w:tcPr>
            <w:tcW w:w="12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9.9 %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880" w:type="dxa"/>
            <w:vAlign w:val="bottom"/>
          </w:tcPr>
          <w:p>
            <w:pPr>
              <w:ind w:left="40"/>
              <w:spacing w:after="0"/>
              <w:rPr>
                <w:sz w:val="20"/>
                <w:szCs w:val="20"/>
                <w:color w:val="auto"/>
              </w:rPr>
            </w:pPr>
            <w:r>
              <w:rPr>
                <w:rFonts w:ascii="Arial" w:cs="Arial" w:eastAsia="Arial" w:hAnsi="Arial"/>
                <w:sz w:val="16"/>
                <w:szCs w:val="16"/>
                <w:color w:val="auto"/>
              </w:rPr>
              <w:t>Q2</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79,935</w:t>
            </w:r>
          </w:p>
        </w:tc>
        <w:tc>
          <w:tcPr>
            <w:tcW w:w="320" w:type="dxa"/>
            <w:vAlign w:val="bottom"/>
          </w:tcPr>
          <w:p>
            <w:pPr>
              <w:spacing w:after="0"/>
              <w:rPr>
                <w:sz w:val="22"/>
                <w:szCs w:val="22"/>
                <w:color w:val="auto"/>
              </w:rPr>
            </w:pPr>
          </w:p>
        </w:tc>
        <w:tc>
          <w:tcPr>
            <w:tcW w:w="1420" w:type="dxa"/>
            <w:vAlign w:val="bottom"/>
          </w:tcPr>
          <w:p>
            <w:pPr>
              <w:jc w:val="right"/>
              <w:ind w:right="361"/>
              <w:spacing w:after="0"/>
              <w:rPr>
                <w:sz w:val="20"/>
                <w:szCs w:val="20"/>
                <w:color w:val="auto"/>
              </w:rPr>
            </w:pPr>
            <w:r>
              <w:rPr>
                <w:rFonts w:ascii="Arial" w:cs="Arial" w:eastAsia="Arial" w:hAnsi="Arial"/>
                <w:sz w:val="16"/>
                <w:szCs w:val="16"/>
                <w:color w:val="auto"/>
              </w:rPr>
              <w:t>71,095</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8,840</w:t>
            </w:r>
          </w:p>
        </w:tc>
        <w:tc>
          <w:tcPr>
            <w:tcW w:w="880" w:type="dxa"/>
            <w:vAlign w:val="bottom"/>
          </w:tcPr>
          <w:p>
            <w:pPr>
              <w:jc w:val="right"/>
              <w:spacing w:after="0"/>
              <w:rPr>
                <w:sz w:val="20"/>
                <w:szCs w:val="20"/>
                <w:color w:val="auto"/>
              </w:rPr>
            </w:pPr>
            <w:r>
              <w:rPr>
                <w:rFonts w:ascii="Arial" w:cs="Arial" w:eastAsia="Arial" w:hAnsi="Arial"/>
                <w:sz w:val="16"/>
                <w:szCs w:val="16"/>
                <w:color w:val="auto"/>
              </w:rPr>
              <w:t>12.4%</w:t>
            </w:r>
          </w:p>
        </w:tc>
        <w:tc>
          <w:tcPr>
            <w:tcW w:w="1000" w:type="dxa"/>
            <w:vAlign w:val="bottom"/>
            <w:gridSpan w:val="2"/>
          </w:tcPr>
          <w:p>
            <w:pPr>
              <w:jc w:val="right"/>
              <w:ind w:right="22"/>
              <w:spacing w:after="0"/>
              <w:rPr>
                <w:sz w:val="20"/>
                <w:szCs w:val="20"/>
                <w:color w:val="auto"/>
              </w:rPr>
            </w:pPr>
            <w:r>
              <w:rPr>
                <w:rFonts w:ascii="Arial" w:cs="Arial" w:eastAsia="Arial" w:hAnsi="Arial"/>
                <w:sz w:val="16"/>
                <w:szCs w:val="16"/>
                <w:color w:val="auto"/>
              </w:rPr>
              <w:t>94,648</w:t>
            </w:r>
          </w:p>
        </w:tc>
        <w:tc>
          <w:tcPr>
            <w:tcW w:w="32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83,990</w:t>
            </w:r>
          </w:p>
        </w:tc>
        <w:tc>
          <w:tcPr>
            <w:tcW w:w="1360" w:type="dxa"/>
            <w:vAlign w:val="bottom"/>
          </w:tcPr>
          <w:p>
            <w:pPr>
              <w:jc w:val="right"/>
              <w:ind w:right="281"/>
              <w:spacing w:after="0"/>
              <w:rPr>
                <w:sz w:val="20"/>
                <w:szCs w:val="20"/>
                <w:color w:val="auto"/>
              </w:rPr>
            </w:pPr>
            <w:r>
              <w:rPr>
                <w:rFonts w:ascii="Arial" w:cs="Arial" w:eastAsia="Arial" w:hAnsi="Arial"/>
                <w:sz w:val="16"/>
                <w:szCs w:val="16"/>
                <w:color w:val="auto"/>
              </w:rPr>
              <w:t>10,658</w:t>
            </w:r>
          </w:p>
        </w:tc>
        <w:tc>
          <w:tcPr>
            <w:tcW w:w="1200" w:type="dxa"/>
            <w:vAlign w:val="bottom"/>
          </w:tcPr>
          <w:p>
            <w:pPr>
              <w:jc w:val="right"/>
              <w:ind w:right="101"/>
              <w:spacing w:after="0"/>
              <w:rPr>
                <w:sz w:val="20"/>
                <w:szCs w:val="20"/>
                <w:color w:val="auto"/>
              </w:rPr>
            </w:pPr>
            <w:r>
              <w:rPr>
                <w:rFonts w:ascii="Arial" w:cs="Arial" w:eastAsia="Arial" w:hAnsi="Arial"/>
                <w:sz w:val="16"/>
                <w:szCs w:val="16"/>
                <w:color w:val="auto"/>
              </w:rPr>
              <w:t>12.7 %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8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61,251</w:t>
            </w: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56,601</w:t>
            </w: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4,650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79,758</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67,344</w:t>
            </w:r>
          </w:p>
        </w:tc>
        <w:tc>
          <w:tcPr>
            <w:tcW w:w="13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12,414</w:t>
            </w:r>
          </w:p>
        </w:tc>
        <w:tc>
          <w:tcPr>
            <w:tcW w:w="12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18.4 %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60,104</w:t>
            </w: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54,782</w:t>
            </w: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5,322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37,011</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32,469</w:t>
            </w:r>
          </w:p>
        </w:tc>
        <w:tc>
          <w:tcPr>
            <w:tcW w:w="13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4,542</w:t>
            </w: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14.0 %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8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268,035</w:t>
            </w:r>
          </w:p>
        </w:tc>
        <w:tc>
          <w:tcPr>
            <w:tcW w:w="3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242,880</w:t>
            </w:r>
          </w:p>
        </w:tc>
        <w:tc>
          <w:tcPr>
            <w:tcW w:w="8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25,155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254,376</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222,896</w:t>
            </w:r>
          </w:p>
        </w:tc>
        <w:tc>
          <w:tcPr>
            <w:tcW w:w="13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31,480</w:t>
            </w:r>
          </w:p>
        </w:tc>
        <w:tc>
          <w:tcPr>
            <w:tcW w:w="12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14.1 %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Increase</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2013</w:t>
            </w:r>
          </w:p>
        </w:tc>
        <w:tc>
          <w:tcPr>
            <w:tcW w:w="13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Decrease</w:t>
            </w:r>
          </w:p>
        </w:tc>
        <w:tc>
          <w:tcPr>
            <w:tcW w:w="12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Change</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8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January</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21,306</w:t>
            </w:r>
          </w:p>
        </w:tc>
        <w:tc>
          <w:tcPr>
            <w:tcW w:w="3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20,493</w:t>
            </w: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813</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9,270</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9,406</w:t>
            </w:r>
          </w:p>
        </w:tc>
        <w:tc>
          <w:tcPr>
            <w:tcW w:w="13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(136)</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8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February</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26,043</w:t>
            </w:r>
          </w:p>
        </w:tc>
        <w:tc>
          <w:tcPr>
            <w:tcW w:w="320" w:type="dxa"/>
            <w:vAlign w:val="bottom"/>
          </w:tcPr>
          <w:p>
            <w:pPr>
              <w:spacing w:after="0"/>
              <w:rPr>
                <w:sz w:val="22"/>
                <w:szCs w:val="22"/>
                <w:color w:val="auto"/>
              </w:rPr>
            </w:pPr>
          </w:p>
        </w:tc>
        <w:tc>
          <w:tcPr>
            <w:tcW w:w="1420" w:type="dxa"/>
            <w:vAlign w:val="bottom"/>
          </w:tcPr>
          <w:p>
            <w:pPr>
              <w:jc w:val="right"/>
              <w:ind w:right="361"/>
              <w:spacing w:after="0"/>
              <w:rPr>
                <w:sz w:val="20"/>
                <w:szCs w:val="20"/>
                <w:color w:val="auto"/>
              </w:rPr>
            </w:pPr>
            <w:r>
              <w:rPr>
                <w:rFonts w:ascii="Arial" w:cs="Arial" w:eastAsia="Arial" w:hAnsi="Arial"/>
                <w:sz w:val="16"/>
                <w:szCs w:val="16"/>
                <w:color w:val="auto"/>
              </w:rPr>
              <w:t>21,995</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4,048</w:t>
            </w:r>
          </w:p>
        </w:tc>
        <w:tc>
          <w:tcPr>
            <w:tcW w:w="88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12,825</w:t>
            </w:r>
          </w:p>
        </w:tc>
        <w:tc>
          <w:tcPr>
            <w:tcW w:w="1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18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March</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27,429</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42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24,257</w:t>
            </w:r>
          </w:p>
        </w:tc>
        <w:tc>
          <w:tcPr>
            <w:tcW w:w="8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3,172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20,728</w:t>
            </w:r>
          </w:p>
        </w:tc>
        <w:tc>
          <w:tcPr>
            <w:tcW w:w="1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880" w:type="dxa"/>
            <w:vAlign w:val="bottom"/>
          </w:tcPr>
          <w:p>
            <w:pPr>
              <w:ind w:left="40"/>
              <w:spacing w:after="0"/>
              <w:rPr>
                <w:sz w:val="20"/>
                <w:szCs w:val="20"/>
                <w:color w:val="auto"/>
              </w:rPr>
            </w:pPr>
            <w:r>
              <w:rPr>
                <w:rFonts w:ascii="Arial" w:cs="Arial" w:eastAsia="Arial" w:hAnsi="Arial"/>
                <w:sz w:val="16"/>
                <w:szCs w:val="16"/>
                <w:color w:val="auto"/>
              </w:rPr>
              <w:t>Q1</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74,778</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420" w:type="dxa"/>
            <w:vAlign w:val="bottom"/>
          </w:tcPr>
          <w:p>
            <w:pPr>
              <w:jc w:val="right"/>
              <w:ind w:right="361"/>
              <w:spacing w:after="0"/>
              <w:rPr>
                <w:sz w:val="20"/>
                <w:szCs w:val="20"/>
                <w:color w:val="auto"/>
              </w:rPr>
            </w:pPr>
            <w:r>
              <w:rPr>
                <w:rFonts w:ascii="Arial" w:cs="Arial" w:eastAsia="Arial" w:hAnsi="Arial"/>
                <w:sz w:val="16"/>
                <w:szCs w:val="16"/>
                <w:color w:val="auto"/>
              </w:rPr>
              <w:t>66,745</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8,033</w:t>
            </w: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42,959</w:t>
            </w:r>
          </w:p>
        </w:tc>
        <w:tc>
          <w:tcPr>
            <w:tcW w:w="1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8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84,500</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4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79,935</w:t>
            </w: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4,565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94,648</w:t>
            </w:r>
          </w:p>
        </w:tc>
        <w:tc>
          <w:tcPr>
            <w:tcW w:w="1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880" w:type="dxa"/>
            <w:vAlign w:val="bottom"/>
          </w:tcPr>
          <w:p>
            <w:pPr>
              <w:ind w:left="40"/>
              <w:spacing w:after="0"/>
              <w:rPr>
                <w:sz w:val="20"/>
                <w:szCs w:val="20"/>
                <w:color w:val="auto"/>
              </w:rPr>
            </w:pPr>
            <w:r>
              <w:rPr>
                <w:rFonts w:ascii="Arial" w:cs="Arial" w:eastAsia="Arial" w:hAnsi="Arial"/>
                <w:sz w:val="16"/>
                <w:szCs w:val="16"/>
                <w:color w:val="auto"/>
              </w:rPr>
              <w:t>Q3</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66,800</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420" w:type="dxa"/>
            <w:vAlign w:val="bottom"/>
          </w:tcPr>
          <w:p>
            <w:pPr>
              <w:jc w:val="right"/>
              <w:ind w:right="361"/>
              <w:spacing w:after="0"/>
              <w:rPr>
                <w:sz w:val="20"/>
                <w:szCs w:val="20"/>
                <w:color w:val="auto"/>
              </w:rPr>
            </w:pPr>
            <w:r>
              <w:rPr>
                <w:rFonts w:ascii="Arial" w:cs="Arial" w:eastAsia="Arial" w:hAnsi="Arial"/>
                <w:sz w:val="16"/>
                <w:szCs w:val="16"/>
                <w:color w:val="auto"/>
              </w:rPr>
              <w:t>61,251</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5,549</w:t>
            </w:r>
          </w:p>
        </w:tc>
        <w:tc>
          <w:tcPr>
            <w:tcW w:w="88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79,758</w:t>
            </w:r>
          </w:p>
        </w:tc>
        <w:tc>
          <w:tcPr>
            <w:tcW w:w="1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18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61,900</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42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60,104</w:t>
            </w:r>
          </w:p>
        </w:tc>
        <w:tc>
          <w:tcPr>
            <w:tcW w:w="8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1,796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37,011</w:t>
            </w:r>
          </w:p>
        </w:tc>
        <w:tc>
          <w:tcPr>
            <w:tcW w:w="1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1880" w:type="dxa"/>
            <w:vAlign w:val="bottom"/>
            <w:vMerge w:val="restart"/>
          </w:tcPr>
          <w:p>
            <w:pPr>
              <w:ind w:left="40"/>
              <w:spacing w:after="0"/>
              <w:rPr>
                <w:sz w:val="20"/>
                <w:szCs w:val="20"/>
                <w:color w:val="auto"/>
              </w:rPr>
            </w:pPr>
            <w:r>
              <w:rPr>
                <w:rFonts w:ascii="Arial" w:cs="Arial" w:eastAsia="Arial" w:hAnsi="Arial"/>
                <w:sz w:val="16"/>
                <w:szCs w:val="16"/>
                <w:color w:val="auto"/>
              </w:rPr>
              <w:t>Total</w:t>
            </w:r>
          </w:p>
        </w:tc>
        <w:tc>
          <w:tcPr>
            <w:tcW w:w="1080" w:type="dxa"/>
            <w:vAlign w:val="bottom"/>
            <w:vMerge w:val="restart"/>
          </w:tcPr>
          <w:p>
            <w:pPr>
              <w:jc w:val="right"/>
              <w:ind w:right="20"/>
              <w:spacing w:after="0"/>
              <w:rPr>
                <w:sz w:val="20"/>
                <w:szCs w:val="20"/>
                <w:color w:val="auto"/>
              </w:rPr>
            </w:pPr>
            <w:r>
              <w:rPr>
                <w:rFonts w:ascii="Arial" w:cs="Arial" w:eastAsia="Arial" w:hAnsi="Arial"/>
                <w:sz w:val="16"/>
                <w:szCs w:val="16"/>
                <w:color w:val="auto"/>
              </w:rPr>
              <w:t>287,978</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420" w:type="dxa"/>
            <w:vAlign w:val="bottom"/>
            <w:vMerge w:val="restart"/>
          </w:tcPr>
          <w:p>
            <w:pPr>
              <w:jc w:val="right"/>
              <w:ind w:right="361"/>
              <w:spacing w:after="0"/>
              <w:rPr>
                <w:sz w:val="20"/>
                <w:szCs w:val="20"/>
                <w:color w:val="auto"/>
              </w:rPr>
            </w:pPr>
            <w:r>
              <w:rPr>
                <w:rFonts w:ascii="Arial" w:cs="Arial" w:eastAsia="Arial" w:hAnsi="Arial"/>
                <w:sz w:val="16"/>
                <w:szCs w:val="16"/>
                <w:color w:val="auto"/>
              </w:rPr>
              <w:t>268,035</w:t>
            </w:r>
          </w:p>
        </w:tc>
        <w:tc>
          <w:tcPr>
            <w:tcW w:w="840" w:type="dxa"/>
            <w:vAlign w:val="bottom"/>
            <w:vMerge w:val="restart"/>
          </w:tcPr>
          <w:p>
            <w:pPr>
              <w:jc w:val="right"/>
              <w:ind w:right="101"/>
              <w:spacing w:after="0"/>
              <w:rPr>
                <w:sz w:val="20"/>
                <w:szCs w:val="20"/>
                <w:color w:val="auto"/>
              </w:rPr>
            </w:pPr>
            <w:r>
              <w:rPr>
                <w:rFonts w:ascii="Arial" w:cs="Arial" w:eastAsia="Arial" w:hAnsi="Arial"/>
                <w:sz w:val="16"/>
                <w:szCs w:val="16"/>
                <w:color w:val="auto"/>
              </w:rPr>
              <w:t>19,943</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right"/>
              <w:ind w:right="41"/>
              <w:spacing w:after="0"/>
              <w:rPr>
                <w:sz w:val="20"/>
                <w:szCs w:val="20"/>
                <w:color w:val="auto"/>
              </w:rPr>
            </w:pPr>
            <w:r>
              <w:rPr>
                <w:rFonts w:ascii="Arial" w:cs="Arial" w:eastAsia="Arial" w:hAnsi="Arial"/>
                <w:sz w:val="16"/>
                <w:szCs w:val="16"/>
                <w:color w:val="auto"/>
              </w:rPr>
              <w:t>254,376</w:t>
            </w: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880" w:type="dxa"/>
            <w:vAlign w:val="bottom"/>
            <w:vMerge w:val="continue"/>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Towable wholesale shipments as reported by RVIA.</w:t>
      </w:r>
    </w:p>
    <w:p>
      <w:pPr>
        <w:ind w:left="340" w:hanging="332"/>
        <w:spacing w:after="0" w:line="187"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Towable retail registrations as reported by Stat Surveys for the US and Canada combined.</w:t>
      </w:r>
    </w:p>
    <w:p>
      <w:pPr>
        <w:ind w:left="340" w:right="240" w:hanging="332"/>
        <w:spacing w:after="0" w:line="211"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2014 towable wholesale shipments are based upon the forecast prepared by Dr. Richard Curtin of the University of Michigan Consumer Survey Research Center for RVIA and reported in the Roadsigns RV Spring 2014 Industry Forecast Issue. The revised RVIA annual 2014 wholesale shipment forecast is 280,600.</w:t>
      </w:r>
    </w:p>
    <w:p>
      <w:pPr>
        <w:ind w:left="340" w:hanging="332"/>
        <w:spacing w:after="0"/>
        <w:tabs>
          <w:tab w:leader="none" w:pos="340" w:val="left"/>
        </w:tabs>
        <w:numPr>
          <w:ilvl w:val="0"/>
          <w:numId w:val="5"/>
        </w:numPr>
        <w:rPr>
          <w:rFonts w:ascii="Arial" w:cs="Arial" w:eastAsia="Arial" w:hAnsi="Arial"/>
          <w:sz w:val="11"/>
          <w:szCs w:val="11"/>
          <w:color w:val="auto"/>
        </w:rPr>
      </w:pPr>
      <w:r>
        <w:rPr>
          <w:rFonts w:ascii="Arial" w:cs="Arial" w:eastAsia="Arial" w:hAnsi="Arial"/>
          <w:sz w:val="14"/>
          <w:szCs w:val="14"/>
          <w:color w:val="auto"/>
        </w:rPr>
        <w:t>Stat Surveys has not issued a projection for retail demand for this period.</w:t>
      </w:r>
    </w:p>
    <w:p>
      <w:pPr>
        <w:sectPr>
          <w:pgSz w:w="11900" w:h="16838" w:orient="portrait"/>
          <w:cols w:equalWidth="0" w:num="1">
            <w:col w:w="11440"/>
          </w:cols>
          <w:pgMar w:left="240" w:top="141" w:right="2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141" w:right="21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187"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Our motorized dealer backlog is an indicator of demand for our product in the current marketplace. We believe the increase is a result of the overall growth of the RV industry coupled with positive dealer response and increased retail registration activity of our products. As a result of the improved demand, we have been increasing our production rates and leased an additional production facility in which production began late in the second quarter of Fiscal 2014.</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Another positive outcome of the increased demand is an improved sales incentive environment. Coupled with the operating leverage within our business model, we are able to achieve stronger operating margins. During the first half of Fiscal 2014 we achieved operating margins of 6.7%, an increase of 160 basis points when compared to the first half of Fiscal 2013.</w:t>
      </w:r>
    </w:p>
    <w:p>
      <w:pPr>
        <w:spacing w:after="0" w:line="174"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As we announced previously, in our third quarter we will deliver approximately 500 rental units to Apollo Motorhome Holidays, LLC ("Apollo"), a US RV rental company that principally rents to foreign customers through a strong network of international travel agencies. To secure an order of this magnitude, we have contractually agreed to repurchase up to two thirds of the units at specified prices after one season of rental use provided certain conditions are met.</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Therefore, only one third of the order will be reported as typical motorhome sales during the third quarter. The other two thirds of the units, which are subject to the repurchase option, will be accounted for as an operating lease similar to how the automotive industry treats vehicle sales to daily rental car companies. Estimated lease revenue will be recorded ratably over the period that Apollo holds the units based on the difference between the net sales proceeds and the repurchase obligations. We anticipate repurchasing the rental units in the first quarter of our Fiscal 2015 and our plan is to immediately resell them into the market place. As a result, only one third of these units are reported in our unit order backlog below as of March 1, 2014.</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Our motorized sales order backlog of 2,900 as of March 1, 2014 represents orders to be shipped in the next two quarters: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75"/>
        </w:trPr>
        <w:tc>
          <w:tcPr>
            <w:tcW w:w="3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340"/>
              <w:spacing w:after="0"/>
              <w:rPr>
                <w:sz w:val="20"/>
                <w:szCs w:val="20"/>
                <w:color w:val="auto"/>
              </w:rPr>
            </w:pPr>
            <w:r>
              <w:rPr>
                <w:rFonts w:ascii="Arial" w:cs="Arial" w:eastAsia="Arial" w:hAnsi="Arial"/>
                <w:sz w:val="14"/>
                <w:szCs w:val="14"/>
                <w:b w:val="1"/>
                <w:bCs w:val="1"/>
                <w:color w:val="auto"/>
              </w:rPr>
              <w:t>(Decrease)</w:t>
            </w:r>
          </w:p>
        </w:tc>
        <w:tc>
          <w:tcPr>
            <w:tcW w:w="1340" w:type="dxa"/>
            <w:vAlign w:val="bottom"/>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196"/>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March 1, 2014</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 2013</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13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56"/>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1,129</w:t>
            </w:r>
          </w:p>
        </w:tc>
        <w:tc>
          <w:tcPr>
            <w:tcW w:w="6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620"/>
              <w:spacing w:after="0"/>
              <w:rPr>
                <w:sz w:val="20"/>
                <w:szCs w:val="20"/>
                <w:color w:val="auto"/>
              </w:rPr>
            </w:pPr>
            <w:r>
              <w:rPr>
                <w:rFonts w:ascii="Arial" w:cs="Arial" w:eastAsia="Arial" w:hAnsi="Arial"/>
                <w:sz w:val="16"/>
                <w:szCs w:val="16"/>
                <w:color w:val="auto"/>
              </w:rPr>
              <w:t>1,216</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(87)</w:t>
            </w: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(7.2)%</w:t>
            </w:r>
          </w:p>
        </w:tc>
      </w:tr>
      <w:tr>
        <w:trPr>
          <w:trHeight w:val="26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274</w:t>
            </w:r>
          </w:p>
        </w:tc>
        <w:tc>
          <w:tcPr>
            <w:tcW w:w="6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375</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(101)</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(26.9)%</w:t>
            </w: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1,403</w:t>
            </w:r>
          </w:p>
        </w:tc>
        <w:tc>
          <w:tcPr>
            <w:tcW w:w="6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620"/>
              <w:spacing w:after="0"/>
              <w:rPr>
                <w:sz w:val="20"/>
                <w:szCs w:val="20"/>
                <w:color w:val="auto"/>
              </w:rPr>
            </w:pPr>
            <w:r>
              <w:rPr>
                <w:rFonts w:ascii="Arial" w:cs="Arial" w:eastAsia="Arial" w:hAnsi="Arial"/>
                <w:sz w:val="16"/>
                <w:szCs w:val="16"/>
                <w:color w:val="auto"/>
              </w:rPr>
              <w:t>1,591</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(188)</w:t>
            </w: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(11.8)%</w:t>
            </w:r>
          </w:p>
        </w:tc>
      </w:tr>
      <w:tr>
        <w:trPr>
          <w:trHeight w:val="260"/>
        </w:trPr>
        <w:tc>
          <w:tcPr>
            <w:tcW w:w="3260" w:type="dxa"/>
            <w:vAlign w:val="bottom"/>
          </w:tcPr>
          <w:p>
            <w:pPr>
              <w:ind w:left="40"/>
              <w:spacing w:after="0"/>
              <w:rPr>
                <w:sz w:val="20"/>
                <w:szCs w:val="20"/>
                <w:color w:val="auto"/>
              </w:rPr>
            </w:pPr>
            <w:r>
              <w:rPr>
                <w:rFonts w:ascii="Arial" w:cs="Arial" w:eastAsia="Arial" w:hAnsi="Arial"/>
                <w:sz w:val="16"/>
                <w:szCs w:val="16"/>
                <w:color w:val="auto"/>
              </w:rPr>
              <w:t>Class B</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274</w:t>
            </w:r>
          </w:p>
        </w:tc>
        <w:tc>
          <w:tcPr>
            <w:tcW w:w="600" w:type="dxa"/>
            <w:vAlign w:val="bottom"/>
          </w:tcPr>
          <w:p>
            <w:pPr>
              <w:spacing w:after="0"/>
              <w:rPr>
                <w:sz w:val="22"/>
                <w:szCs w:val="22"/>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620"/>
              <w:spacing w:after="0"/>
              <w:rPr>
                <w:sz w:val="20"/>
                <w:szCs w:val="20"/>
                <w:color w:val="auto"/>
              </w:rPr>
            </w:pPr>
            <w:r>
              <w:rPr>
                <w:rFonts w:ascii="Arial" w:cs="Arial" w:eastAsia="Arial" w:hAnsi="Arial"/>
                <w:sz w:val="16"/>
                <w:szCs w:val="16"/>
                <w:color w:val="auto"/>
              </w:rPr>
              <w:t>121</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153</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126.4 %</w:t>
            </w:r>
          </w:p>
        </w:tc>
      </w:tr>
      <w:tr>
        <w:trPr>
          <w:trHeight w:val="273"/>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1,223</w:t>
            </w:r>
          </w:p>
        </w:tc>
        <w:tc>
          <w:tcPr>
            <w:tcW w:w="6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6"/>
                <w:szCs w:val="16"/>
                <w:color w:val="auto"/>
              </w:rPr>
              <w:t>1,040</w:t>
            </w:r>
          </w:p>
        </w:tc>
        <w:tc>
          <w:tcPr>
            <w:tcW w:w="7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183</w:t>
            </w:r>
          </w:p>
        </w:tc>
        <w:tc>
          <w:tcPr>
            <w:tcW w:w="1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17.6 %</w:t>
            </w:r>
          </w:p>
        </w:tc>
      </w:tr>
      <w:tr>
        <w:trPr>
          <w:trHeight w:val="283"/>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2,900</w:t>
            </w: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2,752</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148</w:t>
            </w:r>
          </w:p>
        </w:tc>
        <w:tc>
          <w:tcPr>
            <w:tcW w:w="13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5.4 %</w:t>
            </w:r>
          </w:p>
        </w:tc>
      </w:tr>
      <w:tr>
        <w:trPr>
          <w:trHeight w:val="251"/>
        </w:trPr>
        <w:tc>
          <w:tcPr>
            <w:tcW w:w="3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0"/>
        </w:trPr>
        <w:tc>
          <w:tcPr>
            <w:tcW w:w="326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169</w:t>
            </w:r>
          </w:p>
        </w:tc>
        <w:tc>
          <w:tcPr>
            <w:tcW w:w="600" w:type="dxa"/>
            <w:vAlign w:val="bottom"/>
          </w:tcPr>
          <w:p>
            <w:pPr>
              <w:spacing w:after="0"/>
              <w:rPr>
                <w:sz w:val="22"/>
                <w:szCs w:val="22"/>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620"/>
              <w:spacing w:after="0"/>
              <w:rPr>
                <w:sz w:val="20"/>
                <w:szCs w:val="20"/>
                <w:color w:val="auto"/>
              </w:rPr>
            </w:pPr>
            <w:r>
              <w:rPr>
                <w:rFonts w:ascii="Arial" w:cs="Arial" w:eastAsia="Arial" w:hAnsi="Arial"/>
                <w:sz w:val="16"/>
                <w:szCs w:val="16"/>
                <w:color w:val="auto"/>
              </w:rPr>
              <w:t>325</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(156)</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(48.0)%</w:t>
            </w:r>
          </w:p>
        </w:tc>
      </w:tr>
      <w:tr>
        <w:trPr>
          <w:trHeight w:val="273"/>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6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6"/>
                <w:szCs w:val="16"/>
                <w:color w:val="auto"/>
              </w:rPr>
              <w:t>56</w:t>
            </w:r>
          </w:p>
        </w:tc>
        <w:tc>
          <w:tcPr>
            <w:tcW w:w="7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(19)</w:t>
            </w: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(33.9)%</w:t>
            </w:r>
          </w:p>
        </w:tc>
      </w:tr>
      <w:tr>
        <w:trPr>
          <w:trHeight w:val="283"/>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206</w:t>
            </w: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381</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(175)</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(45.9)%</w:t>
            </w:r>
          </w:p>
        </w:tc>
      </w:tr>
      <w:tr>
        <w:trPr>
          <w:trHeight w:val="251"/>
        </w:trPr>
        <w:tc>
          <w:tcPr>
            <w:tcW w:w="3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Approximate backlog revenue in thousands</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56"/>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260,095</w:t>
            </w:r>
          </w:p>
        </w:tc>
        <w:tc>
          <w:tcPr>
            <w:tcW w:w="6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620"/>
              <w:spacing w:after="0"/>
              <w:rPr>
                <w:sz w:val="20"/>
                <w:szCs w:val="20"/>
                <w:color w:val="auto"/>
              </w:rPr>
            </w:pPr>
            <w:r>
              <w:rPr>
                <w:rFonts w:ascii="Arial" w:cs="Arial" w:eastAsia="Arial" w:hAnsi="Arial"/>
                <w:sz w:val="16"/>
                <w:szCs w:val="16"/>
                <w:color w:val="auto"/>
              </w:rPr>
              <w:t>277,270</w:t>
            </w: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(17,175)</w:t>
            </w: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(6.2)%</w:t>
            </w:r>
          </w:p>
        </w:tc>
      </w:tr>
      <w:tr>
        <w:trPr>
          <w:trHeight w:val="251"/>
        </w:trPr>
        <w:tc>
          <w:tcPr>
            <w:tcW w:w="3260" w:type="dxa"/>
            <w:vAlign w:val="bottom"/>
          </w:tcPr>
          <w:p>
            <w:pPr>
              <w:ind w:left="40"/>
              <w:spacing w:after="0"/>
              <w:rPr>
                <w:sz w:val="20"/>
                <w:szCs w:val="20"/>
                <w:color w:val="auto"/>
              </w:rPr>
            </w:pPr>
            <w:r>
              <w:rPr>
                <w:rFonts w:ascii="Arial" w:cs="Arial" w:eastAsia="Arial" w:hAnsi="Arial"/>
                <w:sz w:val="16"/>
                <w:szCs w:val="16"/>
                <w:color w:val="auto"/>
              </w:rPr>
              <w:t>Towable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4,853</w:t>
            </w: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0"/>
              <w:spacing w:after="0"/>
              <w:rPr>
                <w:sz w:val="20"/>
                <w:szCs w:val="20"/>
                <w:color w:val="auto"/>
              </w:rPr>
            </w:pPr>
            <w:r>
              <w:rPr>
                <w:rFonts w:ascii="Arial" w:cs="Arial" w:eastAsia="Arial" w:hAnsi="Arial"/>
                <w:sz w:val="16"/>
                <w:szCs w:val="16"/>
                <w:color w:val="auto"/>
              </w:rPr>
              <w:t>8,105</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(3,252)</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(40.1)%</w:t>
            </w:r>
          </w:p>
        </w:tc>
      </w:tr>
    </w:tbl>
    <w:p>
      <w:pPr>
        <w:ind w:left="240" w:hanging="232"/>
        <w:spacing w:after="0" w:line="216" w:lineRule="auto"/>
        <w:tabs>
          <w:tab w:leader="none" w:pos="2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240" w:right="80" w:hanging="232"/>
        <w:spacing w:after="0" w:line="218" w:lineRule="auto"/>
        <w:tabs>
          <w:tab w:leader="none" w:pos="2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Our backlog includes all accepted purchase orders from dealers to be shipped within the next six months. Orders in backlog can be cancelled or postponed at the option of the purchaser and, therefore, backlog may not necessarily be an accurate measure of future sales.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Our unit dealer inventory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3680" w:type="dxa"/>
            <w:vAlign w:val="bottom"/>
          </w:tcPr>
          <w:p>
            <w:pPr>
              <w:jc w:val="right"/>
              <w:ind w:right="343"/>
              <w:spacing w:after="0"/>
              <w:rPr>
                <w:sz w:val="20"/>
                <w:szCs w:val="20"/>
                <w:color w:val="auto"/>
              </w:rPr>
            </w:pPr>
            <w:r>
              <w:rPr>
                <w:rFonts w:ascii="Arial" w:cs="Arial" w:eastAsia="Arial" w:hAnsi="Arial"/>
                <w:sz w:val="14"/>
                <w:szCs w:val="14"/>
                <w:b w:val="1"/>
                <w:bCs w:val="1"/>
                <w:color w:val="auto"/>
              </w:rPr>
              <w:t>March 1,</w:t>
            </w: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2,</w:t>
            </w:r>
          </w:p>
        </w:tc>
        <w:tc>
          <w:tcPr>
            <w:tcW w:w="1540" w:type="dxa"/>
            <w:vAlign w:val="bottom"/>
          </w:tcPr>
          <w:p>
            <w:pPr>
              <w:jc w:val="right"/>
              <w:ind w:right="443"/>
              <w:spacing w:after="0"/>
              <w:rPr>
                <w:sz w:val="20"/>
                <w:szCs w:val="20"/>
                <w:color w:val="auto"/>
              </w:rPr>
            </w:pPr>
            <w:r>
              <w:rPr>
                <w:rFonts w:ascii="Arial" w:cs="Arial" w:eastAsia="Arial" w:hAnsi="Arial"/>
                <w:sz w:val="14"/>
                <w:szCs w:val="14"/>
                <w:b w:val="1"/>
                <w:bCs w:val="1"/>
                <w:color w:val="auto"/>
              </w:rPr>
              <w:t>Increase</w:t>
            </w:r>
          </w:p>
        </w:tc>
        <w:tc>
          <w:tcPr>
            <w:tcW w:w="1360" w:type="dxa"/>
            <w:vAlign w:val="bottom"/>
          </w:tcPr>
          <w:p>
            <w:pPr>
              <w:jc w:val="right"/>
              <w:ind w:right="583"/>
              <w:spacing w:after="0"/>
              <w:rPr>
                <w:sz w:val="20"/>
                <w:szCs w:val="20"/>
                <w:color w:val="auto"/>
              </w:rPr>
            </w:pPr>
            <w:r>
              <w:rPr>
                <w:rFonts w:ascii="Arial" w:cs="Arial" w:eastAsia="Arial" w:hAnsi="Arial"/>
                <w:sz w:val="14"/>
                <w:szCs w:val="14"/>
                <w:b w:val="1"/>
                <w:bCs w:val="1"/>
                <w:color w:val="auto"/>
              </w:rPr>
              <w:t>%</w:t>
            </w:r>
          </w:p>
        </w:tc>
      </w:tr>
      <w:tr>
        <w:trPr>
          <w:trHeight w:val="196"/>
        </w:trPr>
        <w:tc>
          <w:tcPr>
            <w:tcW w:w="360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2014</w:t>
            </w:r>
          </w:p>
        </w:tc>
        <w:tc>
          <w:tcPr>
            <w:tcW w:w="11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(Decrease)</w:t>
            </w:r>
          </w:p>
        </w:tc>
        <w:tc>
          <w:tcPr>
            <w:tcW w:w="13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Change</w:t>
            </w:r>
          </w:p>
        </w:tc>
      </w:tr>
      <w:tr>
        <w:trPr>
          <w:trHeight w:val="256"/>
        </w:trPr>
        <w:tc>
          <w:tcPr>
            <w:tcW w:w="3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36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3,907</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2,392</w:t>
            </w: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rPr>
              <w:t>1,515</w:t>
            </w:r>
          </w:p>
        </w:tc>
        <w:tc>
          <w:tcPr>
            <w:tcW w:w="136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63.3 %</w:t>
            </w:r>
          </w:p>
        </w:tc>
      </w:tr>
      <w:tr>
        <w:trPr>
          <w:trHeight w:val="251"/>
        </w:trPr>
        <w:tc>
          <w:tcPr>
            <w:tcW w:w="3600" w:type="dxa"/>
            <w:vAlign w:val="bottom"/>
          </w:tcPr>
          <w:p>
            <w:pPr>
              <w:ind w:left="40"/>
              <w:spacing w:after="0"/>
              <w:rPr>
                <w:sz w:val="20"/>
                <w:szCs w:val="20"/>
                <w:color w:val="auto"/>
              </w:rPr>
            </w:pPr>
            <w:r>
              <w:rPr>
                <w:rFonts w:ascii="Arial" w:cs="Arial" w:eastAsia="Arial" w:hAnsi="Arial"/>
                <w:sz w:val="16"/>
                <w:szCs w:val="16"/>
                <w:color w:val="auto"/>
              </w:rPr>
              <w:t>Towables</w:t>
            </w:r>
          </w:p>
        </w:tc>
        <w:tc>
          <w:tcPr>
            <w:tcW w:w="3680" w:type="dxa"/>
            <w:vAlign w:val="bottom"/>
          </w:tcPr>
          <w:p>
            <w:pPr>
              <w:jc w:val="right"/>
              <w:ind w:right="123"/>
              <w:spacing w:after="0"/>
              <w:rPr>
                <w:sz w:val="20"/>
                <w:szCs w:val="20"/>
                <w:color w:val="auto"/>
              </w:rPr>
            </w:pPr>
            <w:r>
              <w:rPr>
                <w:rFonts w:ascii="Arial" w:cs="Arial" w:eastAsia="Arial" w:hAnsi="Arial"/>
                <w:sz w:val="16"/>
                <w:szCs w:val="16"/>
                <w:color w:val="auto"/>
              </w:rPr>
              <w:t>1,772</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1,775</w:t>
            </w:r>
          </w:p>
        </w:tc>
        <w:tc>
          <w:tcPr>
            <w:tcW w:w="120" w:type="dxa"/>
            <w:vAlign w:val="bottom"/>
          </w:tcPr>
          <w:p>
            <w:pPr>
              <w:spacing w:after="0"/>
              <w:rPr>
                <w:sz w:val="21"/>
                <w:szCs w:val="21"/>
                <w:color w:val="auto"/>
              </w:rPr>
            </w:pPr>
          </w:p>
        </w:tc>
        <w:tc>
          <w:tcPr>
            <w:tcW w:w="1540" w:type="dxa"/>
            <w:vAlign w:val="bottom"/>
          </w:tcPr>
          <w:p>
            <w:pPr>
              <w:jc w:val="right"/>
              <w:ind w:right="283"/>
              <w:spacing w:after="0"/>
              <w:rPr>
                <w:sz w:val="20"/>
                <w:szCs w:val="20"/>
                <w:color w:val="auto"/>
              </w:rPr>
            </w:pPr>
            <w:r>
              <w:rPr>
                <w:rFonts w:ascii="Arial" w:cs="Arial" w:eastAsia="Arial" w:hAnsi="Arial"/>
                <w:sz w:val="16"/>
                <w:szCs w:val="16"/>
                <w:color w:val="auto"/>
              </w:rPr>
              <w:t>(3)</w:t>
            </w:r>
          </w:p>
        </w:tc>
        <w:tc>
          <w:tcPr>
            <w:tcW w:w="1360" w:type="dxa"/>
            <w:vAlign w:val="bottom"/>
          </w:tcPr>
          <w:p>
            <w:pPr>
              <w:jc w:val="right"/>
              <w:ind w:right="83"/>
              <w:spacing w:after="0"/>
              <w:rPr>
                <w:sz w:val="20"/>
                <w:szCs w:val="20"/>
                <w:color w:val="auto"/>
              </w:rPr>
            </w:pPr>
            <w:r>
              <w:rPr>
                <w:rFonts w:ascii="Arial" w:cs="Arial" w:eastAsia="Arial" w:hAnsi="Arial"/>
                <w:sz w:val="16"/>
                <w:szCs w:val="16"/>
                <w:color w:val="auto"/>
              </w:rPr>
              <w:t>(0.2)%</w:t>
            </w:r>
          </w:p>
        </w:tc>
      </w:tr>
    </w:tbl>
    <w:p>
      <w:pPr>
        <w:spacing w:after="0" w:line="21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believe that the increased level of our motorized dealer inventory at the end of the second quarter of Fiscal 2014 is aligned with current market conditions given the improved retail demand and the strong sales order backlog of our product. We have introduced a number of new products in the past six months (Class B: Travato; Class C: Trend, Viva; Class A diesel: Forza, Solei), many of these products were delivered to the dealers during the second quarter of Fiscal 2014 for their initial stocking. We believe that these innovative products will generate additional retail demand in the coming quarters. We have also expanded our points of distribution for these new product offerings in the past year as our dealer locations have increased 12%, which is another factor contributing to our dealer inventory growth.</w:t>
      </w:r>
    </w:p>
    <w:p>
      <w:pPr>
        <w:spacing w:after="0" w:line="70"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The recreational vehicle industry has, from time to time, experienced shortages of chassis due to various causes such as component shortages and/or production delays due to quality issues at the chassis manufacturers. In the first half of Fiscal 2014 we have experienced shortages of certain motorized RV chassis which has negatively affect our sales and earnings. Current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9"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limitations in the availability of these chassis have also hindered our ability to increase production levels and are anticipated to continue through part of our third quarter of Fiscal 2014.</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98"/>
        </w:trPr>
        <w:tc>
          <w:tcPr>
            <w:tcW w:w="28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40" w:type="dxa"/>
            <w:vAlign w:val="bottom"/>
          </w:tcPr>
          <w:p>
            <w:pPr>
              <w:spacing w:after="0"/>
              <w:rPr>
                <w:sz w:val="17"/>
                <w:szCs w:val="17"/>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1,</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7"/>
                <w:szCs w:val="17"/>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2,</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40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140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228,811</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177,166</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51,645</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29.2 %</w:t>
            </w:r>
          </w:p>
        </w:tc>
      </w:tr>
      <w:tr>
        <w:trPr>
          <w:trHeight w:val="264"/>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205,966</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90.0 %</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159,975</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90.3 %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45,991</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28.7 %</w:t>
            </w:r>
          </w:p>
        </w:tc>
      </w:tr>
      <w:tr>
        <w:trPr>
          <w:trHeight w:val="25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22,845</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17,191</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9.7 %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5,654</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32.9 %</w:t>
            </w:r>
          </w:p>
        </w:tc>
      </w:tr>
      <w:tr>
        <w:trPr>
          <w:trHeight w:val="284"/>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4,489</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3,831</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658</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17.2 %</w:t>
            </w:r>
          </w:p>
        </w:tc>
      </w:tr>
      <w:tr>
        <w:trPr>
          <w:trHeight w:val="260"/>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4,949</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4,488</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461</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10.3 %</w:t>
            </w:r>
          </w:p>
        </w:tc>
      </w:tr>
      <w:tr>
        <w:trPr>
          <w:trHeight w:val="273"/>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Gain on sale of real estate</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(629)</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(629)</w:t>
            </w: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NMF</w:t>
            </w:r>
          </w:p>
        </w:tc>
      </w:tr>
      <w:tr>
        <w:trPr>
          <w:trHeight w:val="250"/>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8,809</w:t>
            </w:r>
          </w:p>
        </w:tc>
        <w:tc>
          <w:tcPr>
            <w:tcW w:w="14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3.8 %</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8,319</w:t>
            </w:r>
          </w:p>
        </w:tc>
        <w:tc>
          <w:tcPr>
            <w:tcW w:w="14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4.7 %</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490</w:t>
            </w: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5.9 %</w:t>
            </w:r>
          </w:p>
        </w:tc>
      </w:tr>
      <w:tr>
        <w:trPr>
          <w:trHeight w:val="284"/>
        </w:trPr>
        <w:tc>
          <w:tcPr>
            <w:tcW w:w="2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0"/>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14,036</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8,872</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5,164</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58.2 %</w:t>
            </w:r>
          </w:p>
        </w:tc>
      </w:tr>
      <w:tr>
        <w:trPr>
          <w:trHeight w:val="273"/>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expense</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(55)</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289.5 %</w:t>
            </w:r>
          </w:p>
        </w:tc>
      </w:tr>
      <w:tr>
        <w:trPr>
          <w:trHeight w:val="247"/>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13,962</w:t>
            </w:r>
          </w:p>
        </w:tc>
        <w:tc>
          <w:tcPr>
            <w:tcW w:w="1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8,853</w:t>
            </w:r>
          </w:p>
        </w:tc>
        <w:tc>
          <w:tcPr>
            <w:tcW w:w="1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5,109</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57.7 %</w:t>
            </w:r>
          </w:p>
        </w:tc>
      </w:tr>
      <w:tr>
        <w:trPr>
          <w:trHeight w:val="273"/>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4,369</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2,568</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1,801</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70.1 %</w:t>
            </w:r>
          </w:p>
        </w:tc>
      </w:tr>
      <w:tr>
        <w:trPr>
          <w:trHeight w:val="280"/>
        </w:trPr>
        <w:tc>
          <w:tcPr>
            <w:tcW w:w="2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9,593</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6,285</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3,308</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52.6 %</w:t>
            </w:r>
          </w:p>
        </w:tc>
      </w:tr>
      <w:tr>
        <w:trPr>
          <w:trHeight w:val="267"/>
        </w:trPr>
        <w:tc>
          <w:tcPr>
            <w:tcW w:w="2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0"/>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0.35</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0.22</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0.13</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59.1 %</w:t>
            </w:r>
          </w:p>
        </w:tc>
      </w:tr>
      <w:tr>
        <w:trPr>
          <w:trHeight w:val="280"/>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27,724</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28,191</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(467)</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r>
    </w:tbl>
    <w:p>
      <w:pPr>
        <w:spacing w:after="0" w:line="24"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1,</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7"/>
                <w:szCs w:val="17"/>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2,</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00" w:type="dxa"/>
            <w:vAlign w:val="bottom"/>
          </w:tcPr>
          <w:p>
            <w:pPr>
              <w:spacing w:after="0"/>
              <w:rPr>
                <w:sz w:val="17"/>
                <w:szCs w:val="17"/>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28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1280" w:type="dxa"/>
            <w:vAlign w:val="bottom"/>
            <w:tcBorders>
              <w:bottom w:val="single" w:sz="8" w:color="auto"/>
            </w:tcBorders>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60"/>
        </w:trPr>
        <w:tc>
          <w:tcPr>
            <w:tcW w:w="2880" w:type="dxa"/>
            <w:vAlign w:val="bottom"/>
            <w:gridSpan w:val="2"/>
          </w:tcPr>
          <w:p>
            <w:pPr>
              <w:ind w:left="180"/>
              <w:spacing w:after="0"/>
              <w:rPr>
                <w:sz w:val="20"/>
                <w:szCs w:val="20"/>
                <w:color w:val="auto"/>
              </w:rPr>
            </w:pPr>
            <w:r>
              <w:rPr>
                <w:rFonts w:ascii="Arial" w:cs="Arial" w:eastAsia="Arial" w:hAnsi="Arial"/>
                <w:sz w:val="16"/>
                <w:szCs w:val="16"/>
                <w:color w:val="auto"/>
              </w:rPr>
              <w:t>Class A gas</w:t>
            </w:r>
          </w:p>
        </w:tc>
        <w:tc>
          <w:tcPr>
            <w:tcW w:w="22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589</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503</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86</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17.1 %</w:t>
            </w:r>
          </w:p>
        </w:tc>
      </w:tr>
      <w:tr>
        <w:trPr>
          <w:trHeight w:val="273"/>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2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456</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321</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135</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42.1 %</w:t>
            </w:r>
          </w:p>
        </w:tc>
      </w:tr>
      <w:tr>
        <w:trPr>
          <w:trHeight w:val="247"/>
        </w:trPr>
        <w:tc>
          <w:tcPr>
            <w:tcW w:w="2880" w:type="dxa"/>
            <w:vAlign w:val="bottom"/>
            <w:gridSpan w:val="2"/>
          </w:tcPr>
          <w:p>
            <w:pPr>
              <w:ind w:left="180"/>
              <w:spacing w:after="0"/>
              <w:rPr>
                <w:sz w:val="20"/>
                <w:szCs w:val="20"/>
                <w:color w:val="auto"/>
              </w:rPr>
            </w:pPr>
            <w:r>
              <w:rPr>
                <w:rFonts w:ascii="Arial" w:cs="Arial" w:eastAsia="Arial" w:hAnsi="Arial"/>
                <w:sz w:val="16"/>
                <w:szCs w:val="16"/>
                <w:color w:val="auto"/>
              </w:rPr>
              <w:t>Total Class A</w:t>
            </w:r>
          </w:p>
        </w:tc>
        <w:tc>
          <w:tcPr>
            <w:tcW w:w="220" w:type="dxa"/>
            <w:vAlign w:val="bottom"/>
          </w:tcPr>
          <w:p>
            <w:pPr>
              <w:spacing w:after="0"/>
              <w:rPr>
                <w:sz w:val="21"/>
                <w:szCs w:val="21"/>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1,045</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824</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221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26.8 %</w:t>
            </w:r>
          </w:p>
        </w:tc>
      </w:tr>
      <w:tr>
        <w:trPr>
          <w:trHeight w:val="28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198</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95</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103</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108.4 %</w:t>
            </w:r>
          </w:p>
        </w:tc>
      </w:tr>
      <w:tr>
        <w:trPr>
          <w:trHeight w:val="264"/>
        </w:trPr>
        <w:tc>
          <w:tcPr>
            <w:tcW w:w="2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812</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500</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312</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62.4 %</w:t>
            </w:r>
          </w:p>
        </w:tc>
      </w:tr>
      <w:tr>
        <w:trPr>
          <w:trHeight w:val="240"/>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motorhome deliveries</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2,055</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1,419</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636</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44.8 %</w:t>
            </w: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7"/>
        </w:trPr>
        <w:tc>
          <w:tcPr>
            <w:tcW w:w="2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100.6</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111.5</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(10.9)</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w:t>
            </w:r>
          </w:p>
        </w:tc>
      </w:tr>
      <w:tr>
        <w:trPr>
          <w:trHeight w:val="284"/>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2880" w:type="dxa"/>
            <w:vAlign w:val="bottom"/>
            <w:gridSpan w:val="2"/>
          </w:tcPr>
          <w:p>
            <w:pPr>
              <w:ind w:left="180"/>
              <w:spacing w:after="0"/>
              <w:rPr>
                <w:sz w:val="20"/>
                <w:szCs w:val="20"/>
                <w:color w:val="auto"/>
              </w:rPr>
            </w:pPr>
            <w:r>
              <w:rPr>
                <w:rFonts w:ascii="Arial" w:cs="Arial" w:eastAsia="Arial" w:hAnsi="Arial"/>
                <w:sz w:val="16"/>
                <w:szCs w:val="16"/>
                <w:color w:val="auto"/>
              </w:rPr>
              <w:t>Travel trailer</w:t>
            </w:r>
          </w:p>
        </w:tc>
        <w:tc>
          <w:tcPr>
            <w:tcW w:w="220" w:type="dxa"/>
            <w:vAlign w:val="bottom"/>
          </w:tcPr>
          <w:p>
            <w:pPr>
              <w:spacing w:after="0"/>
              <w:rPr>
                <w:sz w:val="22"/>
                <w:szCs w:val="22"/>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463</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438</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79.9%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25</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5.7 %</w:t>
            </w:r>
          </w:p>
        </w:tc>
      </w:tr>
      <w:tr>
        <w:trPr>
          <w:trHeight w:val="273"/>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2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112</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110</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1.8 %</w:t>
            </w:r>
          </w:p>
        </w:tc>
      </w:tr>
      <w:tr>
        <w:trPr>
          <w:trHeight w:val="280"/>
        </w:trPr>
        <w:tc>
          <w:tcPr>
            <w:tcW w:w="2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towable deliveries</w:t>
            </w: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575</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548</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27</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4.9 %</w:t>
            </w:r>
          </w:p>
        </w:tc>
      </w:tr>
      <w:tr>
        <w:trPr>
          <w:trHeight w:val="267"/>
        </w:trPr>
        <w:tc>
          <w:tcPr>
            <w:tcW w:w="2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51"/>
        </w:trPr>
        <w:tc>
          <w:tcPr>
            <w:tcW w:w="2880" w:type="dxa"/>
            <w:vAlign w:val="bottom"/>
            <w:gridSpan w:val="2"/>
          </w:tcPr>
          <w:p>
            <w:pPr>
              <w:ind w:left="180"/>
              <w:spacing w:after="0"/>
              <w:rPr>
                <w:sz w:val="20"/>
                <w:szCs w:val="20"/>
                <w:color w:val="auto"/>
              </w:rPr>
            </w:pPr>
            <w:r>
              <w:rPr>
                <w:rFonts w:ascii="Arial" w:cs="Arial" w:eastAsia="Arial" w:hAnsi="Arial"/>
                <w:sz w:val="16"/>
                <w:szCs w:val="16"/>
                <w:color w:val="auto"/>
              </w:rPr>
              <w:t>ASP (in thousands)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23.9</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21.9</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2.1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9.4 %</w:t>
            </w:r>
          </w:p>
        </w:tc>
      </w:tr>
    </w:tbl>
    <w:p>
      <w:pPr>
        <w:ind w:left="160" w:hanging="152"/>
        <w:spacing w:after="0" w:line="227"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308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47"/>
        </w:trPr>
        <w:tc>
          <w:tcPr>
            <w:tcW w:w="3080" w:type="dxa"/>
            <w:vAlign w:val="bottom"/>
            <w:gridSpan w:val="3"/>
          </w:tcPr>
          <w:p>
            <w:pPr>
              <w:spacing w:after="0"/>
              <w:rPr>
                <w:sz w:val="20"/>
                <w:szCs w:val="20"/>
                <w:color w:val="auto"/>
              </w:rPr>
            </w:pPr>
            <w:r>
              <w:rPr>
                <w:rFonts w:ascii="Arial" w:cs="Arial" w:eastAsia="Arial" w:hAnsi="Arial"/>
                <w:sz w:val="16"/>
                <w:szCs w:val="16"/>
                <w:color w:val="auto"/>
              </w:rPr>
              <w:t>Net revenues consisted of the following:</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1,</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b w:val="1"/>
                <w:bCs w:val="1"/>
                <w:color w:val="auto"/>
              </w:rPr>
              <w:t>March 2,</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28"/>
        </w:trPr>
        <w:tc>
          <w:tcPr>
            <w:tcW w:w="29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207,406</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158,162</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49,244</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31.1%</w:t>
            </w:r>
          </w:p>
        </w:tc>
      </w:tr>
      <w:tr>
        <w:trPr>
          <w:trHeight w:val="270"/>
        </w:trPr>
        <w:tc>
          <w:tcPr>
            <w:tcW w:w="3080" w:type="dxa"/>
            <w:vAlign w:val="bottom"/>
            <w:gridSpan w:val="3"/>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80" w:type="dxa"/>
            <w:vAlign w:val="bottom"/>
          </w:tcPr>
          <w:p>
            <w:pPr>
              <w:spacing w:after="0"/>
              <w:rPr>
                <w:sz w:val="23"/>
                <w:szCs w:val="23"/>
                <w:color w:val="auto"/>
              </w:rPr>
            </w:pPr>
          </w:p>
        </w:tc>
        <w:tc>
          <w:tcPr>
            <w:tcW w:w="1460" w:type="dxa"/>
            <w:vAlign w:val="bottom"/>
          </w:tcPr>
          <w:p>
            <w:pPr>
              <w:jc w:val="right"/>
              <w:ind w:right="559"/>
              <w:spacing w:after="0"/>
              <w:rPr>
                <w:sz w:val="20"/>
                <w:szCs w:val="20"/>
                <w:color w:val="auto"/>
              </w:rPr>
            </w:pPr>
            <w:r>
              <w:rPr>
                <w:rFonts w:ascii="Arial" w:cs="Arial" w:eastAsia="Arial" w:hAnsi="Arial"/>
                <w:sz w:val="16"/>
                <w:szCs w:val="16"/>
                <w:color w:val="auto"/>
              </w:rPr>
              <w:t>13,726</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11,893</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1,833</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15.4%</w:t>
            </w:r>
          </w:p>
        </w:tc>
      </w:tr>
      <w:tr>
        <w:trPr>
          <w:trHeight w:val="264"/>
        </w:trPr>
        <w:tc>
          <w:tcPr>
            <w:tcW w:w="3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7,679</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7,111</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568</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w:t>
            </w:r>
          </w:p>
        </w:tc>
      </w:tr>
      <w:tr>
        <w:trPr>
          <w:trHeight w:val="237"/>
        </w:trPr>
        <w:tc>
          <w:tcPr>
            <w:tcW w:w="3080" w:type="dxa"/>
            <w:vAlign w:val="bottom"/>
            <w:gridSpan w:val="3"/>
          </w:tcPr>
          <w:p>
            <w:pPr>
              <w:ind w:left="40"/>
              <w:spacing w:after="0"/>
              <w:rPr>
                <w:sz w:val="20"/>
                <w:szCs w:val="20"/>
                <w:color w:val="auto"/>
              </w:rPr>
            </w:pPr>
            <w:r>
              <w:rPr>
                <w:rFonts w:ascii="Arial" w:cs="Arial" w:eastAsia="Arial" w:hAnsi="Arial"/>
                <w:sz w:val="16"/>
                <w:szCs w:val="16"/>
                <w:color w:val="auto"/>
              </w:rPr>
              <w:t>Total net revenues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59"/>
              <w:spacing w:after="0"/>
              <w:rPr>
                <w:sz w:val="20"/>
                <w:szCs w:val="20"/>
                <w:color w:val="auto"/>
              </w:rPr>
            </w:pPr>
            <w:r>
              <w:rPr>
                <w:rFonts w:ascii="Arial" w:cs="Arial" w:eastAsia="Arial" w:hAnsi="Arial"/>
                <w:sz w:val="16"/>
                <w:szCs w:val="16"/>
                <w:color w:val="auto"/>
              </w:rPr>
              <w:t>228,811</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177,166</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51,645</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3810</wp:posOffset>
            </wp:positionV>
            <wp:extent cx="52914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1455" cy="26035"/>
                    </a:xfrm>
                    <a:prstGeom prst="rect">
                      <a:avLst/>
                    </a:prstGeom>
                    <a:noFill/>
                  </pic:spPr>
                </pic:pic>
              </a:graphicData>
            </a:graphic>
          </wp:anchor>
        </w:drawing>
      </w:r>
    </w:p>
    <w:p>
      <w:pPr>
        <w:ind w:left="260" w:hanging="238"/>
        <w:spacing w:after="0"/>
        <w:tabs>
          <w:tab w:leader="none" w:pos="2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w:t>
      </w:r>
    </w:p>
    <w:p>
      <w:pPr>
        <w:ind w:left="260" w:hanging="238"/>
        <w:spacing w:after="0" w:line="199" w:lineRule="auto"/>
        <w:tabs>
          <w:tab w:leader="none" w:pos="2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Motorhome net revenues increased $49.2 million or 31.1% in the second quarter of Fiscal 2014. The significant increase was attributed primarily to a 44.8% increase in unit deliveries driven by higher dealer and retail consumer demand, partially offset by a decrease in motorhome ASP of 9.8% as compared to the second quarter of Fiscal 2013. The decrease in ASP was primarily due to a shift in class A diesel product to lower price points, a higher percent of Class C unit sales and a lower percent of class A gas unit sales in the second quarter of Fiscal 2014.</w:t>
      </w:r>
    </w:p>
    <w:p>
      <w:pPr>
        <w:spacing w:after="0" w:line="176"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The increase in Towables revenues of $1.8 million or 15.4% was attributed to a 4.9% increase in unit deliveries and an increase of in ASP of 9.4% as compared to the second quarter of Fiscal 2013.</w:t>
      </w:r>
    </w:p>
    <w:p>
      <w:pPr>
        <w:spacing w:after="0" w:line="169"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Cost of goods sold was $206.0 million, or 90.0% of net revenues for the second quarter of Fiscal 2014 compared to $160.0 million, or 90.3% of net revenues for the second quarter of Fiscal 2013 due to the following:</w:t>
      </w:r>
    </w:p>
    <w:p>
      <w:pPr>
        <w:spacing w:after="0" w:line="1" w:lineRule="exact"/>
        <w:rPr>
          <w:sz w:val="20"/>
          <w:szCs w:val="20"/>
          <w:color w:val="auto"/>
        </w:rPr>
      </w:pPr>
    </w:p>
    <w:p>
      <w:pPr>
        <w:ind w:left="340" w:right="80" w:hanging="332"/>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increased to 84.5% this year from 84.1%. We incurred weather-related production inefficiencies and a temporary component outsourcing program which increased the variable cost percentage.</w:t>
      </w:r>
    </w:p>
    <w:p>
      <w:pPr>
        <w:spacing w:after="0" w:line="1" w:lineRule="exact"/>
        <w:rPr>
          <w:rFonts w:ascii="Arial" w:cs="Arial" w:eastAsia="Arial" w:hAnsi="Arial"/>
          <w:sz w:val="16"/>
          <w:szCs w:val="16"/>
          <w:color w:val="auto"/>
        </w:rPr>
      </w:pPr>
    </w:p>
    <w:p>
      <w:pPr>
        <w:ind w:left="340" w:right="380" w:hanging="332"/>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5.5% of net revenues compared to 6.2% for Fiscal 2013. This difference was primarily due to significantly higher production levels in Fiscal 2014 which resulted in higher absorption of fixed overhead costs and was, in part, negatively impacted by increased weather-related costs (e.g. utilities and snow removal).</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9.7% to 10.0% of net revenues.</w:t>
      </w:r>
    </w:p>
    <w:p>
      <w:pPr>
        <w:spacing w:after="0" w:line="16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Selling expenses decreased to 2.0% from 2.2% of net revenues in the second quarter of Fiscal 2014 compared to the same period in Fiscal 2013, respectively. Selling expenses increased $658,000, or 17.2%, in the second quarter of Fiscal 2014 compared to the same period in Fiscal 2013. The expense increase was primarily due to advertising expenses associated with timing of the Louisville show which occurred in the first quarter in Fiscal 2013 and in the second quarter in Fiscal 2014.</w:t>
      </w:r>
    </w:p>
    <w:p>
      <w:pPr>
        <w:spacing w:after="0" w:line="149"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General and administrative expenses were 2.2% and 2.5% of net revenues in the second quarter of Fiscal 2014 and Fiscal 2013, respectively. General and administrative expenses increased $461,000, or 10.3% in the second quarter of Fiscal 2014 compared to the same period in Fiscal 2013. This increase was due primarily to increases of $318,000 in consulting fees and IT expenses in Fiscal 2014.</w:t>
      </w:r>
    </w:p>
    <w:p>
      <w:pPr>
        <w:spacing w:after="0" w:line="14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On December 19, 2013 3M exercised an option to purchase warehouse facilities that they had leased from us since 1980. We realized a gain of $629,000 on the sale of this real estate. See Note 5 to the financial statements.</w:t>
      </w:r>
    </w:p>
    <w:p>
      <w:pPr>
        <w:spacing w:after="0" w:line="142"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Non-operating expense increased $55,000 in the second quarter of Fiscal 2014 compared to the same period in Fiscal 2013. The increase was primarily related to our COLI policies.</w:t>
      </w:r>
    </w:p>
    <w:p>
      <w:pPr>
        <w:spacing w:after="0" w:line="223"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overall effective income tax rate for the second quarter of Fiscal 2014 was 31.3% compared to the effective tax rate of 29.0% for the second quarter of Fiscal 2013. The increase in tax rate for the second quarter of Fiscal 2014 is primarily a result of the increased level of pretax book income earned during the quarter and a reduced level (in comparison to book income) of benefits recorded for tax credits and tax free and dividend income during the quarter. The legislation for various applicable tax credits expired on December 31, 2013; therefore our projected benefits for these credits are limited to four months of our fiscal year.</w:t>
      </w:r>
    </w:p>
    <w:p>
      <w:pPr>
        <w:spacing w:after="0" w:line="149"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Net income and diluted income per share were $9.6 million and $0.35 per share, respectively, for the second quarter of Fiscal 2014. In the second quarter of Fiscal 2013, net income was $6.3 million and diluted income was $0.22 per share. The impact of stock repurchases in the last twelve months on diluted net income per share was an increase of $0.01 for the second quarter of Fiscal 2014. See Part II, Item 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of Fiscal 2014 Compared to the Comparable Six Months of Fiscal 2013</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29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20" w:type="dxa"/>
            <w:vAlign w:val="bottom"/>
          </w:tcPr>
          <w:p>
            <w:pPr>
              <w:spacing w:after="0"/>
              <w:rPr>
                <w:sz w:val="17"/>
                <w:szCs w:val="17"/>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1,</w:t>
            </w:r>
          </w:p>
        </w:tc>
        <w:tc>
          <w:tcPr>
            <w:tcW w:w="152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7"/>
                <w:szCs w:val="17"/>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2,</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00" w:type="dxa"/>
            <w:vAlign w:val="bottom"/>
          </w:tcPr>
          <w:p>
            <w:pPr>
              <w:ind w:left="480"/>
              <w:spacing w:after="0"/>
              <w:rPr>
                <w:sz w:val="20"/>
                <w:szCs w:val="20"/>
                <w:color w:val="auto"/>
              </w:rPr>
            </w:pPr>
            <w:r>
              <w:rPr>
                <w:rFonts w:ascii="Arial" w:cs="Arial" w:eastAsia="Arial" w:hAnsi="Arial"/>
                <w:sz w:val="16"/>
                <w:szCs w:val="16"/>
                <w:b w:val="1"/>
                <w:bCs w:val="1"/>
                <w:color w:val="auto"/>
              </w:rPr>
              <w:t>%</w:t>
            </w:r>
          </w:p>
        </w:tc>
      </w:tr>
      <w:tr>
        <w:trPr>
          <w:trHeight w:val="23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40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34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451,481</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370,720</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80,761</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21.8 %</w:t>
            </w:r>
          </w:p>
        </w:tc>
      </w:tr>
      <w:tr>
        <w:trPr>
          <w:trHeight w:val="264"/>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402,674</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89.2 %</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332,782</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69,892</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21.0 %</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48,807</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10.8 %</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37,938</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10,869</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28.6 %</w:t>
            </w:r>
          </w:p>
        </w:tc>
      </w:tr>
      <w:tr>
        <w:trPr>
          <w:trHeight w:val="284"/>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8,822</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8,792</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0.3 %</w:t>
            </w: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2"/>
                <w:szCs w:val="22"/>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10,572</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10,300</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272</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2.6 %</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(Gain) loss on sale of real estate</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(629)</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(657)</w:t>
            </w:r>
          </w:p>
        </w:tc>
        <w:tc>
          <w:tcPr>
            <w:tcW w:w="12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NMF</w:t>
            </w:r>
          </w:p>
        </w:tc>
      </w:tr>
      <w:tr>
        <w:trPr>
          <w:trHeight w:val="250"/>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18,765</w:t>
            </w:r>
          </w:p>
        </w:tc>
        <w:tc>
          <w:tcPr>
            <w:tcW w:w="14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4.2 %</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19,120</w:t>
            </w:r>
          </w:p>
        </w:tc>
        <w:tc>
          <w:tcPr>
            <w:tcW w:w="13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(355)</w:t>
            </w: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(1.9)%</w:t>
            </w:r>
          </w:p>
        </w:tc>
      </w:tr>
      <w:tr>
        <w:trPr>
          <w:trHeight w:val="284"/>
        </w:trPr>
        <w:tc>
          <w:tcPr>
            <w:tcW w:w="2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2"/>
                <w:szCs w:val="22"/>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30,042</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6.7 %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18,818</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11,224</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59.6 %</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17</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595</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(578)</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(97.1)%</w:t>
            </w:r>
          </w:p>
        </w:tc>
      </w:tr>
      <w:tr>
        <w:trPr>
          <w:trHeight w:val="247"/>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30,059</w:t>
            </w:r>
          </w:p>
        </w:tc>
        <w:tc>
          <w:tcPr>
            <w:tcW w:w="14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6.7 %</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19,413</w:t>
            </w:r>
          </w:p>
        </w:tc>
        <w:tc>
          <w:tcPr>
            <w:tcW w:w="13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10,646</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54.8 %</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9,320</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2.1 %</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5,737</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3,583</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62.5 %</w:t>
            </w:r>
          </w:p>
        </w:tc>
      </w:tr>
      <w:tr>
        <w:trPr>
          <w:trHeight w:val="280"/>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20,739</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4.6 %</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13,676</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7,063</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51.6 %</w:t>
            </w:r>
          </w:p>
        </w:tc>
      </w:tr>
      <w:tr>
        <w:trPr>
          <w:trHeight w:val="267"/>
        </w:trPr>
        <w:tc>
          <w:tcPr>
            <w:tcW w:w="2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0.74</w:t>
            </w: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0.48</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0.26</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54.2 %</w:t>
            </w:r>
          </w:p>
        </w:tc>
      </w:tr>
      <w:tr>
        <w:trPr>
          <w:trHeight w:val="28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27,850</w:t>
            </w: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28,280</w:t>
            </w: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(430)</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r>
    </w:tbl>
    <w:p>
      <w:pPr>
        <w:spacing w:after="0" w:line="24"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Six Months Ended</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March 1,</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20" w:type="dxa"/>
            <w:vAlign w:val="bottom"/>
          </w:tcPr>
          <w:p>
            <w:pPr>
              <w:spacing w:after="0"/>
              <w:rPr>
                <w:sz w:val="17"/>
                <w:szCs w:val="17"/>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2,</w:t>
            </w: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220" w:type="dxa"/>
            <w:vAlign w:val="bottom"/>
          </w:tcPr>
          <w:p>
            <w:pPr>
              <w:spacing w:after="0"/>
              <w:rPr>
                <w:sz w:val="17"/>
                <w:szCs w:val="17"/>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28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1300" w:type="dxa"/>
            <w:vAlign w:val="bottom"/>
            <w:tcBorders>
              <w:bottom w:val="single" w:sz="8" w:color="auto"/>
            </w:tcBorders>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60"/>
        </w:trPr>
        <w:tc>
          <w:tcPr>
            <w:tcW w:w="2880" w:type="dxa"/>
            <w:vAlign w:val="bottom"/>
            <w:gridSpan w:val="2"/>
          </w:tcPr>
          <w:p>
            <w:pPr>
              <w:ind w:left="180"/>
              <w:spacing w:after="0"/>
              <w:rPr>
                <w:sz w:val="20"/>
                <w:szCs w:val="20"/>
                <w:color w:val="auto"/>
              </w:rPr>
            </w:pPr>
            <w:r>
              <w:rPr>
                <w:rFonts w:ascii="Arial" w:cs="Arial" w:eastAsia="Arial" w:hAnsi="Arial"/>
                <w:sz w:val="16"/>
                <w:szCs w:val="16"/>
                <w:color w:val="auto"/>
              </w:rPr>
              <w:t>Class A gas</w:t>
            </w:r>
          </w:p>
        </w:tc>
        <w:tc>
          <w:tcPr>
            <w:tcW w:w="200" w:type="dxa"/>
            <w:vAlign w:val="bottom"/>
          </w:tcPr>
          <w:p>
            <w:pPr>
              <w:spacing w:after="0"/>
              <w:rPr>
                <w:sz w:val="22"/>
                <w:szCs w:val="22"/>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1,299</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1,123</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176</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15.7 %</w:t>
            </w:r>
          </w:p>
        </w:tc>
      </w:tr>
      <w:tr>
        <w:trPr>
          <w:trHeight w:val="273"/>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853</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666</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187</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28.1 %</w:t>
            </w:r>
          </w:p>
        </w:tc>
      </w:tr>
      <w:tr>
        <w:trPr>
          <w:trHeight w:val="247"/>
        </w:trPr>
        <w:tc>
          <w:tcPr>
            <w:tcW w:w="2880" w:type="dxa"/>
            <w:vAlign w:val="bottom"/>
            <w:gridSpan w:val="2"/>
          </w:tcPr>
          <w:p>
            <w:pPr>
              <w:ind w:left="180"/>
              <w:spacing w:after="0"/>
              <w:rPr>
                <w:sz w:val="20"/>
                <w:szCs w:val="20"/>
                <w:color w:val="auto"/>
              </w:rPr>
            </w:pPr>
            <w:r>
              <w:rPr>
                <w:rFonts w:ascii="Arial" w:cs="Arial" w:eastAsia="Arial" w:hAnsi="Arial"/>
                <w:sz w:val="16"/>
                <w:szCs w:val="16"/>
                <w:color w:val="auto"/>
              </w:rPr>
              <w:t>Total Class A</w:t>
            </w:r>
          </w:p>
        </w:tc>
        <w:tc>
          <w:tcPr>
            <w:tcW w:w="200" w:type="dxa"/>
            <w:vAlign w:val="bottom"/>
          </w:tcPr>
          <w:p>
            <w:pPr>
              <w:spacing w:after="0"/>
              <w:rPr>
                <w:sz w:val="21"/>
                <w:szCs w:val="21"/>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2,152</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1,789</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363</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20.3 %</w:t>
            </w:r>
          </w:p>
        </w:tc>
      </w:tr>
      <w:tr>
        <w:trPr>
          <w:trHeight w:val="28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300</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185</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115</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62.2 %</w:t>
            </w:r>
          </w:p>
        </w:tc>
      </w:tr>
      <w:tr>
        <w:trPr>
          <w:trHeight w:val="264"/>
        </w:trPr>
        <w:tc>
          <w:tcPr>
            <w:tcW w:w="2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1,608</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979</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629</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64.2 %</w:t>
            </w:r>
          </w:p>
        </w:tc>
      </w:tr>
      <w:tr>
        <w:trPr>
          <w:trHeight w:val="240"/>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motorhome deliveries</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4,060</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2,953</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1,107</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37.5 %</w:t>
            </w: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7"/>
        </w:trPr>
        <w:tc>
          <w:tcPr>
            <w:tcW w:w="2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100.5</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111.7</w:t>
            </w: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(11.2)</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r>
      <w:tr>
        <w:trPr>
          <w:trHeight w:val="284"/>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2880" w:type="dxa"/>
            <w:vAlign w:val="bottom"/>
            <w:gridSpan w:val="2"/>
          </w:tcPr>
          <w:p>
            <w:pPr>
              <w:ind w:left="180"/>
              <w:spacing w:after="0"/>
              <w:rPr>
                <w:sz w:val="20"/>
                <w:szCs w:val="20"/>
                <w:color w:val="auto"/>
              </w:rPr>
            </w:pPr>
            <w:r>
              <w:rPr>
                <w:rFonts w:ascii="Arial" w:cs="Arial" w:eastAsia="Arial" w:hAnsi="Arial"/>
                <w:sz w:val="16"/>
                <w:szCs w:val="16"/>
                <w:color w:val="auto"/>
              </w:rPr>
              <w:t>Travel trailer</w:t>
            </w:r>
          </w:p>
        </w:tc>
        <w:tc>
          <w:tcPr>
            <w:tcW w:w="200" w:type="dxa"/>
            <w:vAlign w:val="bottom"/>
          </w:tcPr>
          <w:p>
            <w:pPr>
              <w:spacing w:after="0"/>
              <w:rPr>
                <w:sz w:val="22"/>
                <w:szCs w:val="22"/>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870</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846</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24</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2.8 %</w:t>
            </w:r>
          </w:p>
        </w:tc>
      </w:tr>
      <w:tr>
        <w:trPr>
          <w:trHeight w:val="273"/>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189</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259</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(70)</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(27.0)%</w:t>
            </w:r>
          </w:p>
        </w:tc>
      </w:tr>
      <w:tr>
        <w:trPr>
          <w:trHeight w:val="280"/>
        </w:trPr>
        <w:tc>
          <w:tcPr>
            <w:tcW w:w="2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towable deliveries</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1,059</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1,105</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(46)</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w:t>
            </w:r>
          </w:p>
        </w:tc>
      </w:tr>
      <w:tr>
        <w:trPr>
          <w:trHeight w:val="267"/>
        </w:trPr>
        <w:tc>
          <w:tcPr>
            <w:tcW w:w="2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51"/>
        </w:trPr>
        <w:tc>
          <w:tcPr>
            <w:tcW w:w="2880" w:type="dxa"/>
            <w:vAlign w:val="bottom"/>
            <w:gridSpan w:val="2"/>
          </w:tcPr>
          <w:p>
            <w:pPr>
              <w:ind w:left="180"/>
              <w:spacing w:after="0"/>
              <w:rPr>
                <w:sz w:val="20"/>
                <w:szCs w:val="20"/>
                <w:color w:val="auto"/>
              </w:rPr>
            </w:pPr>
            <w:r>
              <w:rPr>
                <w:rFonts w:ascii="Arial" w:cs="Arial" w:eastAsia="Arial" w:hAnsi="Arial"/>
                <w:sz w:val="16"/>
                <w:szCs w:val="16"/>
                <w:color w:val="auto"/>
              </w:rPr>
              <w:t>ASP (in thousands)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22.9</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21.6</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1.3</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5.8 %</w:t>
            </w:r>
          </w:p>
        </w:tc>
      </w:tr>
    </w:tbl>
    <w:p>
      <w:pPr>
        <w:ind w:left="160" w:hanging="152"/>
        <w:spacing w:after="0" w:line="227"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288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47"/>
        </w:trPr>
        <w:tc>
          <w:tcPr>
            <w:tcW w:w="2880" w:type="dxa"/>
            <w:vAlign w:val="bottom"/>
            <w:gridSpan w:val="3"/>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1,</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March 2,</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28"/>
        </w:trPr>
        <w:tc>
          <w:tcPr>
            <w:tcW w:w="27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57"/>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411,791</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331,990</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89.6%</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79,801</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24.0%</w:t>
            </w:r>
          </w:p>
        </w:tc>
      </w:tr>
      <w:tr>
        <w:trPr>
          <w:trHeight w:val="270"/>
        </w:trPr>
        <w:tc>
          <w:tcPr>
            <w:tcW w:w="2880" w:type="dxa"/>
            <w:vAlign w:val="bottom"/>
            <w:gridSpan w:val="3"/>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420" w:type="dxa"/>
            <w:vAlign w:val="bottom"/>
          </w:tcPr>
          <w:p>
            <w:pPr>
              <w:jc w:val="right"/>
              <w:ind w:right="499"/>
              <w:spacing w:after="0"/>
              <w:rPr>
                <w:sz w:val="20"/>
                <w:szCs w:val="20"/>
                <w:color w:val="auto"/>
              </w:rPr>
            </w:pPr>
            <w:r>
              <w:rPr>
                <w:rFonts w:ascii="Arial" w:cs="Arial" w:eastAsia="Arial" w:hAnsi="Arial"/>
                <w:sz w:val="16"/>
                <w:szCs w:val="16"/>
                <w:color w:val="auto"/>
              </w:rPr>
              <w:t>24,257</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519"/>
              <w:spacing w:after="0"/>
              <w:rPr>
                <w:sz w:val="20"/>
                <w:szCs w:val="20"/>
                <w:color w:val="auto"/>
              </w:rPr>
            </w:pPr>
            <w:r>
              <w:rPr>
                <w:rFonts w:ascii="Arial" w:cs="Arial" w:eastAsia="Arial" w:hAnsi="Arial"/>
                <w:sz w:val="16"/>
                <w:szCs w:val="16"/>
                <w:color w:val="auto"/>
              </w:rPr>
              <w:t>23,964</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293</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1.2%</w:t>
            </w:r>
          </w:p>
        </w:tc>
      </w:tr>
      <w:tr>
        <w:trPr>
          <w:trHeight w:val="264"/>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15,433</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14,766</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667</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99"/>
              <w:spacing w:after="0"/>
              <w:rPr>
                <w:sz w:val="20"/>
                <w:szCs w:val="20"/>
                <w:color w:val="auto"/>
              </w:rPr>
            </w:pPr>
            <w:r>
              <w:rPr>
                <w:rFonts w:ascii="Arial" w:cs="Arial" w:eastAsia="Arial" w:hAnsi="Arial"/>
                <w:sz w:val="16"/>
                <w:szCs w:val="16"/>
                <w:color w:val="auto"/>
              </w:rPr>
              <w:t>451,481</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19"/>
              <w:spacing w:after="0"/>
              <w:rPr>
                <w:sz w:val="20"/>
                <w:szCs w:val="20"/>
                <w:color w:val="auto"/>
              </w:rPr>
            </w:pPr>
            <w:r>
              <w:rPr>
                <w:rFonts w:ascii="Arial" w:cs="Arial" w:eastAsia="Arial" w:hAnsi="Arial"/>
                <w:sz w:val="16"/>
                <w:szCs w:val="16"/>
                <w:color w:val="auto"/>
              </w:rPr>
              <w:t>370,720</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80,761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3810</wp:posOffset>
            </wp:positionV>
            <wp:extent cx="52914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91455" cy="26035"/>
                    </a:xfrm>
                    <a:prstGeom prst="rect">
                      <a:avLst/>
                    </a:prstGeom>
                    <a:noFill/>
                  </pic:spPr>
                </pic:pic>
              </a:graphicData>
            </a:graphic>
          </wp:anchor>
        </w:drawing>
      </w:r>
    </w:p>
    <w:p>
      <w:pPr>
        <w:ind w:left="260" w:hanging="238"/>
        <w:spacing w:after="0"/>
        <w:tabs>
          <w:tab w:leader="none" w:pos="2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w:t>
      </w:r>
    </w:p>
    <w:p>
      <w:pPr>
        <w:ind w:left="260" w:hanging="238"/>
        <w:spacing w:after="0" w:line="199" w:lineRule="auto"/>
        <w:tabs>
          <w:tab w:leader="none" w:pos="2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increase in motorhome net revenues of $79.8 million or 24.0% was attributed primarily to a 37.5% increase in unit deliveries in the first six months of Fiscal 2014 driven by higher dealer and retail consumer demand as compared to the first six months of Fiscal 2013, partially offset by a decrease in motorhome ASP of 10.0% as compared to the first six months of Fiscal 2013.</w:t>
      </w:r>
    </w:p>
    <w:p>
      <w:pPr>
        <w:spacing w:after="0" w:line="17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Towables revenues were $24.3 million in the first six months of Fiscal 2014, compared to $24.0 million in the first six months of Fiscal 2013. Overall, the 4.2% decrease in unit deliveries was offset by a 5.8% increase in ASPs.</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One contributing factor to the increase in unit deliveries during Fiscal 2014 relates to revised shipping terms with our dealers. Effective in the first quarter of Fiscal 2014, we entered into revised dealer agreements to change our shipping terms so that title and risk of loss passes to our dealers upon acceptance of the unit by an independent transportation company for delivery which is standard industry practice. As a result of this term change, an additional $51.7 million of revenue was recognized in the first six months of Fiscal 2014, which represented units in possession of the transportation company in-transit to the dealer. In Fiscal 2013, such revenues would have been recognized in the third fiscal quarter. Conversely, due to our 52/53 week fiscal year convention, the first six months of Fiscal 2013 had an extra week in the first quarter as compared to the first six months of Fiscal 2014 resulting in an additional $13.8 million of revenue recognized in the prior year first quarter. The net effect of these two timing items resulted in a positive impact of $37.9 million when comparing the first six months of Fiscal 2014 to the first six months of Fiscal 2013.</w:t>
      </w:r>
    </w:p>
    <w:p>
      <w:pPr>
        <w:spacing w:after="0" w:line="181"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Cost of goods sold was $402.7 million, or 89.2% of net revenues for the first six months of Fiscal 2014 compared to $332.8 million, or 89.8% of net revenues for the first six months of Fiscal 2013 due to the following:</w:t>
      </w:r>
    </w:p>
    <w:p>
      <w:pPr>
        <w:spacing w:after="0" w:line="14" w:lineRule="exact"/>
        <w:rPr>
          <w:sz w:val="20"/>
          <w:szCs w:val="20"/>
          <w:color w:val="auto"/>
        </w:rPr>
      </w:pPr>
    </w:p>
    <w:p>
      <w:pPr>
        <w:ind w:left="340" w:right="160" w:hanging="332"/>
        <w:spacing w:after="0" w:line="252"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6"/>
          <w:szCs w:val="16"/>
          <w:color w:val="auto"/>
        </w:rPr>
        <w:t>Total variable costs (materials, direct labor, variable overhead, delivery expense and warranty), as a percent of net revenues, were flat at 83.9% both this year and last year with higher material costs partially offset by greater production efficiencies due to increased production levels.</w:t>
      </w:r>
    </w:p>
    <w:p>
      <w:pPr>
        <w:spacing w:after="0" w:line="21" w:lineRule="exact"/>
        <w:rPr>
          <w:rFonts w:ascii="Arial" w:cs="Arial" w:eastAsia="Arial" w:hAnsi="Arial"/>
          <w:sz w:val="18"/>
          <w:szCs w:val="18"/>
          <w:color w:val="auto"/>
        </w:rPr>
      </w:pPr>
    </w:p>
    <w:p>
      <w:pPr>
        <w:ind w:left="340" w:right="380" w:hanging="332"/>
        <w:spacing w:after="0" w:line="26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6"/>
          <w:szCs w:val="16"/>
          <w:color w:val="auto"/>
        </w:rPr>
        <w:t>Fixed overhead (manufacturing support labor, depreciation and facility costs) and research and development-related costs decreased to 5.3% of net revenues compared to 5.9% for Fiscal 2013. This difference was primarily due to significantly higher production levels in Fiscal 2014 which resulted in higher absorption of fixed overhead costs.</w:t>
      </w:r>
    </w:p>
    <w:p>
      <w:pPr>
        <w:spacing w:after="0" w:line="1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6"/>
          <w:szCs w:val="16"/>
          <w:color w:val="auto"/>
        </w:rPr>
        <w:t>All factors considered, gross profit increased from 10.2% to 10.8% of net revenues.</w:t>
      </w:r>
    </w:p>
    <w:p>
      <w:pPr>
        <w:spacing w:after="0" w:line="170"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Selling expenses decreased to 2.0% from 2.4% of net revenues in the first six months of Fiscal 2014 as compared to Fiscal 2013, respectively. Overall, selling expenses were flat when comparing the first six months of Fiscal 2014 to the same period in Fiscal 2013. Increases in advertising expenses of $420,000 were offset by decreases in various other selling expenses.</w:t>
      </w:r>
    </w:p>
    <w:p>
      <w:pPr>
        <w:spacing w:after="0" w:line="14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General and administrative expenses were 2.3% and 2.8% of net revenues in the first six months of Fiscal 2014 and Fiscal 2013, respectively. General and administrative expenses increased $272,000, or 2.6% in the first six months of Fiscal 2014 compared to the same period in Fiscal 2013. This increase was due primarily to $360,000 in consulting fees, $212,000 in IT expenses, and was partially offset by a decrease of $470,000 in legal expenses.</w:t>
      </w:r>
    </w:p>
    <w:p>
      <w:pPr>
        <w:spacing w:after="0" w:line="14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During the second quarter of Fiscal 2014 we realized a gain of $629,000 on the sale of a leased warehouse facility (3M). During the first quarter of Fiscal 2013 we realized a loss of $28,000 on the sale of an idled manufacturing facility (Hampton). See Note 5 to the financial statements.</w:t>
      </w:r>
    </w:p>
    <w:p>
      <w:pPr>
        <w:spacing w:after="0" w:line="142"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Non-operating income decreased $578,000 or 97.1%, in the first six months of Fiscal 2014 compared to the same period in Fiscal 2013. This difference is primarily due to COLI proceeds received in Fiscal 2013.</w:t>
      </w:r>
    </w:p>
    <w:p>
      <w:pPr>
        <w:spacing w:after="0" w:line="22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overall effective income tax rate for the first six months of Fiscal 2014 was 31.0% compared to the effective income tax rate of 29.6% for the first six months of Fiscal 2013. The tax rate for the first six months of Fiscal 2014 is primarily a result of the higher level of pretax book income earned during Fiscal 2014. We also had a reduced level (in comparison to book income) of benefits recorded for tax credits in Fiscal 2014. The legislation for various applicable tax credits expired on December 31, 2013; therefore our projected benefits for these credits are limited to four months of our fiscal year.</w:t>
      </w:r>
    </w:p>
    <w:p>
      <w:pPr>
        <w:spacing w:after="0" w:line="14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Net income and diluted income per share were $20.7 million and $0.74 per share, respectively, for the first six months of Fiscal 2014. In the first six months of Fiscal 2013, the net income was $13.7 million and diluted income was $0.48 per share. The impact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of stock repurchases in the last twelve months on diluted net income per share was an increase of $0.01 for the first six months of Fiscal 2014. See Part II, Item 2.</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Cash and cash equivalents decreased $48.0 million during the first six months of Fiscal 2014 and totaled $16.3 million as of March 1, 2014. Significant liquidity events that occurred during the first six months of Fiscal 2014 were:</w:t>
      </w:r>
    </w:p>
    <w:p>
      <w:pPr>
        <w:spacing w:after="0" w:line="14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 in receivables and prepaid assets of $40.1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Stock repurchases of approximately $21.5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Generation of net income of $20.7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Increases in inventories of $12.4 million</w:t>
      </w:r>
    </w:p>
    <w:p>
      <w:pPr>
        <w:spacing w:after="0" w:line="8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On October 31, 2012, we entered into the Credit Agreement with GECC. The Credit Agreement provides for an initial $35.0 million revolving credit facility based on our eligible inventory and expires on October 31, 2015 unless terminated earlier in accordance with its terms. There is no termination fee associated with the Credit Agreement.</w:t>
      </w:r>
    </w:p>
    <w:p>
      <w:pPr>
        <w:spacing w:after="0" w:line="2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In addition, the Credit Agreement also includes a framework to expand the size of the facility up to $50.0 million, based on mutually agreeable terms at the time of the expansion. See Note 6 to the financial statements.</w:t>
      </w:r>
    </w:p>
    <w:p>
      <w:pPr>
        <w:spacing w:after="0" w:line="230"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May 9, 2013. Subject to market conditions, we have the ability to offer and sell up to $35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w:t>
      </w:r>
    </w:p>
    <w:p>
      <w:pPr>
        <w:spacing w:after="0" w:line="23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Working capital at March 1, 2014 and August 31, 2013 was $157.9 million and $153.5 million, respectively, an increase of $4.4 million. We currently expect cash on hand, cash collected on receivables, funds generated from operations and the availability under a credit facility to be sufficient to cover both short-term and long-term operating requirements for Fiscal 2014. We anticipate capital expenditures during the balance of Fiscal 2014 of approximately $6.5 million, primarily for manufacturing equipment and facilities and IT upgrades.</w:t>
      </w:r>
    </w:p>
    <w:p>
      <w:pPr>
        <w:spacing w:after="0" w:line="230"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made share repurchases of $21.5 million in the first six months of Fiscal 2014. If we believe the common stock is trading at attractive levels and reflects a prudent use of our capital, we may purchase additional shares in the remainder of Fiscal 2014. See Part II, Item 2 of this Form 10-Q.</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Cash used in operating activities was $29.5 million for the six months ended March 1, 2014 compared to $26.1 million for the six months ended March 2, 2013. In Fiscal 2014 the combination of net income of $20.7 million and changes in non-cash charges (e.g., depreciation, LIFO, stock-based compensation, deferred income taxes) provided $23.0 million of operating cash. Changes in assets and liabilities (primarily increases in receivables and inventories) used $52.5 million of operating cash. In the first six months of Fiscal 2013, the combination of net income of $13.7 million and changes in non-cash charges (e.g., depreciation, LIFO, stock-based compensation, deferred income taxes) provided $15.1 million of operating cash. Changes in assets and liabilities (primarily an increase in inventories) used $41.2 million of operating cash.</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Cash provided by investing activities of $865,000 for the six months ended March 1, 2014 was due primarily to proceeds from the sale of property of $2.4 million, proceeds from the sale of investments of $2.4 million, and was partially offset by capital spending of $3.8 million. In the six months ended March 2, 2013, cash used in investing activities of $1.8 million was due primarily to capital spending of $2.4 million, payments of COLI borrowings of $1.4 million, and was partially offset by proceeds of $1.0 million from COLI policies and proceeds of $614,000 from the sale of property.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Cash used in financing activities of $19.4 million for the six months ended March 1, 2014 was primarily due to $21.5 million in repurchases of our stock partially offset by proceeds of $2.1 million from the exercise of stock options. Cash used in financing activities of $8.5 million for the six months ended March 2, 2013 was primarily due to $8.4 million in repurchases of our stock.</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41" w:right="2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31, 2013.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31, 2013. We</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these disclosures for a detailed explanation of our significant accounting policies and critical accounting estimates. There has been no significant change in our significant accounting policies or critical accounting estimates since the end of Fiscal 2013.</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which, by their nature, can provide only reasonable assurance regarding management's disclosure control objectives.</w:t>
      </w:r>
    </w:p>
    <w:p>
      <w:pPr>
        <w:spacing w:after="0" w:line="16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Legal Proceedings</w:t>
      </w:r>
    </w:p>
    <w:p>
      <w:pPr>
        <w:spacing w:after="0" w:line="187" w:lineRule="exact"/>
        <w:rPr>
          <w:sz w:val="20"/>
          <w:szCs w:val="20"/>
          <w:color w:val="auto"/>
        </w:rPr>
      </w:pPr>
    </w:p>
    <w:p>
      <w:pPr>
        <w:jc w:val="both"/>
        <w:ind w:right="740"/>
        <w:spacing w:after="0" w:line="253"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214" w:lineRule="exact"/>
        <w:rPr>
          <w:sz w:val="20"/>
          <w:szCs w:val="20"/>
          <w:color w:val="auto"/>
        </w:rPr>
      </w:pPr>
    </w:p>
    <w:p>
      <w:pPr>
        <w:ind w:right="100"/>
        <w:spacing w:after="0" w:line="192" w:lineRule="exact"/>
        <w:rPr>
          <w:sz w:val="20"/>
          <w:szCs w:val="20"/>
          <w:color w:val="auto"/>
        </w:rPr>
      </w:pPr>
      <w:r>
        <w:rPr>
          <w:rFonts w:ascii="Arial" w:cs="Arial" w:eastAsia="Arial" w:hAnsi="Arial"/>
          <w:sz w:val="16"/>
          <w:szCs w:val="16"/>
          <w:color w:val="auto"/>
        </w:rPr>
        <w:t>There have been no material changes from the risk factors previously disclosed in Part I, Item 1A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31, 2013.</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Unregistered Sales of Equity Securities and Use of Proceeds</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second quarter of Fiscal 2014, approximately 616,000 shares were repurchased under the authorization, at an aggregate cost of $15.9 million. Of these shares, approximately 1,300 were repurchased from employees who vested in Winnebago Industries shares during the second quarter of Fiscal 2014 and elected to pay their payroll tax via shares as opposed to cash. As of March 1, 2014, there was approximately $18.4 million remaining under this authorization.</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141" w:right="2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second quarter of Fiscal 2014: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5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8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 Price</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380" w:type="dxa"/>
            <w:vAlign w:val="bottom"/>
          </w:tcPr>
          <w:p>
            <w:pPr>
              <w:spacing w:after="0"/>
              <w:rPr>
                <w:sz w:val="16"/>
                <w:szCs w:val="16"/>
                <w:color w:val="auto"/>
              </w:rPr>
            </w:pPr>
          </w:p>
        </w:tc>
        <w:tc>
          <w:tcPr>
            <w:tcW w:w="214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Paid per Share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12/01/13 - 01/04/14</w:t>
            </w:r>
          </w:p>
        </w:tc>
        <w:tc>
          <w:tcPr>
            <w:tcW w:w="1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115,983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28.36</w:t>
            </w:r>
          </w:p>
        </w:tc>
        <w:tc>
          <w:tcPr>
            <w:tcW w:w="2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115,983</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31,072,000</w:t>
            </w:r>
          </w:p>
        </w:tc>
      </w:tr>
      <w:tr>
        <w:trPr>
          <w:trHeight w:val="260"/>
        </w:trPr>
        <w:tc>
          <w:tcPr>
            <w:tcW w:w="3100" w:type="dxa"/>
            <w:vAlign w:val="bottom"/>
          </w:tcPr>
          <w:p>
            <w:pPr>
              <w:ind w:left="40"/>
              <w:spacing w:after="0"/>
              <w:rPr>
                <w:sz w:val="20"/>
                <w:szCs w:val="20"/>
                <w:color w:val="auto"/>
              </w:rPr>
            </w:pPr>
            <w:r>
              <w:rPr>
                <w:rFonts w:ascii="Arial" w:cs="Arial" w:eastAsia="Arial" w:hAnsi="Arial"/>
                <w:sz w:val="16"/>
                <w:szCs w:val="16"/>
                <w:color w:val="auto"/>
              </w:rPr>
              <w:t>01/05/14 - 02/01/14</w:t>
            </w: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166,479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25.22</w:t>
            </w:r>
          </w:p>
        </w:tc>
        <w:tc>
          <w:tcPr>
            <w:tcW w:w="2180" w:type="dxa"/>
            <w:vAlign w:val="bottom"/>
          </w:tcPr>
          <w:p>
            <w:pPr>
              <w:jc w:val="right"/>
              <w:ind w:right="119"/>
              <w:spacing w:after="0"/>
              <w:rPr>
                <w:sz w:val="20"/>
                <w:szCs w:val="20"/>
                <w:color w:val="auto"/>
              </w:rPr>
            </w:pPr>
            <w:r>
              <w:rPr>
                <w:rFonts w:ascii="Arial" w:cs="Arial" w:eastAsia="Arial" w:hAnsi="Arial"/>
                <w:sz w:val="16"/>
                <w:szCs w:val="16"/>
                <w:color w:val="auto"/>
              </w:rPr>
              <w:t>166,479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59"/>
              <w:spacing w:after="0"/>
              <w:rPr>
                <w:sz w:val="20"/>
                <w:szCs w:val="20"/>
                <w:color w:val="auto"/>
              </w:rPr>
            </w:pPr>
            <w:r>
              <w:rPr>
                <w:rFonts w:ascii="Arial" w:cs="Arial" w:eastAsia="Arial" w:hAnsi="Arial"/>
                <w:sz w:val="16"/>
                <w:szCs w:val="16"/>
                <w:color w:val="auto"/>
              </w:rPr>
              <w:t>26,874,000</w:t>
            </w:r>
          </w:p>
        </w:tc>
      </w:tr>
      <w:tr>
        <w:trPr>
          <w:trHeight w:val="273"/>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02/02/14 - 03/01/14</w:t>
            </w:r>
          </w:p>
        </w:tc>
        <w:tc>
          <w:tcPr>
            <w:tcW w:w="1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333,253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25.31</w:t>
            </w:r>
          </w:p>
        </w:tc>
        <w:tc>
          <w:tcPr>
            <w:tcW w:w="2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333,253</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18,438,000</w:t>
            </w:r>
          </w:p>
        </w:tc>
      </w:tr>
      <w:tr>
        <w:trPr>
          <w:trHeight w:val="267"/>
        </w:trPr>
        <w:tc>
          <w:tcPr>
            <w:tcW w:w="3100" w:type="dxa"/>
            <w:vAlign w:val="bottom"/>
          </w:tcPr>
          <w:p>
            <w:pPr>
              <w:ind w:left="4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615,715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25.86</w:t>
            </w:r>
          </w:p>
        </w:tc>
        <w:tc>
          <w:tcPr>
            <w:tcW w:w="2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615,715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18,438,000</w:t>
            </w:r>
          </w:p>
        </w:tc>
      </w:tr>
      <w:tr>
        <w:trPr>
          <w:trHeight w:val="20"/>
        </w:trPr>
        <w:tc>
          <w:tcPr>
            <w:tcW w:w="3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Credit Agreement contains covenants that limit our ability, among other things, to pay cash dividends. See Note 6 to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March 28, 2014.</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March 28, 2014.</w:t>
      </w:r>
    </w:p>
    <w:p>
      <w:pPr>
        <w:spacing w:after="0" w:line="167" w:lineRule="exact"/>
        <w:rPr>
          <w:sz w:val="20"/>
          <w:szCs w:val="20"/>
          <w:color w:val="auto"/>
        </w:rPr>
      </w:pPr>
    </w:p>
    <w:p>
      <w:pPr>
        <w:ind w:left="980" w:right="380" w:hanging="971"/>
        <w:spacing w:after="0" w:line="260" w:lineRule="auto"/>
        <w:tabs>
          <w:tab w:leader="none" w:pos="96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Certification by the Chief Executive Officer pursuant to Section 1350, as adopted pursuant to Section 906 of the Sarbanes-Oxley Act of 2002 dated March 28, 2014.</w:t>
      </w:r>
    </w:p>
    <w:p>
      <w:pPr>
        <w:spacing w:after="0" w:line="142" w:lineRule="exact"/>
        <w:rPr>
          <w:sz w:val="20"/>
          <w:szCs w:val="20"/>
          <w:color w:val="auto"/>
        </w:rPr>
      </w:pPr>
    </w:p>
    <w:p>
      <w:pPr>
        <w:ind w:left="980" w:right="440" w:hanging="971"/>
        <w:spacing w:after="0" w:line="260" w:lineRule="auto"/>
        <w:tabs>
          <w:tab w:leader="none" w:pos="96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Certification by the Chief Financial Officer pursuant to Section 1350, as adopted pursuant to Section 906 of the Sarbanes-Oxley Act of 2002 dated March 28, 2014.</w:t>
      </w:r>
    </w:p>
    <w:p>
      <w:pPr>
        <w:sectPr>
          <w:pgSz w:w="11900" w:h="16838" w:orient="portrait"/>
          <w:cols w:equalWidth="0" w:num="1">
            <w:col w:w="11420"/>
          </w:cols>
          <w:pgMar w:left="240" w:top="141" w:right="23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660" w:space="32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720" w:space="26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00" w:space="28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20" w:space="26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440"/>
          </w:cols>
          <w:pgMar w:left="240" w:top="141" w:right="239" w:bottom="1440" w:gutter="0" w:footer="0" w:header="0"/>
          <w:type w:val="continuous"/>
        </w:sectPr>
      </w:pPr>
    </w:p>
    <w:p>
      <w:pPr>
        <w:ind w:right="60"/>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March 1, 2014 formatted in XBRL: (i) the Unaudited Consolidated Balance Sheets, (ii) the Unaudited Consolidated Statements of Operations and Comprehensive Income, (iii) the Unaudited Consolidated Statement of Cash Flows, and (iv) related notes to these financial statements. Such exhibits are deemed furnished and not filed pursuant to Rule 406T of Regulation S-T.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WINNEBAGO INDUSTRIES, INC.</w:t>
      </w:r>
    </w:p>
    <w:p>
      <w:pPr>
        <w:spacing w:after="0" w:line="354"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28,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Chief Executive Officer, President, Chairman of the Board</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Executive Officer)</w:t>
      </w:r>
    </w:p>
    <w:p>
      <w:pPr>
        <w:spacing w:after="0" w:line="340"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28,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Vice President, Chief Financial Officer</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type w:val="continuous"/>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Randy Potts,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120" w:hanging="328"/>
        <w:spacing w:after="0" w:line="253"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28,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420"/>
          </w:cols>
          <w:pgMar w:left="240" w:top="630"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120" w:hanging="328"/>
        <w:spacing w:after="0" w:line="253"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28,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6" w:right="23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March 1, 2014, I, Randy Potts, Chief Executive Officer and President of Winnebago Industries, Inc., certify that pursuant to 18 U.S.C. §1350 as adopted pursuant to §906 of the Sarbanes-Oxley Act of 2002, that:</w:t>
      </w:r>
    </w:p>
    <w:p>
      <w:pPr>
        <w:spacing w:after="0" w:line="174" w:lineRule="exact"/>
        <w:rPr>
          <w:sz w:val="20"/>
          <w:szCs w:val="20"/>
          <w:color w:val="auto"/>
        </w:rPr>
      </w:pPr>
    </w:p>
    <w:p>
      <w:pPr>
        <w:jc w:val="both"/>
        <w:ind w:left="660" w:right="40" w:hanging="328"/>
        <w:spacing w:after="0" w:line="25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March 1, 2014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60" w:val="left"/>
          <w:tab w:leader="none" w:pos="630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28,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29210</wp:posOffset>
            </wp:positionV>
            <wp:extent cx="2675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360"/>
          </w:cols>
          <w:pgMar w:left="240" w:top="630" w:right="29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March 1, 2014, I, Sarah N. Nielsen, Vice President, Chief Financial Officer of Winnebago Industries, Inc., certify that pursuant to 18 U.S.C. §1350 as adopted pursuant to §906 of the Sarbanes-Oxley Act of 2002, that:</w:t>
      </w:r>
    </w:p>
    <w:p>
      <w:pPr>
        <w:spacing w:after="0" w:line="174" w:lineRule="exact"/>
        <w:rPr>
          <w:sz w:val="20"/>
          <w:szCs w:val="20"/>
          <w:color w:val="auto"/>
        </w:rPr>
      </w:pPr>
    </w:p>
    <w:p>
      <w:pPr>
        <w:jc w:val="both"/>
        <w:ind w:left="660" w:right="40" w:hanging="328"/>
        <w:spacing w:after="0" w:line="25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March 1, 2014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28,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2019-12-05T16:12:36Z</dcterms:created>
  <dcterms:modified xsi:type="dcterms:W3CDTF">2019-12-05T16:12:36Z</dcterms:modified>
</cp:coreProperties>
</file>