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233680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17,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1249680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14605</wp:posOffset>
            </wp:positionV>
            <wp:extent cx="2400935" cy="1012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0935" cy="1012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20"/>
          </w:cols>
          <w:pgMar w:left="240" w:top="676"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Winnebago Industries, Inc. is filing herewith a press release issued on </w:t>
      </w:r>
      <w:r>
        <w:rPr>
          <w:rFonts w:ascii="Arial" w:cs="Arial" w:eastAsia="Arial" w:hAnsi="Arial"/>
          <w:sz w:val="18"/>
          <w:szCs w:val="18"/>
          <w:color w:val="auto"/>
        </w:rPr>
        <w:t>October 17, 2013</w:t>
      </w:r>
      <w:r>
        <w:rPr>
          <w:rFonts w:ascii="Arial" w:cs="Arial" w:eastAsia="Arial" w:hAnsi="Arial"/>
          <w:sz w:val="16"/>
          <w:szCs w:val="16"/>
          <w:color w:val="auto"/>
        </w:rPr>
        <w:t>, as Exhibit 99.1 which is incorporated by reference herein. The press release was issued to report earnings for the fourth quarter and Fiscal 2013 ended August 31, 2013.</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 xml:space="preserve">Press release of Winnebago Industries, Inc. dated </w:t>
      </w:r>
      <w:r>
        <w:rPr>
          <w:rFonts w:ascii="Arial" w:cs="Arial" w:eastAsia="Arial" w:hAnsi="Arial"/>
          <w:sz w:val="18"/>
          <w:szCs w:val="18"/>
          <w:color w:val="auto"/>
        </w:rPr>
        <w:t>October 17, 2013</w:t>
      </w:r>
      <w:r>
        <w:rPr>
          <w:rFonts w:ascii="Arial" w:cs="Arial" w:eastAsia="Arial" w:hAnsi="Arial"/>
          <w:sz w:val="16"/>
          <w:szCs w:val="16"/>
          <w:color w:val="auto"/>
        </w:rPr>
        <w:t>.</w:t>
      </w:r>
    </w:p>
    <w:p>
      <w:pPr>
        <w:sectPr>
          <w:pgSz w:w="11900" w:h="16838" w:orient="portrait"/>
          <w:cols w:equalWidth="0" w:num="1">
            <w:col w:w="10980"/>
          </w:cols>
          <w:pgMar w:left="240" w:top="571" w:right="67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SIGNATURES</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0"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70" w:lineRule="exact"/>
        <w:rPr>
          <w:sz w:val="20"/>
          <w:szCs w:val="20"/>
          <w:color w:val="auto"/>
        </w:rPr>
      </w:pPr>
    </w:p>
    <w:p>
      <w:pPr>
        <w:ind w:left="40"/>
        <w:spacing w:after="0"/>
        <w:tabs>
          <w:tab w:leader="none" w:pos="580" w:val="left"/>
          <w:tab w:leader="none" w:pos="3440" w:val="left"/>
          <w:tab w:leader="none" w:pos="4100" w:val="left"/>
        </w:tabs>
        <w:rPr>
          <w:sz w:val="20"/>
          <w:szCs w:val="20"/>
          <w:color w:val="auto"/>
        </w:rPr>
      </w:pPr>
      <w:r>
        <w:rPr>
          <w:rFonts w:ascii="Arial" w:cs="Arial" w:eastAsia="Arial" w:hAnsi="Arial"/>
          <w:sz w:val="16"/>
          <w:szCs w:val="16"/>
          <w:color w:val="auto"/>
        </w:rPr>
        <w:t>Date:</w:t>
        <w:tab/>
        <w:t>October 17,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19050</wp:posOffset>
            </wp:positionV>
            <wp:extent cx="3129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6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Name:</w:t>
        <w:tab/>
        <w:t>Randy J. Potts</w:t>
      </w:r>
    </w:p>
    <w:p>
      <w:pPr>
        <w:spacing w:after="0" w:line="86"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of the Board, Chief Executive Officer and President</w:t>
      </w:r>
    </w:p>
    <w:p>
      <w:pPr>
        <w:sectPr>
          <w:pgSz w:w="11900" w:h="16838" w:orient="portrait"/>
          <w:cols w:equalWidth="0" w:num="1">
            <w:col w:w="11220"/>
          </w:cols>
          <w:pgMar w:left="240" w:top="571" w:right="4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Contact: Sheila Davis - PR/IR Mgr. - 641-585-6803 - sdavis@winnebagoind.com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REPORTS RESULTS FOR</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FOURTH QUARTER AND FISCAL 2013</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Fourth Quarter Operating Income more than doubled Year Over Year --</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Fiscal Year Revenue Increase of 38% --</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Fiscal Year Operating Income Up 366% --</w:t>
      </w:r>
    </w:p>
    <w:p>
      <w:pPr>
        <w:spacing w:after="0" w:line="383"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FOREST CITY, IOWA, October 17, 2013 - Winnebago Industries, Inc. (NYSE:WGO), a leading United States (U.S.) recreation vehicle manufacturer, today reported financial results for the Company's fourth quarter and fiscal year 2013.</w:t>
      </w:r>
    </w:p>
    <w:p>
      <w:pPr>
        <w:spacing w:after="0" w:line="169"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Revenues for the fourth quarter ended August 31, 2013 were $214.2 million, an increase of 31.8%, versus $162.5 million for the fourth quarter of Fiscal 2012. The Company reported an operating income of $15.3 million for the quarter, versus $6.5 million for the fourth quarter of Fiscal 2012. Net income for the fourth quarter of Fiscal 2013 was $10.6 million, or $0.38 per diluted share, versus $40.9 million, or $1.41 per diluted share for the fourth quarter of Fiscal 2012. A tax benefit was recorded in the fourth quarter of Fiscal 2012 due to a $36.9 million reduction in the valuation allowance on deferred tax assets that was established in Fiscal 2009. Excluding the non-cash tax benefit of the reduction in valuation allowance, net income for the fourth quarter of Fiscal 2012 was $4.0 million or $0.14 per diluted share.</w:t>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fourth quarter of Fiscal 2013 as compared to the fourth quarter of Fiscal 2012 was positively impacted by increased motor home deliveries, improved gross margin due to better variable and fixed cost absorption and incremental leverage in operating expenses which resulted in a 3.2 percentage point improvement in operating margin.</w:t>
      </w:r>
    </w:p>
    <w:p>
      <w:pPr>
        <w:spacing w:after="0" w:line="174" w:lineRule="exact"/>
        <w:rPr>
          <w:sz w:val="20"/>
          <w:szCs w:val="20"/>
          <w:color w:val="auto"/>
        </w:rPr>
      </w:pPr>
    </w:p>
    <w:p>
      <w:pPr>
        <w:ind w:right="320"/>
        <w:spacing w:after="0" w:line="249" w:lineRule="auto"/>
        <w:rPr>
          <w:sz w:val="20"/>
          <w:szCs w:val="20"/>
          <w:color w:val="auto"/>
        </w:rPr>
      </w:pPr>
      <w:r>
        <w:rPr>
          <w:rFonts w:ascii="Arial" w:cs="Arial" w:eastAsia="Arial" w:hAnsi="Arial"/>
          <w:sz w:val="16"/>
          <w:szCs w:val="16"/>
          <w:color w:val="auto"/>
        </w:rPr>
        <w:t>Revenues for the 53-week Fiscal 2013 were $803.2 million, an increase of 38.1%, versus revenues of $581.7 million for the 52-week Fiscal 2012. The Company reported operating income of $44.4 million for Fiscal 2013, a 366.1% increase from $9.5 million for Fiscal 2012. Net income for Fiscal 2013 was $32.0 million, or $1.13 per diluted share, versus $ 45.0 million, or $1.54 per diluted share for Fiscal 2012. A tax benefit was recorded in Fiscal 2012 due to a $37.7 million reduction in the valuation allowance on deferred tax assets. Excluding the impact of the non-cash tax benefit of the reduction in valuation allowance, net income for Fiscal 2013 was $7.3 million or $0.25 per diluted share. When adjusting for the non-cash tax benefit recorded in Fiscal 2012, earnings per share grew by 352% in fiscal 2013.</w:t>
      </w:r>
    </w:p>
    <w:p>
      <w:pPr>
        <w:spacing w:after="0" w:line="178"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“Increased consumer and dealer demand for our products drove our exceptional growth in Fiscal 2013,” said Winnebago Industries' Chairman, CEO and President Randy Potts.</w:t>
      </w:r>
    </w:p>
    <w:p>
      <w:pPr>
        <w:spacing w:after="0" w:line="16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have introduced a number of new and exciting products in product segments and price points new to Winnebago Industries, which will provide us with additional growth opportunities in the future," said Potts. "Many of these products are starting production this fall, such as the new Class B Travato and the new Class C Trend and Viva!, all of which are built on the new Ram ProMaster chassis. We pride ourselves on being an innovator and first to market, and these are prime examples of that process. We have had six consecutive quarters of increased sales order backlog. We believe this reflects the positive dealer response to our new 2014 model year products."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Conference Call</w:t>
      </w:r>
    </w:p>
    <w:p>
      <w:pPr>
        <w:spacing w:after="0" w:line="5"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 xml:space="preserve">Winnebago Industries, Inc. will conduct a conference call in conjunction with this release at 9 a.m. Central Time today, Thursday, October 17, 2013.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About Winnebago Industries</w:t>
      </w:r>
    </w:p>
    <w:p>
      <w:pPr>
        <w:ind w:right="140"/>
        <w:spacing w:after="0" w:line="238"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builds quality motor homes, travel trailers, fifth wheel products, and transit buses under the Winnebago, Itasca, Winnebago Touring Coach, SunnyBrook and Metro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184"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w:t>
      </w:r>
    </w:p>
    <w:p>
      <w:pPr>
        <w:sectPr>
          <w:pgSz w:w="11900" w:h="16838" w:orient="portrait"/>
          <w:cols w:equalWidth="0" w:num="1">
            <w:col w:w="11420"/>
          </w:cols>
          <w:pgMar w:left="240" w:top="601" w:right="239" w:bottom="1440" w:gutter="0" w:footer="0" w:header="0"/>
        </w:sectPr>
      </w:pPr>
    </w:p>
    <w:bookmarkStart w:id="4" w:name="page5"/>
    <w:bookmarkEnd w:id="4"/>
    <w:p>
      <w:pPr>
        <w:spacing w:after="0" w:line="246" w:lineRule="auto"/>
        <w:rPr>
          <w:sz w:val="20"/>
          <w:szCs w:val="20"/>
          <w:color w:val="auto"/>
        </w:rPr>
      </w:pPr>
      <w:r>
        <w:rPr>
          <w:rFonts w:ascii="Arial" w:cs="Arial" w:eastAsia="Arial" w:hAnsi="Arial"/>
          <w:sz w:val="16"/>
          <w:szCs w:val="16"/>
          <w:color w:val="auto"/>
        </w:rPr>
        <w:t>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300"/>
          </w:cols>
          <w:pgMar w:left="240" w:top="601"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5"/>
          </w:tcPr>
          <w:p>
            <w:pPr>
              <w:ind w:left="560"/>
              <w:spacing w:after="0"/>
              <w:rPr>
                <w:sz w:val="20"/>
                <w:szCs w:val="20"/>
                <w:color w:val="auto"/>
              </w:rPr>
            </w:pPr>
            <w:r>
              <w:rPr>
                <w:rFonts w:ascii="Arial" w:cs="Arial" w:eastAsia="Arial" w:hAnsi="Arial"/>
                <w:sz w:val="18"/>
                <w:szCs w:val="18"/>
                <w:b w:val="1"/>
                <w:bCs w:val="1"/>
                <w:color w:val="auto"/>
              </w:rPr>
              <w:t>Quarter Ended</w:t>
            </w:r>
          </w:p>
        </w:tc>
        <w:tc>
          <w:tcPr>
            <w:tcW w:w="9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4"/>
          </w:tcPr>
          <w:p>
            <w:pPr>
              <w:ind w:left="460"/>
              <w:spacing w:after="0"/>
              <w:rPr>
                <w:sz w:val="20"/>
                <w:szCs w:val="20"/>
                <w:color w:val="auto"/>
              </w:rPr>
            </w:pPr>
            <w:r>
              <w:rPr>
                <w:rFonts w:ascii="Arial" w:cs="Arial" w:eastAsia="Arial" w:hAnsi="Arial"/>
                <w:sz w:val="18"/>
                <w:szCs w:val="18"/>
                <w:b w:val="1"/>
                <w:bCs w:val="1"/>
                <w:color w:val="auto"/>
              </w:rPr>
              <w:t>August 31, 2013</w:t>
            </w: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520"/>
              <w:spacing w:after="0"/>
              <w:rPr>
                <w:sz w:val="20"/>
                <w:szCs w:val="20"/>
                <w:color w:val="auto"/>
              </w:rPr>
            </w:pPr>
            <w:r>
              <w:rPr>
                <w:rFonts w:ascii="Arial" w:cs="Arial" w:eastAsia="Arial" w:hAnsi="Arial"/>
                <w:sz w:val="18"/>
                <w:szCs w:val="18"/>
                <w:b w:val="1"/>
                <w:bCs w:val="1"/>
                <w:color w:val="auto"/>
              </w:rPr>
              <w:t>August 25, 2012</w:t>
            </w: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8"/>
              </w:rPr>
              <w:t>214,246</w:t>
            </w:r>
          </w:p>
        </w:tc>
        <w:tc>
          <w:tcPr>
            <w:tcW w:w="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100.0 %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162,533</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100.0 %</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4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8"/>
              </w:rPr>
              <w:t>188,750</w:t>
            </w:r>
          </w:p>
        </w:tc>
        <w:tc>
          <w:tcPr>
            <w:tcW w:w="3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88.1 %</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146,266</w:t>
            </w: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90.0 %</w:t>
            </w: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25,496</w:t>
            </w:r>
          </w:p>
        </w:tc>
        <w:tc>
          <w:tcPr>
            <w:tcW w:w="3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11.9 %</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16,267</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7"/>
        </w:trPr>
        <w:tc>
          <w:tcPr>
            <w:tcW w:w="42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w:t>
            </w: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4,669</w:t>
            </w:r>
          </w:p>
        </w:tc>
        <w:tc>
          <w:tcPr>
            <w:tcW w:w="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4,352</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63"/>
        </w:trPr>
        <w:tc>
          <w:tcPr>
            <w:tcW w:w="42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5,495</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5,329</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70"/>
        </w:trPr>
        <w:tc>
          <w:tcPr>
            <w:tcW w:w="42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Asset held for sale impairment</w:t>
            </w:r>
          </w:p>
        </w:tc>
        <w:tc>
          <w:tcPr>
            <w:tcW w:w="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60" w:type="dxa"/>
            <w:vAlign w:val="bottom"/>
            <w:gridSpan w:val="4"/>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10,164</w:t>
            </w:r>
          </w:p>
        </w:tc>
        <w:tc>
          <w:tcPr>
            <w:tcW w:w="3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4.7 %</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9,731</w:t>
            </w: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15,332</w:t>
            </w: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6,536</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64"/>
        </w:trPr>
        <w:tc>
          <w:tcPr>
            <w:tcW w:w="4280" w:type="dxa"/>
            <w:vAlign w:val="bottom"/>
          </w:tcPr>
          <w:p>
            <w:pPr>
              <w:ind w:left="40"/>
              <w:spacing w:after="0"/>
              <w:rPr>
                <w:sz w:val="20"/>
                <w:szCs w:val="20"/>
                <w:color w:val="auto"/>
              </w:rPr>
            </w:pPr>
            <w:r>
              <w:rPr>
                <w:rFonts w:ascii="Arial" w:cs="Arial" w:eastAsia="Arial" w:hAnsi="Arial"/>
                <w:sz w:val="18"/>
                <w:szCs w:val="18"/>
                <w:color w:val="auto"/>
              </w:rPr>
              <w:t>Non-operating (expense) income</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7"/>
        </w:trPr>
        <w:tc>
          <w:tcPr>
            <w:tcW w:w="4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15,289</w:t>
            </w:r>
          </w:p>
        </w:tc>
        <w:tc>
          <w:tcPr>
            <w:tcW w:w="3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7.1 %</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6,568</w:t>
            </w:r>
          </w:p>
        </w:tc>
        <w:tc>
          <w:tcPr>
            <w:tcW w:w="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(benefit) for taxes</w:t>
            </w:r>
          </w:p>
        </w:tc>
        <w:tc>
          <w:tcPr>
            <w:tcW w:w="4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4,673</w:t>
            </w:r>
          </w:p>
        </w:tc>
        <w:tc>
          <w:tcPr>
            <w:tcW w:w="3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(34,340)</w:t>
            </w: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10,616</w:t>
            </w: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5.0 %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40,908</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25.2 %</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40"/>
              <w:spacing w:after="0"/>
              <w:rPr>
                <w:sz w:val="20"/>
                <w:szCs w:val="20"/>
                <w:color w:val="auto"/>
              </w:rPr>
            </w:pPr>
            <w:r>
              <w:rPr>
                <w:rFonts w:ascii="Arial" w:cs="Arial" w:eastAsia="Arial" w:hAnsi="Arial"/>
                <w:sz w:val="18"/>
                <w:szCs w:val="18"/>
                <w:color w:val="auto"/>
              </w:rPr>
              <w:t>Income per common share:</w:t>
            </w: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0.38</w:t>
            </w:r>
          </w:p>
        </w:tc>
        <w:tc>
          <w:tcPr>
            <w:tcW w:w="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1.41</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80" w:type="dxa"/>
            <w:vAlign w:val="bottom"/>
          </w:tcPr>
          <w:p>
            <w:pPr>
              <w:ind w:left="240"/>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2"/>
                <w:szCs w:val="22"/>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0.38</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1.41</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80" w:type="dxa"/>
            <w:vAlign w:val="bottom"/>
          </w:tcPr>
          <w:p>
            <w:pPr>
              <w:ind w:left="24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27,912</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29,065</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28,019</w:t>
            </w:r>
          </w:p>
        </w:tc>
        <w:tc>
          <w:tcPr>
            <w:tcW w:w="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29,094</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4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w w:val="92"/>
              </w:rPr>
              <w:t>Year</w:t>
            </w:r>
            <w:r>
              <w:rPr>
                <w:rFonts w:ascii="Arial" w:cs="Arial" w:eastAsia="Arial" w:hAnsi="Arial"/>
                <w:sz w:val="21"/>
                <w:szCs w:val="21"/>
                <w:b w:val="1"/>
                <w:bCs w:val="1"/>
                <w:color w:val="auto"/>
                <w:w w:val="92"/>
                <w:vertAlign w:val="superscript"/>
              </w:rPr>
              <w:t>(1)</w:t>
            </w:r>
          </w:p>
        </w:tc>
        <w:tc>
          <w:tcPr>
            <w:tcW w:w="242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rPr>
              <w:t>Ended</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2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6"/>
          </w:tcPr>
          <w:p>
            <w:pPr>
              <w:ind w:left="720"/>
              <w:spacing w:after="0"/>
              <w:rPr>
                <w:sz w:val="20"/>
                <w:szCs w:val="20"/>
                <w:color w:val="auto"/>
              </w:rPr>
            </w:pPr>
            <w:r>
              <w:rPr>
                <w:rFonts w:ascii="Arial" w:cs="Arial" w:eastAsia="Arial" w:hAnsi="Arial"/>
                <w:sz w:val="18"/>
                <w:szCs w:val="18"/>
                <w:b w:val="1"/>
                <w:bCs w:val="1"/>
                <w:color w:val="auto"/>
              </w:rPr>
              <w:t>August 31, 2013</w:t>
            </w: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6"/>
          </w:tcPr>
          <w:p>
            <w:pPr>
              <w:jc w:val="right"/>
              <w:ind w:right="830"/>
              <w:spacing w:after="0"/>
              <w:rPr>
                <w:sz w:val="20"/>
                <w:szCs w:val="20"/>
                <w:color w:val="auto"/>
              </w:rPr>
            </w:pPr>
            <w:r>
              <w:rPr>
                <w:rFonts w:ascii="Arial" w:cs="Arial" w:eastAsia="Arial" w:hAnsi="Arial"/>
                <w:sz w:val="18"/>
                <w:szCs w:val="18"/>
                <w:b w:val="1"/>
                <w:bCs w:val="1"/>
                <w:color w:val="auto"/>
              </w:rPr>
              <w:t>August 25, 2012</w:t>
            </w:r>
          </w:p>
        </w:tc>
        <w:tc>
          <w:tcPr>
            <w:tcW w:w="0" w:type="dxa"/>
            <w:vAlign w:val="bottom"/>
          </w:tcPr>
          <w:p>
            <w:pPr>
              <w:spacing w:after="0"/>
              <w:rPr>
                <w:sz w:val="1"/>
                <w:szCs w:val="1"/>
                <w:color w:val="auto"/>
              </w:rPr>
            </w:pP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803,165</w:t>
            </w:r>
          </w:p>
        </w:tc>
        <w:tc>
          <w:tcPr>
            <w:tcW w:w="2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581,679</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100.0 %</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4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718,534</w:t>
            </w:r>
          </w:p>
        </w:tc>
        <w:tc>
          <w:tcPr>
            <w:tcW w:w="2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537,999</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92.5 %</w:t>
            </w: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84,631</w:t>
            </w:r>
          </w:p>
        </w:tc>
        <w:tc>
          <w:tcPr>
            <w:tcW w:w="2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43,680</w:t>
            </w:r>
          </w:p>
        </w:tc>
        <w:tc>
          <w:tcPr>
            <w:tcW w:w="40" w:type="dxa"/>
            <w:vAlign w:val="bottom"/>
            <w:tcBorders>
              <w:bottom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57"/>
        </w:trPr>
        <w:tc>
          <w:tcPr>
            <w:tcW w:w="42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w:t>
            </w: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18,318</w:t>
            </w: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16,837</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63"/>
        </w:trPr>
        <w:tc>
          <w:tcPr>
            <w:tcW w:w="42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21,887</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17,267</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0"/>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Assets held for sale loss and impairment</w:t>
            </w:r>
          </w:p>
        </w:tc>
        <w:tc>
          <w:tcPr>
            <w:tcW w:w="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40,233</w:t>
            </w:r>
          </w:p>
        </w:tc>
        <w:tc>
          <w:tcPr>
            <w:tcW w:w="2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auto"/>
              <w:bottom w:val="single" w:sz="8" w:color="auto"/>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34,154</w:t>
            </w:r>
          </w:p>
        </w:tc>
        <w:tc>
          <w:tcPr>
            <w:tcW w:w="40" w:type="dxa"/>
            <w:vAlign w:val="bottom"/>
            <w:tcBorders>
              <w:top w:val="single" w:sz="8" w:color="auto"/>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44,398</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Non-operating income</w:t>
            </w:r>
          </w:p>
        </w:tc>
        <w:tc>
          <w:tcPr>
            <w:tcW w:w="4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696</w:t>
            </w:r>
          </w:p>
        </w:tc>
        <w:tc>
          <w:tcPr>
            <w:tcW w:w="2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45,094</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10,107</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(benefit) for taxes</w:t>
            </w:r>
          </w:p>
        </w:tc>
        <w:tc>
          <w:tcPr>
            <w:tcW w:w="4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13,141</w:t>
            </w:r>
          </w:p>
        </w:tc>
        <w:tc>
          <w:tcPr>
            <w:tcW w:w="2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(34,865)</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31,953</w:t>
            </w:r>
          </w:p>
        </w:tc>
        <w:tc>
          <w:tcPr>
            <w:tcW w:w="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44,972</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per common share:</w:t>
            </w: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80" w:type="dxa"/>
            <w:vAlign w:val="bottom"/>
          </w:tcPr>
          <w:p>
            <w:pPr>
              <w:ind w:left="240"/>
              <w:spacing w:after="0"/>
              <w:rPr>
                <w:sz w:val="20"/>
                <w:szCs w:val="20"/>
                <w:color w:val="auto"/>
              </w:rPr>
            </w:pPr>
            <w:r>
              <w:rPr>
                <w:rFonts w:ascii="Arial" w:cs="Arial" w:eastAsia="Arial" w:hAnsi="Arial"/>
                <w:sz w:val="18"/>
                <w:szCs w:val="18"/>
                <w:color w:val="auto"/>
              </w:rPr>
              <w:t>Diluted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280" w:type="dxa"/>
            <w:vAlign w:val="bottom"/>
          </w:tcPr>
          <w:p>
            <w:pPr>
              <w:ind w:left="24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28,075</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29,145</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28,170</w:t>
            </w: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29,207</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pacing w:after="0" w:line="147"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The fiscal year ended August 31, 2013 and August 25, 2012 contained 53 weeks and 52 weeks, respectively.</w:t>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31,</w:t>
            </w:r>
          </w:p>
        </w:tc>
        <w:tc>
          <w:tcPr>
            <w:tcW w:w="220" w:type="dxa"/>
            <w:vAlign w:val="bottom"/>
          </w:tcPr>
          <w:p>
            <w:pPr>
              <w:spacing w:after="0"/>
              <w:rPr>
                <w:sz w:val="17"/>
                <w:szCs w:val="17"/>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August 25,</w:t>
            </w:r>
          </w:p>
        </w:tc>
      </w:tr>
      <w:tr>
        <w:trPr>
          <w:trHeight w:val="246"/>
        </w:trPr>
        <w:tc>
          <w:tcPr>
            <w:tcW w:w="78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64,277</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62,683</w:t>
            </w:r>
          </w:p>
        </w:tc>
      </w:tr>
      <w:tr>
        <w:trPr>
          <w:trHeight w:val="263"/>
        </w:trPr>
        <w:tc>
          <w:tcPr>
            <w:tcW w:w="786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29,145</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22,726</w:t>
            </w: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112,541</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87,094</w:t>
            </w:r>
          </w:p>
        </w:tc>
      </w:tr>
      <w:tr>
        <w:trPr>
          <w:trHeight w:val="263"/>
        </w:trPr>
        <w:tc>
          <w:tcPr>
            <w:tcW w:w="786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8,277</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4,509</w:t>
            </w: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1,868</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1,603</w:t>
            </w:r>
          </w:p>
        </w:tc>
      </w:tr>
      <w:tr>
        <w:trPr>
          <w:trHeight w:val="264"/>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7,742</w:t>
            </w:r>
          </w:p>
        </w:tc>
        <w:tc>
          <w:tcPr>
            <w:tcW w:w="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8,453</w:t>
            </w:r>
          </w:p>
        </w:tc>
      </w:tr>
      <w:tr>
        <w:trPr>
          <w:trHeight w:val="257"/>
        </w:trPr>
        <w:tc>
          <w:tcPr>
            <w:tcW w:w="7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223,850</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187,068</w:t>
            </w: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20,266</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19,978</w:t>
            </w:r>
          </w:p>
        </w:tc>
      </w:tr>
      <w:tr>
        <w:trPr>
          <w:trHeight w:val="27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held for sale</w:t>
            </w:r>
          </w:p>
        </w:tc>
        <w:tc>
          <w:tcPr>
            <w:tcW w:w="24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2,108</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9,074</w:t>
            </w:r>
          </w:p>
        </w:tc>
      </w:tr>
      <w:tr>
        <w:trPr>
          <w:trHeight w:val="27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in life insurance</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25,051</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23,127</w:t>
            </w: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25,649</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30,520</w:t>
            </w:r>
          </w:p>
        </w:tc>
      </w:tr>
      <w:tr>
        <w:trPr>
          <w:trHeight w:val="27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1,228</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Amortizable intangible assets</w:t>
            </w:r>
          </w:p>
        </w:tc>
        <w:tc>
          <w:tcPr>
            <w:tcW w:w="240" w:type="dxa"/>
            <w:vAlign w:val="bottom"/>
          </w:tcPr>
          <w:p>
            <w:pPr>
              <w:spacing w:after="0"/>
              <w:rPr>
                <w:sz w:val="22"/>
                <w:szCs w:val="22"/>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641</w:t>
            </w: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10,993</w:t>
            </w:r>
          </w:p>
        </w:tc>
        <w:tc>
          <w:tcPr>
            <w:tcW w:w="3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13,886</w:t>
            </w:r>
          </w:p>
        </w:tc>
      </w:tr>
      <w:tr>
        <w:trPr>
          <w:trHeight w:val="297"/>
        </w:trPr>
        <w:tc>
          <w:tcPr>
            <w:tcW w:w="78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309,145</w:t>
            </w:r>
          </w:p>
        </w:tc>
        <w:tc>
          <w:tcPr>
            <w:tcW w:w="3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286,072</w:t>
            </w:r>
          </w:p>
        </w:tc>
      </w:tr>
      <w:tr>
        <w:trPr>
          <w:trHeight w:val="251"/>
        </w:trPr>
        <w:tc>
          <w:tcPr>
            <w:tcW w:w="7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3"/>
        </w:trPr>
        <w:tc>
          <w:tcPr>
            <w:tcW w:w="786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28,142</w:t>
            </w:r>
          </w:p>
        </w:tc>
        <w:tc>
          <w:tcPr>
            <w:tcW w:w="34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24,920</w:t>
            </w: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64"/>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42,212</w:t>
            </w:r>
          </w:p>
        </w:tc>
        <w:tc>
          <w:tcPr>
            <w:tcW w:w="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35,750</w:t>
            </w:r>
          </w:p>
        </w:tc>
      </w:tr>
      <w:tr>
        <w:trPr>
          <w:trHeight w:val="257"/>
        </w:trPr>
        <w:tc>
          <w:tcPr>
            <w:tcW w:w="7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70,354</w:t>
            </w:r>
          </w:p>
        </w:tc>
        <w:tc>
          <w:tcPr>
            <w:tcW w:w="3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61,018</w:t>
            </w: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color w:val="auto"/>
              </w:rPr>
              <w:t>Long-term liabilities:</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Unrecognized tax benefits</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3,988</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5,228</w:t>
            </w:r>
          </w:p>
        </w:tc>
      </w:tr>
      <w:tr>
        <w:trPr>
          <w:trHeight w:val="264"/>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Postretirement health care and deferred compensation benefits, net of current portion</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64,074</w:t>
            </w:r>
          </w:p>
        </w:tc>
        <w:tc>
          <w:tcPr>
            <w:tcW w:w="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75,135</w:t>
            </w:r>
          </w:p>
        </w:tc>
      </w:tr>
      <w:tr>
        <w:trPr>
          <w:trHeight w:val="257"/>
        </w:trPr>
        <w:tc>
          <w:tcPr>
            <w:tcW w:w="7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68,062</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80,363</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170,729</w:t>
            </w:r>
          </w:p>
        </w:tc>
        <w:tc>
          <w:tcPr>
            <w:tcW w:w="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144,691</w:t>
            </w:r>
          </w:p>
        </w:tc>
      </w:tr>
      <w:tr>
        <w:trPr>
          <w:trHeight w:val="257"/>
        </w:trPr>
        <w:tc>
          <w:tcPr>
            <w:tcW w:w="7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309,145</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286,072</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6"/>
                <w:szCs w:val="16"/>
                <w:b w:val="1"/>
                <w:bCs w:val="1"/>
                <w:color w:val="auto"/>
              </w:rPr>
              <w:t>Year</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Ended</w:t>
            </w:r>
          </w:p>
        </w:tc>
      </w:tr>
      <w:tr>
        <w:trPr>
          <w:trHeight w:val="191"/>
        </w:trPr>
        <w:tc>
          <w:tcPr>
            <w:tcW w:w="8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31,</w:t>
            </w:r>
          </w:p>
        </w:tc>
        <w:tc>
          <w:tcPr>
            <w:tcW w:w="300" w:type="dxa"/>
            <w:vAlign w:val="bottom"/>
          </w:tcPr>
          <w:p>
            <w:pPr>
              <w:spacing w:after="0"/>
              <w:rPr>
                <w:sz w:val="16"/>
                <w:szCs w:val="16"/>
                <w:color w:val="auto"/>
              </w:rPr>
            </w:pPr>
          </w:p>
        </w:tc>
        <w:tc>
          <w:tcPr>
            <w:tcW w:w="134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25,</w:t>
            </w:r>
          </w:p>
        </w:tc>
      </w:tr>
      <w:tr>
        <w:trPr>
          <w:trHeight w:val="228"/>
        </w:trPr>
        <w:tc>
          <w:tcPr>
            <w:tcW w:w="8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2012</w:t>
            </w:r>
          </w:p>
        </w:tc>
      </w:tr>
      <w:tr>
        <w:trPr>
          <w:trHeight w:val="270"/>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31,953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44,972</w:t>
            </w:r>
          </w:p>
        </w:tc>
      </w:tr>
      <w:tr>
        <w:trPr>
          <w:trHeight w:val="280"/>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4,764</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4,872</w:t>
            </w: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LIFO income</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(1,180)</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(613)</w:t>
            </w: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245</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570</w:t>
            </w: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3,009</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1,918</w:t>
            </w: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Asset impairment</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50</w:t>
            </w:r>
          </w:p>
        </w:tc>
      </w:tr>
      <w:tr>
        <w:trPr>
          <w:trHeight w:val="253"/>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doubtful accounts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125</w:t>
            </w: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Deferred income taxes including valuation allowance</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1,790</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(34,749)</w:t>
            </w: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life insurance</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(529)</w:t>
            </w: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Loss on sale of investment</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53"/>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in cash surrender value of life insurance policies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(1,030)</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(732)</w:t>
            </w:r>
          </w:p>
        </w:tc>
      </w:tr>
      <w:tr>
        <w:trPr>
          <w:trHeight w:val="233"/>
        </w:trPr>
        <w:tc>
          <w:tcPr>
            <w:tcW w:w="8260" w:type="dxa"/>
            <w:vAlign w:val="bottom"/>
          </w:tcPr>
          <w:p>
            <w:pPr>
              <w:ind w:left="220"/>
              <w:spacing w:after="0"/>
              <w:rPr>
                <w:sz w:val="20"/>
                <w:szCs w:val="20"/>
                <w:color w:val="auto"/>
              </w:rPr>
            </w:pPr>
            <w:r>
              <w:rPr>
                <w:rFonts w:ascii="Arial" w:cs="Arial" w:eastAsia="Arial" w:hAnsi="Arial"/>
                <w:sz w:val="16"/>
                <w:szCs w:val="16"/>
                <w:color w:val="auto"/>
              </w:rPr>
              <w:t>(Gain) loss on disposal of property</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28</w:t>
            </w:r>
          </w:p>
        </w:tc>
      </w:tr>
      <w:tr>
        <w:trPr>
          <w:trHeight w:val="280"/>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(24,267)</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(17,316)</w:t>
            </w: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Receivables, prepaid and other assets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(8,908)</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(2,085)</w:t>
            </w:r>
          </w:p>
        </w:tc>
      </w:tr>
      <w:tr>
        <w:trPr>
          <w:trHeight w:val="233"/>
        </w:trPr>
        <w:tc>
          <w:tcPr>
            <w:tcW w:w="8260" w:type="dxa"/>
            <w:vAlign w:val="bottom"/>
          </w:tcPr>
          <w:p>
            <w:pPr>
              <w:ind w:left="260"/>
              <w:spacing w:after="0"/>
              <w:rPr>
                <w:sz w:val="20"/>
                <w:szCs w:val="20"/>
                <w:color w:val="auto"/>
              </w:rPr>
            </w:pPr>
            <w:r>
              <w:rPr>
                <w:rFonts w:ascii="Arial" w:cs="Arial" w:eastAsia="Arial" w:hAnsi="Arial"/>
                <w:sz w:val="16"/>
                <w:szCs w:val="16"/>
                <w:color w:val="auto"/>
              </w:rPr>
              <w:t>Income taxes and unrecognized tax benefits</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7</w:t>
            </w: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8,939</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7,627</w:t>
            </w:r>
          </w:p>
        </w:tc>
      </w:tr>
      <w:tr>
        <w:trPr>
          <w:trHeight w:val="237"/>
        </w:trPr>
        <w:tc>
          <w:tcPr>
            <w:tcW w:w="8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(4,322)</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(4,030)</w:t>
            </w:r>
          </w:p>
        </w:tc>
      </w:tr>
      <w:tr>
        <w:trPr>
          <w:trHeight w:val="237"/>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10,238</w:t>
            </w: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115</w:t>
            </w:r>
          </w:p>
        </w:tc>
      </w:tr>
      <w:tr>
        <w:trPr>
          <w:trHeight w:val="162"/>
        </w:trPr>
        <w:tc>
          <w:tcPr>
            <w:tcW w:w="8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70"/>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Proceeds from the sale of investments</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7,300</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1,050</w:t>
            </w: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life insurance</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1,004</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1,652</w:t>
            </w: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Purchases of property and equipment</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(4,422)</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(2,213)</w:t>
            </w: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the sale of property</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734</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w:t>
            </w:r>
          </w:p>
        </w:tc>
      </w:tr>
      <w:tr>
        <w:trPr>
          <w:trHeight w:val="250"/>
        </w:trPr>
        <w:tc>
          <w:tcPr>
            <w:tcW w:w="8260" w:type="dxa"/>
            <w:vAlign w:val="bottom"/>
          </w:tcPr>
          <w:p>
            <w:pPr>
              <w:ind w:left="280"/>
              <w:spacing w:after="0"/>
              <w:rPr>
                <w:sz w:val="20"/>
                <w:szCs w:val="20"/>
                <w:color w:val="auto"/>
              </w:rPr>
            </w:pPr>
            <w:r>
              <w:rPr>
                <w:rFonts w:ascii="Arial" w:cs="Arial" w:eastAsia="Arial" w:hAnsi="Arial"/>
                <w:sz w:val="16"/>
                <w:szCs w:val="16"/>
                <w:color w:val="auto"/>
              </w:rPr>
              <w:t>Repayments of COLI borrowings</w:t>
            </w:r>
          </w:p>
        </w:tc>
        <w:tc>
          <w:tcPr>
            <w:tcW w:w="240" w:type="dxa"/>
            <w:vAlign w:val="bottom"/>
          </w:tcPr>
          <w:p>
            <w:pPr>
              <w:spacing w:after="0"/>
              <w:rPr>
                <w:sz w:val="21"/>
                <w:szCs w:val="21"/>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(1,371)</w:t>
            </w:r>
          </w:p>
        </w:tc>
        <w:tc>
          <w:tcPr>
            <w:tcW w:w="30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822</w:t>
            </w: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(624)</w:t>
            </w:r>
          </w:p>
        </w:tc>
      </w:tr>
      <w:tr>
        <w:trPr>
          <w:trHeight w:val="237"/>
        </w:trPr>
        <w:tc>
          <w:tcPr>
            <w:tcW w:w="8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4,067</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(118)</w:t>
            </w:r>
          </w:p>
        </w:tc>
      </w:tr>
      <w:tr>
        <w:trPr>
          <w:trHeight w:val="162"/>
        </w:trPr>
        <w:tc>
          <w:tcPr>
            <w:tcW w:w="8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60"/>
        </w:trPr>
        <w:tc>
          <w:tcPr>
            <w:tcW w:w="826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for purchase of common stock</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(12,718)</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(6,604)</w:t>
            </w:r>
          </w:p>
        </w:tc>
      </w:tr>
      <w:tr>
        <w:trPr>
          <w:trHeight w:val="233"/>
        </w:trPr>
        <w:tc>
          <w:tcPr>
            <w:tcW w:w="8260" w:type="dxa"/>
            <w:vAlign w:val="bottom"/>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75</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46"/>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r>
      <w:tr>
        <w:trPr>
          <w:trHeight w:val="237"/>
        </w:trPr>
        <w:tc>
          <w:tcPr>
            <w:tcW w:w="8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(12,711)</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(6,621)</w:t>
            </w:r>
          </w:p>
        </w:tc>
      </w:tr>
      <w:tr>
        <w:trPr>
          <w:trHeight w:val="162"/>
        </w:trPr>
        <w:tc>
          <w:tcPr>
            <w:tcW w:w="8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33"/>
        </w:trPr>
        <w:tc>
          <w:tcPr>
            <w:tcW w:w="826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1,594</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(6,624)</w:t>
            </w:r>
          </w:p>
        </w:tc>
      </w:tr>
      <w:tr>
        <w:trPr>
          <w:trHeight w:val="246"/>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62,683</w:t>
            </w: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69,307</w:t>
            </w:r>
          </w:p>
        </w:tc>
      </w:tr>
      <w:tr>
        <w:trPr>
          <w:trHeight w:val="280"/>
        </w:trPr>
        <w:tc>
          <w:tcPr>
            <w:tcW w:w="8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64,277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62,683</w:t>
            </w:r>
          </w:p>
        </w:tc>
      </w:tr>
      <w:tr>
        <w:trPr>
          <w:trHeight w:val="146"/>
        </w:trPr>
        <w:tc>
          <w:tcPr>
            <w:tcW w:w="8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260"/>
        </w:trPr>
        <w:tc>
          <w:tcPr>
            <w:tcW w:w="8260" w:type="dxa"/>
            <w:vAlign w:val="bottom"/>
          </w:tcPr>
          <w:p>
            <w:pPr>
              <w:ind w:left="40"/>
              <w:spacing w:after="0"/>
              <w:rPr>
                <w:sz w:val="20"/>
                <w:szCs w:val="20"/>
                <w:color w:val="auto"/>
              </w:rPr>
            </w:pPr>
            <w:r>
              <w:rPr>
                <w:rFonts w:ascii="Arial" w:cs="Arial" w:eastAsia="Arial" w:hAnsi="Arial"/>
                <w:sz w:val="16"/>
                <w:szCs w:val="16"/>
                <w:color w:val="auto"/>
              </w:rPr>
              <w:t>Supplemental cash flow disclosure:</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3"/>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paid (refunded), net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11,500</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(134)</w:t>
            </w:r>
          </w:p>
        </w:tc>
      </w:tr>
    </w:tbl>
    <w:p>
      <w:pPr>
        <w:spacing w:after="0" w:line="171"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The fiscal year ended August 31, 2013 and August 25, 2012 contained 53 weeks and 52 weeks, respectively.</w:t>
      </w:r>
    </w:p>
    <w:p>
      <w:pPr>
        <w:sectPr>
          <w:pgSz w:w="11900" w:h="16838" w:orient="portrait"/>
          <w:cols w:equalWidth="0" w:num="1">
            <w:col w:w="11420"/>
          </w:cols>
          <w:pgMar w:left="240" w:top="57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Deliveries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16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8"/>
                <w:szCs w:val="18"/>
                <w:b w:val="1"/>
                <w:bCs w:val="1"/>
                <w:color w:val="auto"/>
              </w:rPr>
              <w:t>Quarter Ended</w:t>
            </w:r>
          </w:p>
        </w:tc>
        <w:tc>
          <w:tcPr>
            <w:tcW w:w="12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979"/>
              <w:spacing w:after="0"/>
              <w:rPr>
                <w:sz w:val="20"/>
                <w:szCs w:val="20"/>
                <w:color w:val="auto"/>
              </w:rPr>
            </w:pPr>
            <w:r>
              <w:rPr>
                <w:rFonts w:ascii="Arial" w:cs="Arial" w:eastAsia="Arial" w:hAnsi="Arial"/>
                <w:sz w:val="18"/>
                <w:szCs w:val="18"/>
                <w:b w:val="1"/>
                <w:bCs w:val="1"/>
                <w:color w:val="auto"/>
                <w:w w:val="96"/>
              </w:rPr>
              <w:t>Change</w:t>
            </w:r>
          </w:p>
        </w:tc>
      </w:tr>
      <w:tr>
        <w:trPr>
          <w:trHeight w:val="198"/>
        </w:trPr>
        <w:tc>
          <w:tcPr>
            <w:tcW w:w="3160" w:type="dxa"/>
            <w:vAlign w:val="bottom"/>
          </w:tcPr>
          <w:p>
            <w:pPr>
              <w:spacing w:after="0"/>
              <w:rPr>
                <w:sz w:val="17"/>
                <w:szCs w:val="17"/>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August 31,</w:t>
            </w:r>
          </w:p>
        </w:tc>
        <w:tc>
          <w:tcPr>
            <w:tcW w:w="140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25,</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080" w:type="dxa"/>
            <w:vAlign w:val="bottom"/>
          </w:tcPr>
          <w:p>
            <w:pPr>
              <w:spacing w:after="0"/>
              <w:rPr>
                <w:sz w:val="17"/>
                <w:szCs w:val="17"/>
                <w:color w:val="auto"/>
              </w:rPr>
            </w:pPr>
          </w:p>
        </w:tc>
        <w:tc>
          <w:tcPr>
            <w:tcW w:w="1720" w:type="dxa"/>
            <w:vAlign w:val="bottom"/>
          </w:tcPr>
          <w:p>
            <w:pPr>
              <w:jc w:val="center"/>
              <w:ind w:left="17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2013</w:t>
            </w:r>
          </w:p>
        </w:tc>
        <w:tc>
          <w:tcPr>
            <w:tcW w:w="1400" w:type="dxa"/>
            <w:vAlign w:val="bottom"/>
            <w:gridSpan w:val="2"/>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1400" w:type="dxa"/>
            <w:vAlign w:val="bottom"/>
            <w:gridSpan w:val="2"/>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Units</w:t>
            </w:r>
          </w:p>
        </w:tc>
        <w:tc>
          <w:tcPr>
            <w:tcW w:w="1720" w:type="dxa"/>
            <w:vAlign w:val="bottom"/>
          </w:tcPr>
          <w:p>
            <w:pPr>
              <w:jc w:val="center"/>
              <w:ind w:left="179"/>
              <w:spacing w:after="0"/>
              <w:rPr>
                <w:sz w:val="20"/>
                <w:szCs w:val="20"/>
                <w:color w:val="auto"/>
              </w:rPr>
            </w:pPr>
            <w:r>
              <w:rPr>
                <w:rFonts w:ascii="Arial" w:cs="Arial" w:eastAsia="Arial" w:hAnsi="Arial"/>
                <w:sz w:val="16"/>
                <w:szCs w:val="16"/>
                <w:b w:val="1"/>
                <w:bCs w:val="1"/>
                <w:color w:val="auto"/>
                <w:w w:val="98"/>
              </w:rPr>
              <w:t>Change</w:t>
            </w:r>
          </w:p>
        </w:tc>
      </w:tr>
      <w:tr>
        <w:trPr>
          <w:trHeight w:val="250"/>
        </w:trPr>
        <w:tc>
          <w:tcPr>
            <w:tcW w:w="3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667</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35.3%</w:t>
            </w:r>
          </w:p>
        </w:tc>
        <w:tc>
          <w:tcPr>
            <w:tcW w:w="10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485</w:t>
            </w:r>
          </w:p>
        </w:tc>
        <w:tc>
          <w:tcPr>
            <w:tcW w:w="12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36.7%</w:t>
            </w:r>
          </w:p>
        </w:tc>
        <w:tc>
          <w:tcPr>
            <w:tcW w:w="12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7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37.5 %</w:t>
            </w:r>
          </w:p>
        </w:tc>
      </w:tr>
      <w:tr>
        <w:trPr>
          <w:trHeight w:val="264"/>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326</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230</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41.7 %</w:t>
            </w:r>
          </w:p>
        </w:tc>
      </w:tr>
      <w:tr>
        <w:trPr>
          <w:trHeight w:val="257"/>
        </w:trPr>
        <w:tc>
          <w:tcPr>
            <w:tcW w:w="3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993</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715</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54.1%</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7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38.9 %</w:t>
            </w:r>
          </w:p>
        </w:tc>
      </w:tr>
      <w:tr>
        <w:trPr>
          <w:trHeight w:val="260"/>
        </w:trPr>
        <w:tc>
          <w:tcPr>
            <w:tcW w:w="3160" w:type="dxa"/>
            <w:vAlign w:val="bottom"/>
          </w:tcPr>
          <w:p>
            <w:pPr>
              <w:ind w:left="40"/>
              <w:spacing w:after="0"/>
              <w:rPr>
                <w:sz w:val="20"/>
                <w:szCs w:val="20"/>
                <w:color w:val="auto"/>
              </w:rPr>
            </w:pPr>
            <w:r>
              <w:rPr>
                <w:rFonts w:ascii="Arial" w:cs="Arial" w:eastAsia="Arial" w:hAnsi="Arial"/>
                <w:sz w:val="16"/>
                <w:szCs w:val="16"/>
                <w:color w:val="auto"/>
              </w:rPr>
              <w:t>Class B</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109</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2"/>
                <w:szCs w:val="22"/>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104</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720" w:type="dxa"/>
            <w:vAlign w:val="bottom"/>
          </w:tcPr>
          <w:p>
            <w:pPr>
              <w:jc w:val="right"/>
              <w:ind w:right="99"/>
              <w:spacing w:after="0"/>
              <w:rPr>
                <w:sz w:val="20"/>
                <w:szCs w:val="20"/>
                <w:color w:val="auto"/>
              </w:rPr>
            </w:pPr>
            <w:r>
              <w:rPr>
                <w:rFonts w:ascii="Arial" w:cs="Arial" w:eastAsia="Arial" w:hAnsi="Arial"/>
                <w:sz w:val="16"/>
                <w:szCs w:val="16"/>
                <w:color w:val="auto"/>
              </w:rPr>
              <w:t>4.8 %</w:t>
            </w:r>
          </w:p>
        </w:tc>
      </w:tr>
      <w:tr>
        <w:trPr>
          <w:trHeight w:val="273"/>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788</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502</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7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57.0 %</w:t>
            </w:r>
          </w:p>
        </w:tc>
      </w:tr>
      <w:tr>
        <w:trPr>
          <w:trHeight w:val="280"/>
        </w:trPr>
        <w:tc>
          <w:tcPr>
            <w:tcW w:w="3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 homes</w:t>
            </w: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1,890</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1,321</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w:t>
            </w:r>
          </w:p>
        </w:tc>
        <w:tc>
          <w:tcPr>
            <w:tcW w:w="1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43.1 %</w:t>
            </w:r>
          </w:p>
        </w:tc>
      </w:tr>
      <w:tr>
        <w:trPr>
          <w:trHeight w:val="173"/>
        </w:trPr>
        <w:tc>
          <w:tcPr>
            <w:tcW w:w="3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60"/>
        </w:trPr>
        <w:tc>
          <w:tcPr>
            <w:tcW w:w="316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605</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22"/>
                <w:szCs w:val="22"/>
                <w:color w:val="auto"/>
              </w:rPr>
            </w:pPr>
          </w:p>
        </w:tc>
        <w:tc>
          <w:tcPr>
            <w:tcW w:w="1340" w:type="dxa"/>
            <w:vAlign w:val="bottom"/>
          </w:tcPr>
          <w:p>
            <w:pPr>
              <w:jc w:val="right"/>
              <w:ind w:right="499"/>
              <w:spacing w:after="0"/>
              <w:rPr>
                <w:sz w:val="20"/>
                <w:szCs w:val="20"/>
                <w:color w:val="auto"/>
              </w:rPr>
            </w:pPr>
            <w:r>
              <w:rPr>
                <w:rFonts w:ascii="Arial" w:cs="Arial" w:eastAsia="Arial" w:hAnsi="Arial"/>
                <w:sz w:val="16"/>
                <w:szCs w:val="16"/>
                <w:color w:val="auto"/>
              </w:rPr>
              <w:t>444</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w:t>
            </w:r>
          </w:p>
        </w:tc>
        <w:tc>
          <w:tcPr>
            <w:tcW w:w="1720" w:type="dxa"/>
            <w:vAlign w:val="bottom"/>
          </w:tcPr>
          <w:p>
            <w:pPr>
              <w:jc w:val="right"/>
              <w:ind w:right="99"/>
              <w:spacing w:after="0"/>
              <w:rPr>
                <w:sz w:val="20"/>
                <w:szCs w:val="20"/>
                <w:color w:val="auto"/>
              </w:rPr>
            </w:pPr>
            <w:r>
              <w:rPr>
                <w:rFonts w:ascii="Arial" w:cs="Arial" w:eastAsia="Arial" w:hAnsi="Arial"/>
                <w:sz w:val="16"/>
                <w:szCs w:val="16"/>
                <w:color w:val="auto"/>
              </w:rPr>
              <w:t>36.3 %</w:t>
            </w:r>
          </w:p>
        </w:tc>
      </w:tr>
      <w:tr>
        <w:trPr>
          <w:trHeight w:val="273"/>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3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112</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251</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7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(55.4)%</w:t>
            </w:r>
          </w:p>
        </w:tc>
      </w:tr>
      <w:tr>
        <w:trPr>
          <w:trHeight w:val="240"/>
        </w:trPr>
        <w:tc>
          <w:tcPr>
            <w:tcW w:w="3160" w:type="dxa"/>
            <w:vAlign w:val="bottom"/>
          </w:tcPr>
          <w:p>
            <w:pPr>
              <w:ind w:left="220"/>
              <w:spacing w:after="0"/>
              <w:rPr>
                <w:sz w:val="20"/>
                <w:szCs w:val="20"/>
                <w:color w:val="auto"/>
              </w:rPr>
            </w:pPr>
            <w:r>
              <w:rPr>
                <w:rFonts w:ascii="Arial" w:cs="Arial" w:eastAsia="Arial" w:hAnsi="Arial"/>
                <w:sz w:val="16"/>
                <w:szCs w:val="16"/>
                <w:color w:val="auto"/>
              </w:rPr>
              <w:t>Total towables</w:t>
            </w: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717</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695</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3.2 %</w:t>
            </w:r>
          </w:p>
        </w:tc>
      </w:tr>
      <w:tr>
        <w:trPr>
          <w:trHeight w:val="20"/>
        </w:trPr>
        <w:tc>
          <w:tcPr>
            <w:tcW w:w="3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443"/>
        </w:trPr>
        <w:tc>
          <w:tcPr>
            <w:tcW w:w="316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6"/>
                <w:szCs w:val="16"/>
                <w:b w:val="1"/>
                <w:bCs w:val="1"/>
                <w:color w:val="auto"/>
              </w:rPr>
              <w:t>Year</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Ended</w:t>
            </w: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Change</w:t>
            </w:r>
          </w:p>
        </w:tc>
      </w:tr>
      <w:tr>
        <w:trPr>
          <w:trHeight w:val="191"/>
        </w:trPr>
        <w:tc>
          <w:tcPr>
            <w:tcW w:w="3160" w:type="dxa"/>
            <w:vAlign w:val="bottom"/>
          </w:tcPr>
          <w:p>
            <w:pPr>
              <w:spacing w:after="0"/>
              <w:rPr>
                <w:sz w:val="16"/>
                <w:szCs w:val="16"/>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August 31,</w:t>
            </w:r>
          </w:p>
        </w:tc>
        <w:tc>
          <w:tcPr>
            <w:tcW w:w="140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25,</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080" w:type="dxa"/>
            <w:vAlign w:val="bottom"/>
          </w:tcPr>
          <w:p>
            <w:pPr>
              <w:spacing w:after="0"/>
              <w:rPr>
                <w:sz w:val="16"/>
                <w:szCs w:val="16"/>
                <w:color w:val="auto"/>
              </w:rPr>
            </w:pPr>
          </w:p>
        </w:tc>
        <w:tc>
          <w:tcPr>
            <w:tcW w:w="1720" w:type="dxa"/>
            <w:vAlign w:val="bottom"/>
          </w:tcPr>
          <w:p>
            <w:pPr>
              <w:jc w:val="center"/>
              <w:ind w:left="17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2013</w:t>
            </w:r>
          </w:p>
        </w:tc>
        <w:tc>
          <w:tcPr>
            <w:tcW w:w="1400" w:type="dxa"/>
            <w:vAlign w:val="bottom"/>
            <w:gridSpan w:val="2"/>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1400" w:type="dxa"/>
            <w:vAlign w:val="bottom"/>
            <w:gridSpan w:val="2"/>
          </w:tcPr>
          <w:p>
            <w:pPr>
              <w:ind w:left="24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Units</w:t>
            </w:r>
          </w:p>
        </w:tc>
        <w:tc>
          <w:tcPr>
            <w:tcW w:w="1720" w:type="dxa"/>
            <w:vAlign w:val="bottom"/>
          </w:tcPr>
          <w:p>
            <w:pPr>
              <w:jc w:val="center"/>
              <w:ind w:left="179"/>
              <w:spacing w:after="0"/>
              <w:rPr>
                <w:sz w:val="20"/>
                <w:szCs w:val="20"/>
                <w:color w:val="auto"/>
              </w:rPr>
            </w:pPr>
            <w:r>
              <w:rPr>
                <w:rFonts w:ascii="Arial" w:cs="Arial" w:eastAsia="Arial" w:hAnsi="Arial"/>
                <w:sz w:val="16"/>
                <w:szCs w:val="16"/>
                <w:b w:val="1"/>
                <w:bCs w:val="1"/>
                <w:color w:val="auto"/>
                <w:w w:val="98"/>
              </w:rPr>
              <w:t>Change</w:t>
            </w:r>
          </w:p>
        </w:tc>
      </w:tr>
      <w:tr>
        <w:trPr>
          <w:trHeight w:val="250"/>
        </w:trPr>
        <w:tc>
          <w:tcPr>
            <w:tcW w:w="3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2,446</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35.9%</w:t>
            </w:r>
          </w:p>
        </w:tc>
        <w:tc>
          <w:tcPr>
            <w:tcW w:w="10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1,648</w:t>
            </w:r>
          </w:p>
        </w:tc>
        <w:tc>
          <w:tcPr>
            <w:tcW w:w="12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35.5%</w:t>
            </w:r>
          </w:p>
        </w:tc>
        <w:tc>
          <w:tcPr>
            <w:tcW w:w="12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7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48.4 %</w:t>
            </w:r>
          </w:p>
        </w:tc>
      </w:tr>
      <w:tr>
        <w:trPr>
          <w:trHeight w:val="264"/>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1,315</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931</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1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41.2 %</w:t>
            </w:r>
          </w:p>
        </w:tc>
      </w:tr>
      <w:tr>
        <w:trPr>
          <w:trHeight w:val="257"/>
        </w:trPr>
        <w:tc>
          <w:tcPr>
            <w:tcW w:w="3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3,761</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2,579</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55.6%</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17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45.8 %</w:t>
            </w:r>
          </w:p>
        </w:tc>
      </w:tr>
      <w:tr>
        <w:trPr>
          <w:trHeight w:val="260"/>
        </w:trPr>
        <w:tc>
          <w:tcPr>
            <w:tcW w:w="3160" w:type="dxa"/>
            <w:vAlign w:val="bottom"/>
          </w:tcPr>
          <w:p>
            <w:pPr>
              <w:ind w:left="40"/>
              <w:spacing w:after="0"/>
              <w:rPr>
                <w:sz w:val="20"/>
                <w:szCs w:val="20"/>
                <w:color w:val="auto"/>
              </w:rPr>
            </w:pPr>
            <w:r>
              <w:rPr>
                <w:rFonts w:ascii="Arial" w:cs="Arial" w:eastAsia="Arial" w:hAnsi="Arial"/>
                <w:sz w:val="16"/>
                <w:szCs w:val="16"/>
                <w:color w:val="auto"/>
              </w:rPr>
              <w:t>Class B</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372</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2"/>
                <w:szCs w:val="22"/>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319</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w:t>
            </w:r>
          </w:p>
        </w:tc>
        <w:tc>
          <w:tcPr>
            <w:tcW w:w="1720" w:type="dxa"/>
            <w:vAlign w:val="bottom"/>
          </w:tcPr>
          <w:p>
            <w:pPr>
              <w:jc w:val="right"/>
              <w:ind w:right="99"/>
              <w:spacing w:after="0"/>
              <w:rPr>
                <w:sz w:val="20"/>
                <w:szCs w:val="20"/>
                <w:color w:val="auto"/>
              </w:rPr>
            </w:pPr>
            <w:r>
              <w:rPr>
                <w:rFonts w:ascii="Arial" w:cs="Arial" w:eastAsia="Arial" w:hAnsi="Arial"/>
                <w:sz w:val="16"/>
                <w:szCs w:val="16"/>
                <w:color w:val="auto"/>
              </w:rPr>
              <w:t>16.6 %</w:t>
            </w:r>
          </w:p>
        </w:tc>
      </w:tr>
      <w:tr>
        <w:trPr>
          <w:trHeight w:val="273"/>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2,688</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1,744</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7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54.1 %</w:t>
            </w:r>
          </w:p>
        </w:tc>
      </w:tr>
      <w:tr>
        <w:trPr>
          <w:trHeight w:val="280"/>
        </w:trPr>
        <w:tc>
          <w:tcPr>
            <w:tcW w:w="3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 homes</w:t>
            </w: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6,821</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4,642</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2,179</w:t>
            </w:r>
          </w:p>
        </w:tc>
        <w:tc>
          <w:tcPr>
            <w:tcW w:w="17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46.9 %</w:t>
            </w:r>
          </w:p>
        </w:tc>
      </w:tr>
      <w:tr>
        <w:trPr>
          <w:trHeight w:val="173"/>
        </w:trPr>
        <w:tc>
          <w:tcPr>
            <w:tcW w:w="3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60"/>
        </w:trPr>
        <w:tc>
          <w:tcPr>
            <w:tcW w:w="316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2,038</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22"/>
                <w:szCs w:val="22"/>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1,372</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666</w:t>
            </w:r>
          </w:p>
        </w:tc>
        <w:tc>
          <w:tcPr>
            <w:tcW w:w="1720" w:type="dxa"/>
            <w:vAlign w:val="bottom"/>
          </w:tcPr>
          <w:p>
            <w:pPr>
              <w:jc w:val="right"/>
              <w:ind w:right="99"/>
              <w:spacing w:after="0"/>
              <w:rPr>
                <w:sz w:val="20"/>
                <w:szCs w:val="20"/>
                <w:color w:val="auto"/>
              </w:rPr>
            </w:pPr>
            <w:r>
              <w:rPr>
                <w:rFonts w:ascii="Arial" w:cs="Arial" w:eastAsia="Arial" w:hAnsi="Arial"/>
                <w:sz w:val="16"/>
                <w:szCs w:val="16"/>
                <w:color w:val="auto"/>
              </w:rPr>
              <w:t>48.5 %</w:t>
            </w:r>
          </w:p>
        </w:tc>
      </w:tr>
      <w:tr>
        <w:trPr>
          <w:trHeight w:val="273"/>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3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497</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966</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(48.6)%</w:t>
            </w:r>
          </w:p>
        </w:tc>
      </w:tr>
      <w:tr>
        <w:trPr>
          <w:trHeight w:val="237"/>
        </w:trPr>
        <w:tc>
          <w:tcPr>
            <w:tcW w:w="3160" w:type="dxa"/>
            <w:vAlign w:val="bottom"/>
          </w:tcPr>
          <w:p>
            <w:pPr>
              <w:ind w:left="280"/>
              <w:spacing w:after="0"/>
              <w:rPr>
                <w:sz w:val="20"/>
                <w:szCs w:val="20"/>
                <w:color w:val="auto"/>
              </w:rPr>
            </w:pPr>
            <w:r>
              <w:rPr>
                <w:rFonts w:ascii="Arial" w:cs="Arial" w:eastAsia="Arial" w:hAnsi="Arial"/>
                <w:sz w:val="16"/>
                <w:szCs w:val="16"/>
                <w:color w:val="auto"/>
              </w:rPr>
              <w:t>Total towables</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2,535</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2,338</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197</w:t>
            </w:r>
          </w:p>
        </w:tc>
        <w:tc>
          <w:tcPr>
            <w:tcW w:w="1720" w:type="dxa"/>
            <w:vAlign w:val="bottom"/>
          </w:tcPr>
          <w:p>
            <w:pPr>
              <w:jc w:val="right"/>
              <w:ind w:right="99"/>
              <w:spacing w:after="0"/>
              <w:rPr>
                <w:sz w:val="20"/>
                <w:szCs w:val="20"/>
                <w:color w:val="auto"/>
              </w:rPr>
            </w:pPr>
            <w:r>
              <w:rPr>
                <w:rFonts w:ascii="Arial" w:cs="Arial" w:eastAsia="Arial" w:hAnsi="Arial"/>
                <w:sz w:val="16"/>
                <w:szCs w:val="16"/>
                <w:color w:val="auto"/>
              </w:rPr>
              <w:t>8.4 %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3810</wp:posOffset>
            </wp:positionV>
            <wp:extent cx="524827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48275" cy="26035"/>
                    </a:xfrm>
                    <a:prstGeom prst="rect">
                      <a:avLst/>
                    </a:prstGeom>
                    <a:noFill/>
                  </pic:spPr>
                </pic:pic>
              </a:graphicData>
            </a:graphic>
          </wp:anchor>
        </w:drawing>
      </w:r>
    </w:p>
    <w:p>
      <w:pPr>
        <w:spacing w:after="0" w:line="9"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ind w:left="160" w:hanging="152"/>
        <w:spacing w:after="0" w:line="199" w:lineRule="auto"/>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31, 2013 and August 25, 2012 contained 53 and 52 weeks, respectively.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Backlog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As Of</w:t>
            </w:r>
          </w:p>
        </w:tc>
        <w:tc>
          <w:tcPr>
            <w:tcW w:w="1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19"/>
                <w:szCs w:val="19"/>
                <w:color w:val="auto"/>
              </w:rPr>
            </w:pPr>
          </w:p>
        </w:tc>
      </w:tr>
      <w:tr>
        <w:trPr>
          <w:trHeight w:val="264"/>
        </w:trPr>
        <w:tc>
          <w:tcPr>
            <w:tcW w:w="3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gridSpan w:val="2"/>
          </w:tcPr>
          <w:p>
            <w:pPr>
              <w:jc w:val="right"/>
              <w:ind w:right="382"/>
              <w:spacing w:after="0"/>
              <w:rPr>
                <w:sz w:val="20"/>
                <w:szCs w:val="20"/>
                <w:color w:val="auto"/>
              </w:rPr>
            </w:pPr>
            <w:r>
              <w:rPr>
                <w:rFonts w:ascii="Arial" w:cs="Arial" w:eastAsia="Arial" w:hAnsi="Arial"/>
                <w:sz w:val="16"/>
                <w:szCs w:val="16"/>
                <w:b w:val="1"/>
                <w:bCs w:val="1"/>
                <w:color w:val="auto"/>
              </w:rPr>
              <w:t>August 31, 2013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40" w:type="dxa"/>
            <w:vAlign w:val="bottom"/>
            <w:gridSpan w:val="3"/>
          </w:tcPr>
          <w:p>
            <w:pPr>
              <w:ind w:left="420"/>
              <w:spacing w:after="0"/>
              <w:rPr>
                <w:sz w:val="20"/>
                <w:szCs w:val="20"/>
                <w:color w:val="auto"/>
              </w:rPr>
            </w:pPr>
            <w:r>
              <w:rPr>
                <w:rFonts w:ascii="Arial" w:cs="Arial" w:eastAsia="Arial" w:hAnsi="Arial"/>
                <w:sz w:val="16"/>
                <w:szCs w:val="16"/>
                <w:b w:val="1"/>
                <w:bCs w:val="1"/>
                <w:color w:val="auto"/>
              </w:rPr>
              <w:t>August 25, 2012</w:t>
            </w: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4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70"/>
        </w:trPr>
        <w:tc>
          <w:tcPr>
            <w:tcW w:w="3220" w:type="dxa"/>
            <w:vAlign w:val="bottom"/>
            <w:tcBorders>
              <w:bottom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Units</w:t>
            </w:r>
          </w:p>
        </w:tc>
        <w:tc>
          <w:tcPr>
            <w:tcW w:w="980" w:type="dxa"/>
            <w:vAlign w:val="bottom"/>
            <w:tcBorders>
              <w:top w:val="single" w:sz="8" w:color="auto"/>
              <w:bottom w:val="single" w:sz="8" w:color="auto"/>
            </w:tcBorders>
          </w:tcPr>
          <w:p>
            <w:pPr>
              <w:jc w:val="right"/>
              <w:ind w:right="262"/>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 xml:space="preserve"> (1)</w:t>
            </w:r>
          </w:p>
        </w:tc>
        <w:tc>
          <w:tcPr>
            <w:tcW w:w="22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Units</w:t>
            </w:r>
          </w:p>
        </w:tc>
        <w:tc>
          <w:tcPr>
            <w:tcW w:w="1200" w:type="dxa"/>
            <w:vAlign w:val="bottom"/>
            <w:tcBorders>
              <w:top w:val="single" w:sz="8" w:color="auto"/>
              <w:bottom w:val="single" w:sz="8" w:color="auto"/>
            </w:tcBorders>
          </w:tcPr>
          <w:p>
            <w:pPr>
              <w:jc w:val="right"/>
              <w:ind w:right="462"/>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 xml:space="preserve"> (1)</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Units</w:t>
            </w: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1,405</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642</w:t>
            </w:r>
          </w:p>
        </w:tc>
        <w:tc>
          <w:tcPr>
            <w:tcW w:w="12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43.6%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763</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118.8 %</w:t>
            </w:r>
          </w:p>
        </w:tc>
      </w:tr>
      <w:tr>
        <w:trPr>
          <w:trHeight w:val="264"/>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607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333</w:t>
            </w: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274</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82.3 %</w:t>
            </w:r>
          </w:p>
        </w:tc>
      </w:tr>
      <w:tr>
        <w:trPr>
          <w:trHeight w:val="257"/>
        </w:trPr>
        <w:tc>
          <w:tcPr>
            <w:tcW w:w="3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2,012</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975</w:t>
            </w:r>
          </w:p>
        </w:tc>
        <w:tc>
          <w:tcPr>
            <w:tcW w:w="12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66.2%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1,037</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106.4 %</w:t>
            </w:r>
          </w:p>
        </w:tc>
      </w:tr>
      <w:tr>
        <w:trPr>
          <w:trHeight w:val="260"/>
        </w:trPr>
        <w:tc>
          <w:tcPr>
            <w:tcW w:w="3220" w:type="dxa"/>
            <w:vAlign w:val="bottom"/>
          </w:tcPr>
          <w:p>
            <w:pPr>
              <w:ind w:left="40"/>
              <w:spacing w:after="0"/>
              <w:rPr>
                <w:sz w:val="20"/>
                <w:szCs w:val="20"/>
                <w:color w:val="auto"/>
              </w:rPr>
            </w:pPr>
            <w:r>
              <w:rPr>
                <w:rFonts w:ascii="Arial" w:cs="Arial" w:eastAsia="Arial" w:hAnsi="Arial"/>
                <w:sz w:val="16"/>
                <w:szCs w:val="16"/>
                <w:color w:val="auto"/>
              </w:rPr>
              <w:t>Class B</w:t>
            </w:r>
          </w:p>
        </w:tc>
        <w:tc>
          <w:tcPr>
            <w:tcW w:w="240" w:type="dxa"/>
            <w:vAlign w:val="bottom"/>
          </w:tcPr>
          <w:p>
            <w:pPr>
              <w:spacing w:after="0"/>
              <w:rPr>
                <w:sz w:val="22"/>
                <w:szCs w:val="22"/>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300</w:t>
            </w:r>
          </w:p>
        </w:tc>
        <w:tc>
          <w:tcPr>
            <w:tcW w:w="980" w:type="dxa"/>
            <w:vAlign w:val="bottom"/>
          </w:tcPr>
          <w:p>
            <w:pPr>
              <w:jc w:val="right"/>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118</w:t>
            </w:r>
          </w:p>
        </w:tc>
        <w:tc>
          <w:tcPr>
            <w:tcW w:w="1200" w:type="dxa"/>
            <w:vAlign w:val="bottom"/>
          </w:tcPr>
          <w:p>
            <w:pPr>
              <w:jc w:val="right"/>
              <w:ind w:right="182"/>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jc w:val="right"/>
              <w:ind w:right="579"/>
              <w:spacing w:after="0"/>
              <w:rPr>
                <w:sz w:val="20"/>
                <w:szCs w:val="20"/>
                <w:color w:val="auto"/>
              </w:rPr>
            </w:pPr>
            <w:r>
              <w:rPr>
                <w:rFonts w:ascii="Arial" w:cs="Arial" w:eastAsia="Arial" w:hAnsi="Arial"/>
                <w:sz w:val="16"/>
                <w:szCs w:val="16"/>
                <w:color w:val="auto"/>
              </w:rPr>
              <w:t>182</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154.2 %</w:t>
            </w:r>
          </w:p>
        </w:tc>
      </w:tr>
      <w:tr>
        <w:trPr>
          <w:trHeight w:val="273"/>
        </w:trPr>
        <w:tc>
          <w:tcPr>
            <w:tcW w:w="3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1,068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2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380</w:t>
            </w:r>
          </w:p>
        </w:tc>
        <w:tc>
          <w:tcPr>
            <w:tcW w:w="12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25.8%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688</w:t>
            </w: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181.1 %</w:t>
            </w:r>
          </w:p>
        </w:tc>
      </w:tr>
      <w:tr>
        <w:trPr>
          <w:trHeight w:val="283"/>
        </w:trPr>
        <w:tc>
          <w:tcPr>
            <w:tcW w:w="322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Total motor home backlog</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3,380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1,473</w:t>
            </w: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1,907</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129.5 %</w:t>
            </w:r>
          </w:p>
        </w:tc>
      </w:tr>
      <w:tr>
        <w:trPr>
          <w:trHeight w:val="170"/>
        </w:trPr>
        <w:tc>
          <w:tcPr>
            <w:tcW w:w="3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60"/>
        </w:trPr>
        <w:tc>
          <w:tcPr>
            <w:tcW w:w="322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240" w:type="dxa"/>
            <w:vAlign w:val="bottom"/>
          </w:tcPr>
          <w:p>
            <w:pPr>
              <w:spacing w:after="0"/>
              <w:rPr>
                <w:sz w:val="22"/>
                <w:szCs w:val="22"/>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180</w:t>
            </w:r>
          </w:p>
        </w:tc>
        <w:tc>
          <w:tcPr>
            <w:tcW w:w="980" w:type="dxa"/>
            <w:vAlign w:val="bottom"/>
          </w:tcPr>
          <w:p>
            <w:pPr>
              <w:jc w:val="right"/>
              <w:spacing w:after="0"/>
              <w:rPr>
                <w:sz w:val="20"/>
                <w:szCs w:val="20"/>
                <w:color w:val="auto"/>
              </w:rPr>
            </w:pPr>
            <w:r>
              <w:rPr>
                <w:rFonts w:ascii="Arial" w:cs="Arial" w:eastAsia="Arial" w:hAnsi="Arial"/>
                <w:sz w:val="16"/>
                <w:szCs w:val="16"/>
                <w:color w:val="auto"/>
              </w:rPr>
              <w:t>81.4%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306</w:t>
            </w:r>
          </w:p>
        </w:tc>
        <w:tc>
          <w:tcPr>
            <w:tcW w:w="1200" w:type="dxa"/>
            <w:vAlign w:val="bottom"/>
          </w:tcPr>
          <w:p>
            <w:pPr>
              <w:jc w:val="right"/>
              <w:ind w:right="182"/>
              <w:spacing w:after="0"/>
              <w:rPr>
                <w:sz w:val="20"/>
                <w:szCs w:val="20"/>
                <w:color w:val="auto"/>
              </w:rPr>
            </w:pPr>
            <w:r>
              <w:rPr>
                <w:rFonts w:ascii="Arial" w:cs="Arial" w:eastAsia="Arial" w:hAnsi="Arial"/>
                <w:sz w:val="16"/>
                <w:szCs w:val="16"/>
                <w:color w:val="auto"/>
              </w:rPr>
              <w:t>74.5%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jc w:val="right"/>
              <w:ind w:right="519"/>
              <w:spacing w:after="0"/>
              <w:rPr>
                <w:sz w:val="20"/>
                <w:szCs w:val="20"/>
                <w:color w:val="auto"/>
              </w:rPr>
            </w:pPr>
            <w:r>
              <w:rPr>
                <w:rFonts w:ascii="Arial" w:cs="Arial" w:eastAsia="Arial" w:hAnsi="Arial"/>
                <w:sz w:val="16"/>
                <w:szCs w:val="16"/>
                <w:color w:val="auto"/>
              </w:rPr>
              <w:t>(126)</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(41.2)%</w:t>
            </w:r>
          </w:p>
        </w:tc>
      </w:tr>
      <w:tr>
        <w:trPr>
          <w:trHeight w:val="273"/>
        </w:trPr>
        <w:tc>
          <w:tcPr>
            <w:tcW w:w="3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41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2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105</w:t>
            </w:r>
          </w:p>
        </w:tc>
        <w:tc>
          <w:tcPr>
            <w:tcW w:w="12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(64)</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(61.0)%</w:t>
            </w:r>
          </w:p>
        </w:tc>
      </w:tr>
      <w:tr>
        <w:trPr>
          <w:trHeight w:val="283"/>
        </w:trPr>
        <w:tc>
          <w:tcPr>
            <w:tcW w:w="3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 xml:space="preserve">Total towable backlog </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221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411</w:t>
            </w: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(190)</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(46.2)%</w:t>
            </w:r>
          </w:p>
        </w:tc>
      </w:tr>
      <w:tr>
        <w:trPr>
          <w:trHeight w:val="170"/>
        </w:trPr>
        <w:tc>
          <w:tcPr>
            <w:tcW w:w="3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60"/>
        </w:trPr>
        <w:tc>
          <w:tcPr>
            <w:tcW w:w="4620" w:type="dxa"/>
            <w:vAlign w:val="bottom"/>
            <w:gridSpan w:val="3"/>
          </w:tcPr>
          <w:p>
            <w:pPr>
              <w:ind w:left="40"/>
              <w:spacing w:after="0"/>
              <w:rPr>
                <w:sz w:val="20"/>
                <w:szCs w:val="20"/>
                <w:color w:val="auto"/>
              </w:rPr>
            </w:pPr>
            <w:r>
              <w:rPr>
                <w:rFonts w:ascii="Arial" w:cs="Arial" w:eastAsia="Arial" w:hAnsi="Arial"/>
                <w:sz w:val="16"/>
                <w:szCs w:val="16"/>
                <w:color w:val="auto"/>
              </w:rPr>
              <w:t>Total approximate backlog revenue dollars (in 000's):</w:t>
            </w: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3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346,665</w:t>
            </w:r>
          </w:p>
        </w:tc>
        <w:tc>
          <w:tcPr>
            <w:tcW w:w="98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163,725</w:t>
            </w: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182,940</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111.7 %</w:t>
            </w:r>
          </w:p>
        </w:tc>
      </w:tr>
      <w:tr>
        <w:trPr>
          <w:trHeight w:val="251"/>
        </w:trPr>
        <w:tc>
          <w:tcPr>
            <w:tcW w:w="3220" w:type="dxa"/>
            <w:vAlign w:val="bottom"/>
          </w:tcPr>
          <w:p>
            <w:pPr>
              <w:ind w:left="40"/>
              <w:spacing w:after="0"/>
              <w:rPr>
                <w:sz w:val="20"/>
                <w:szCs w:val="20"/>
                <w:color w:val="auto"/>
              </w:rPr>
            </w:pPr>
            <w:r>
              <w:rPr>
                <w:rFonts w:ascii="Arial" w:cs="Arial" w:eastAsia="Arial" w:hAnsi="Arial"/>
                <w:sz w:val="16"/>
                <w:szCs w:val="16"/>
                <w:color w:val="auto"/>
              </w:rPr>
              <w:t>Towable</w:t>
            </w:r>
          </w:p>
        </w:tc>
        <w:tc>
          <w:tcPr>
            <w:tcW w:w="240" w:type="dxa"/>
            <w:vAlign w:val="bottom"/>
          </w:tcPr>
          <w:p>
            <w:pPr>
              <w:spacing w:after="0"/>
              <w:rPr>
                <w:sz w:val="21"/>
                <w:szCs w:val="21"/>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4,744</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8,776</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ind w:right="519"/>
              <w:spacing w:after="0"/>
              <w:rPr>
                <w:sz w:val="20"/>
                <w:szCs w:val="20"/>
                <w:color w:val="auto"/>
              </w:rPr>
            </w:pPr>
            <w:r>
              <w:rPr>
                <w:rFonts w:ascii="Arial" w:cs="Arial" w:eastAsia="Arial" w:hAnsi="Arial"/>
                <w:sz w:val="16"/>
                <w:szCs w:val="16"/>
                <w:color w:val="auto"/>
              </w:rPr>
              <w:t>(4,032)</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(45.9)%</w:t>
            </w:r>
          </w:p>
        </w:tc>
      </w:tr>
    </w:tbl>
    <w:p>
      <w:pPr>
        <w:ind w:left="340" w:hanging="332"/>
        <w:spacing w:after="0" w:line="199" w:lineRule="auto"/>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Percentages may not add due to rounding differences.</w:t>
      </w:r>
    </w:p>
    <w:p>
      <w:pPr>
        <w:spacing w:after="0" w:line="17" w:lineRule="exact"/>
        <w:rPr>
          <w:rFonts w:ascii="Arial" w:cs="Arial" w:eastAsia="Arial" w:hAnsi="Arial"/>
          <w:sz w:val="22"/>
          <w:szCs w:val="22"/>
          <w:color w:val="auto"/>
          <w:vertAlign w:val="superscript"/>
        </w:rPr>
      </w:pPr>
    </w:p>
    <w:p>
      <w:pPr>
        <w:ind w:left="340" w:right="640" w:hanging="332"/>
        <w:spacing w:after="0" w:line="208" w:lineRule="auto"/>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Our backlog includes all accepted orders from dealers to be shipped within the next six months. Orders in backlog can be canceled or postponed at the option of the purchaser at any time without penalty and, therefore, backlog may not necessarily be an accurate measure of future sales.</w:t>
      </w:r>
    </w:p>
    <w:p>
      <w:pPr>
        <w:jc w:val="center"/>
        <w:spacing w:after="0"/>
        <w:rPr>
          <w:sz w:val="20"/>
          <w:szCs w:val="20"/>
          <w:color w:val="auto"/>
        </w:rPr>
      </w:pPr>
      <w:r>
        <w:rPr>
          <w:rFonts w:ascii="Arial" w:cs="Arial" w:eastAsia="Arial" w:hAnsi="Arial"/>
          <w:sz w:val="18"/>
          <w:szCs w:val="18"/>
          <w:b w:val="1"/>
          <w:bCs w:val="1"/>
          <w:color w:val="auto"/>
        </w:rPr>
        <w:t>Unaudited Dealer Inventory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00" w:type="dxa"/>
            <w:vAlign w:val="bottom"/>
          </w:tcPr>
          <w:p>
            <w:pPr>
              <w:spacing w:after="0"/>
              <w:rPr>
                <w:sz w:val="19"/>
                <w:szCs w:val="19"/>
                <w:color w:val="auto"/>
              </w:rPr>
            </w:pPr>
          </w:p>
        </w:tc>
        <w:tc>
          <w:tcPr>
            <w:tcW w:w="306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6"/>
                <w:szCs w:val="16"/>
                <w:b w:val="1"/>
                <w:bCs w:val="1"/>
                <w:color w:val="auto"/>
              </w:rPr>
              <w:t>Units As Of</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98"/>
        </w:trPr>
        <w:tc>
          <w:tcPr>
            <w:tcW w:w="5900" w:type="dxa"/>
            <w:vAlign w:val="bottom"/>
          </w:tcPr>
          <w:p>
            <w:pPr>
              <w:spacing w:after="0"/>
              <w:rPr>
                <w:sz w:val="17"/>
                <w:szCs w:val="17"/>
                <w:color w:val="auto"/>
              </w:rPr>
            </w:pPr>
          </w:p>
        </w:tc>
        <w:tc>
          <w:tcPr>
            <w:tcW w:w="1580" w:type="dxa"/>
            <w:vAlign w:val="bottom"/>
            <w:gridSpan w:val="2"/>
          </w:tcPr>
          <w:p>
            <w:pPr>
              <w:ind w:left="300"/>
              <w:spacing w:after="0"/>
              <w:rPr>
                <w:sz w:val="20"/>
                <w:szCs w:val="20"/>
                <w:color w:val="auto"/>
              </w:rPr>
            </w:pPr>
            <w:r>
              <w:rPr>
                <w:rFonts w:ascii="Arial" w:cs="Arial" w:eastAsia="Arial" w:hAnsi="Arial"/>
                <w:sz w:val="16"/>
                <w:szCs w:val="16"/>
                <w:b w:val="1"/>
                <w:bCs w:val="1"/>
                <w:color w:val="auto"/>
              </w:rPr>
              <w:t>August 31,</w:t>
            </w:r>
          </w:p>
        </w:tc>
        <w:tc>
          <w:tcPr>
            <w:tcW w:w="1600" w:type="dxa"/>
            <w:vAlign w:val="bottom"/>
            <w:gridSpan w:val="2"/>
          </w:tcPr>
          <w:p>
            <w:pPr>
              <w:ind w:left="300"/>
              <w:spacing w:after="0"/>
              <w:rPr>
                <w:sz w:val="20"/>
                <w:szCs w:val="20"/>
                <w:color w:val="auto"/>
              </w:rPr>
            </w:pPr>
            <w:r>
              <w:rPr>
                <w:rFonts w:ascii="Arial" w:cs="Arial" w:eastAsia="Arial" w:hAnsi="Arial"/>
                <w:sz w:val="16"/>
                <w:szCs w:val="16"/>
                <w:b w:val="1"/>
                <w:bCs w:val="1"/>
                <w:color w:val="auto"/>
              </w:rPr>
              <w:t>August 25,</w:t>
            </w:r>
          </w:p>
        </w:tc>
        <w:tc>
          <w:tcPr>
            <w:tcW w:w="16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8"/>
        </w:trPr>
        <w:tc>
          <w:tcPr>
            <w:tcW w:w="59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19"/>
                <w:szCs w:val="19"/>
                <w:color w:val="auto"/>
              </w:rPr>
            </w:pPr>
          </w:p>
        </w:tc>
      </w:tr>
      <w:tr>
        <w:trPr>
          <w:trHeight w:val="257"/>
        </w:trPr>
        <w:tc>
          <w:tcPr>
            <w:tcW w:w="5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homes</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1,927</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727</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37.7%</w:t>
            </w:r>
          </w:p>
        </w:tc>
      </w:tr>
      <w:tr>
        <w:trPr>
          <w:trHeight w:val="251"/>
        </w:trPr>
        <w:tc>
          <w:tcPr>
            <w:tcW w:w="5900" w:type="dxa"/>
            <w:vAlign w:val="bottom"/>
          </w:tcPr>
          <w:p>
            <w:pPr>
              <w:ind w:left="40"/>
              <w:spacing w:after="0"/>
              <w:rPr>
                <w:sz w:val="20"/>
                <w:szCs w:val="20"/>
                <w:color w:val="auto"/>
              </w:rPr>
            </w:pPr>
            <w:r>
              <w:rPr>
                <w:rFonts w:ascii="Arial" w:cs="Arial" w:eastAsia="Arial" w:hAnsi="Arial"/>
                <w:sz w:val="16"/>
                <w:szCs w:val="16"/>
                <w:color w:val="auto"/>
              </w:rPr>
              <w:t>Towables</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1,611</w:t>
            </w:r>
          </w:p>
        </w:tc>
        <w:tc>
          <w:tcPr>
            <w:tcW w:w="10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1,365</w:t>
            </w:r>
          </w:p>
        </w:tc>
        <w:tc>
          <w:tcPr>
            <w:tcW w:w="120" w:type="dxa"/>
            <w:vAlign w:val="bottom"/>
          </w:tcPr>
          <w:p>
            <w:pPr>
              <w:spacing w:after="0"/>
              <w:rPr>
                <w:sz w:val="21"/>
                <w:szCs w:val="21"/>
                <w:color w:val="auto"/>
              </w:rPr>
            </w:pPr>
          </w:p>
        </w:tc>
        <w:tc>
          <w:tcPr>
            <w:tcW w:w="1600" w:type="dxa"/>
            <w:vAlign w:val="bottom"/>
          </w:tcPr>
          <w:p>
            <w:pPr>
              <w:jc w:val="right"/>
              <w:ind w:right="879"/>
              <w:spacing w:after="0"/>
              <w:rPr>
                <w:sz w:val="20"/>
                <w:szCs w:val="20"/>
                <w:color w:val="auto"/>
              </w:rPr>
            </w:pPr>
            <w:r>
              <w:rPr>
                <w:rFonts w:ascii="Arial" w:cs="Arial" w:eastAsia="Arial" w:hAnsi="Arial"/>
                <w:sz w:val="16"/>
                <w:szCs w:val="16"/>
                <w:color w:val="auto"/>
              </w:rPr>
              <w:t>246</w:t>
            </w: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18.0%</w:t>
            </w:r>
          </w:p>
        </w:tc>
      </w:tr>
    </w:tbl>
    <w:p>
      <w:pPr>
        <w:spacing w:after="0" w:line="1" w:lineRule="exact"/>
        <w:rPr>
          <w:sz w:val="20"/>
          <w:szCs w:val="20"/>
          <w:color w:val="auto"/>
        </w:rPr>
      </w:pPr>
    </w:p>
    <w:sectPr>
      <w:pgSz w:w="11900" w:h="16838" w:orient="portrait"/>
      <w:cols w:equalWidth="0" w:num="1">
        <w:col w:w="11420"/>
      </w:cols>
      <w:pgMar w:left="240" w:top="576" w:right="239" w:bottom="63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2019-12-05T16:34:00Z</dcterms:created>
  <dcterms:modified xsi:type="dcterms:W3CDTF">2019-12-05T16:34:00Z</dcterms:modified>
</cp:coreProperties>
</file>