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100"/>
        <w:spacing w:after="0"/>
        <w:rPr>
          <w:sz w:val="20"/>
          <w:szCs w:val="20"/>
          <w:color w:val="auto"/>
        </w:rPr>
      </w:pPr>
      <w:r>
        <w:rPr>
          <w:rFonts w:ascii="Arial" w:cs="Arial" w:eastAsia="Arial" w:hAnsi="Arial"/>
          <w:sz w:val="22"/>
          <w:szCs w:val="22"/>
          <w:b w:val="1"/>
          <w:bCs w:val="1"/>
          <w:color w:val="auto"/>
        </w:rPr>
        <w:t>UNITED STATES</w:t>
      </w:r>
    </w:p>
    <w:p>
      <w:pPr>
        <w:spacing w:after="0" w:line="30"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SECURITIES AND EXCHANGE COMMISSION</w:t>
      </w:r>
    </w:p>
    <w:p>
      <w:pPr>
        <w:spacing w:after="0" w:line="9"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Washington, D.C. 20549</w:t>
      </w:r>
    </w:p>
    <w:p>
      <w:pPr>
        <w:spacing w:after="0" w:line="263" w:lineRule="exact"/>
        <w:rPr>
          <w:sz w:val="24"/>
          <w:szCs w:val="24"/>
          <w:color w:val="auto"/>
        </w:rPr>
      </w:pPr>
    </w:p>
    <w:p>
      <w:pPr>
        <w:ind w:left="4940"/>
        <w:spacing w:after="0"/>
        <w:rPr>
          <w:sz w:val="20"/>
          <w:szCs w:val="20"/>
          <w:color w:val="auto"/>
        </w:rPr>
      </w:pPr>
      <w:r>
        <w:rPr>
          <w:rFonts w:ascii="Arial" w:cs="Arial" w:eastAsia="Arial" w:hAnsi="Arial"/>
          <w:sz w:val="25"/>
          <w:szCs w:val="25"/>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-170815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25400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 w:lineRule="exact"/>
        <w:rPr>
          <w:sz w:val="24"/>
          <w:szCs w:val="24"/>
          <w:color w:val="auto"/>
        </w:rPr>
      </w:pPr>
    </w:p>
    <w:p>
      <w:pPr>
        <w:ind w:left="3820"/>
        <w:spacing w:after="0"/>
        <w:rPr>
          <w:sz w:val="20"/>
          <w:szCs w:val="20"/>
          <w:color w:val="auto"/>
        </w:rPr>
      </w:pPr>
      <w:r>
        <w:rPr>
          <w:rFonts w:ascii="Arial" w:cs="Arial" w:eastAsia="Arial" w:hAnsi="Arial"/>
          <w:sz w:val="25"/>
          <w:szCs w:val="25"/>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2070735</wp:posOffset>
            </wp:positionH>
            <wp:positionV relativeFrom="paragraph">
              <wp:posOffset>227965</wp:posOffset>
            </wp:positionV>
            <wp:extent cx="3000375" cy="1157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00375" cy="1157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WINNEBAGO INDUSTRIES, INC.</w:t>
      </w:r>
    </w:p>
    <w:p>
      <w:pPr>
        <w:spacing w:after="0" w:line="62"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(Exact name of registrant as specified in its charter)</w:t>
      </w:r>
    </w:p>
    <w:p>
      <w:pPr>
        <w:spacing w:after="0" w:line="161" w:lineRule="exact"/>
        <w:rPr>
          <w:sz w:val="24"/>
          <w:szCs w:val="24"/>
          <w:color w:val="auto"/>
        </w:rPr>
      </w:pPr>
    </w:p>
    <w:tbl>
      <w:tblPr>
        <w:tblLayout w:type="fixed"/>
        <w:tblInd w:w="1320" w:type="dxa"/>
        <w:tblCellMar>
          <w:top w:w="0" w:type="dxa"/>
          <w:left w:w="0" w:type="dxa"/>
          <w:bottom w:w="0" w:type="dxa"/>
          <w:right w:w="0" w:type="dxa"/>
        </w:tblCellMar>
      </w:tblPr>
      <w:tr>
        <w:trPr>
          <w:trHeight w:val="221"/>
        </w:trPr>
        <w:tc>
          <w:tcPr>
            <w:tcW w:w="32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rPr>
              <w:t>Minnesota</w:t>
            </w:r>
          </w:p>
        </w:tc>
        <w:tc>
          <w:tcPr>
            <w:tcW w:w="5400" w:type="dxa"/>
            <w:vAlign w:val="bottom"/>
            <w:gridSpan w:val="3"/>
          </w:tcPr>
          <w:p>
            <w:pPr>
              <w:jc w:val="right"/>
              <w:ind w:right="1139"/>
              <w:spacing w:after="0"/>
              <w:rPr>
                <w:sz w:val="20"/>
                <w:szCs w:val="20"/>
                <w:color w:val="auto"/>
              </w:rPr>
            </w:pPr>
            <w:r>
              <w:rPr>
                <w:rFonts w:ascii="Arial" w:cs="Arial" w:eastAsia="Arial" w:hAnsi="Arial"/>
                <w:sz w:val="16"/>
                <w:szCs w:val="16"/>
                <w:b w:val="1"/>
                <w:bCs w:val="1"/>
                <w:color w:val="auto"/>
              </w:rPr>
              <w:t>001-06403</w:t>
            </w:r>
          </w:p>
        </w:tc>
        <w:tc>
          <w:tcPr>
            <w:tcW w:w="0" w:type="dxa"/>
            <w:vAlign w:val="bottom"/>
          </w:tcPr>
          <w:p>
            <w:pPr>
              <w:spacing w:after="0"/>
              <w:rPr>
                <w:sz w:val="1"/>
                <w:szCs w:val="1"/>
                <w:color w:val="auto"/>
              </w:rPr>
            </w:pPr>
          </w:p>
        </w:tc>
      </w:tr>
      <w:tr>
        <w:trPr>
          <w:trHeight w:val="186"/>
        </w:trPr>
        <w:tc>
          <w:tcPr>
            <w:tcW w:w="322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6"/>
                <w:szCs w:val="16"/>
                <w:color w:val="auto"/>
              </w:rPr>
              <w:t>(State or other jurisdiction</w:t>
            </w:r>
          </w:p>
        </w:tc>
        <w:tc>
          <w:tcPr>
            <w:tcW w:w="218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tcPr>
          <w:p>
            <w:pPr>
              <w:jc w:val="center"/>
              <w:ind w:right="939"/>
              <w:spacing w:after="0"/>
              <w:rPr>
                <w:sz w:val="20"/>
                <w:szCs w:val="20"/>
                <w:color w:val="auto"/>
              </w:rPr>
            </w:pPr>
            <w:r>
              <w:rPr>
                <w:rFonts w:ascii="Arial" w:cs="Arial" w:eastAsia="Arial" w:hAnsi="Arial"/>
                <w:sz w:val="16"/>
                <w:szCs w:val="16"/>
                <w:color w:val="auto"/>
              </w:rPr>
              <w:t>(Commission</w:t>
            </w:r>
          </w:p>
        </w:tc>
        <w:tc>
          <w:tcPr>
            <w:tcW w:w="0" w:type="dxa"/>
            <w:vAlign w:val="bottom"/>
          </w:tcPr>
          <w:p>
            <w:pPr>
              <w:spacing w:after="0"/>
              <w:rPr>
                <w:sz w:val="1"/>
                <w:szCs w:val="1"/>
                <w:color w:val="auto"/>
              </w:rPr>
            </w:pPr>
          </w:p>
        </w:tc>
      </w:tr>
      <w:tr>
        <w:trPr>
          <w:trHeight w:val="207"/>
        </w:trPr>
        <w:tc>
          <w:tcPr>
            <w:tcW w:w="3220" w:type="dxa"/>
            <w:vAlign w:val="bottom"/>
            <w:gridSpan w:val="2"/>
          </w:tcPr>
          <w:p>
            <w:pPr>
              <w:jc w:val="center"/>
              <w:ind w:right="20"/>
              <w:spacing w:after="0"/>
              <w:rPr>
                <w:sz w:val="20"/>
                <w:szCs w:val="20"/>
                <w:color w:val="auto"/>
              </w:rPr>
            </w:pPr>
            <w:r>
              <w:rPr>
                <w:rFonts w:ascii="Arial" w:cs="Arial" w:eastAsia="Arial" w:hAnsi="Arial"/>
                <w:sz w:val="16"/>
                <w:szCs w:val="16"/>
                <w:color w:val="auto"/>
              </w:rPr>
              <w:t>of incorporation)</w:t>
            </w:r>
          </w:p>
        </w:tc>
        <w:tc>
          <w:tcPr>
            <w:tcW w:w="2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0" w:type="dxa"/>
            <w:vAlign w:val="bottom"/>
          </w:tcPr>
          <w:p>
            <w:pPr>
              <w:jc w:val="center"/>
              <w:ind w:right="939"/>
              <w:spacing w:after="0"/>
              <w:rPr>
                <w:sz w:val="20"/>
                <w:szCs w:val="20"/>
                <w:color w:val="auto"/>
              </w:rPr>
            </w:pPr>
            <w:r>
              <w:rPr>
                <w:rFonts w:ascii="Arial" w:cs="Arial" w:eastAsia="Arial" w:hAnsi="Arial"/>
                <w:sz w:val="16"/>
                <w:szCs w:val="16"/>
                <w:color w:val="auto"/>
              </w:rPr>
              <w:t>File Number)</w:t>
            </w:r>
          </w:p>
        </w:tc>
        <w:tc>
          <w:tcPr>
            <w:tcW w:w="0" w:type="dxa"/>
            <w:vAlign w:val="bottom"/>
          </w:tcPr>
          <w:p>
            <w:pPr>
              <w:spacing w:after="0"/>
              <w:rPr>
                <w:sz w:val="1"/>
                <w:szCs w:val="1"/>
                <w:color w:val="auto"/>
              </w:rPr>
            </w:pPr>
          </w:p>
        </w:tc>
      </w:tr>
      <w:tr>
        <w:trPr>
          <w:trHeight w:val="425"/>
        </w:trPr>
        <w:tc>
          <w:tcPr>
            <w:tcW w:w="32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rPr>
              <w:t>13200 Pioneer Trail,</w:t>
            </w:r>
          </w:p>
        </w:tc>
        <w:tc>
          <w:tcPr>
            <w:tcW w:w="5400" w:type="dxa"/>
            <w:vAlign w:val="bottom"/>
            <w:gridSpan w:val="3"/>
            <w:vMerge w:val="restart"/>
          </w:tcPr>
          <w:p>
            <w:pPr>
              <w:jc w:val="right"/>
              <w:ind w:right="1299"/>
              <w:spacing w:after="0"/>
              <w:rPr>
                <w:sz w:val="20"/>
                <w:szCs w:val="20"/>
                <w:color w:val="auto"/>
              </w:rPr>
            </w:pPr>
            <w:r>
              <w:rPr>
                <w:rFonts w:ascii="Arial" w:cs="Arial" w:eastAsia="Arial" w:hAnsi="Arial"/>
                <w:sz w:val="16"/>
                <w:szCs w:val="16"/>
                <w:b w:val="1"/>
                <w:bCs w:val="1"/>
                <w:color w:val="auto"/>
              </w:rPr>
              <w:t>55347</w:t>
            </w:r>
          </w:p>
        </w:tc>
        <w:tc>
          <w:tcPr>
            <w:tcW w:w="0" w:type="dxa"/>
            <w:vAlign w:val="bottom"/>
          </w:tcPr>
          <w:p>
            <w:pPr>
              <w:spacing w:after="0"/>
              <w:rPr>
                <w:sz w:val="1"/>
                <w:szCs w:val="1"/>
                <w:color w:val="auto"/>
              </w:rPr>
            </w:pPr>
          </w:p>
        </w:tc>
      </w:tr>
      <w:tr>
        <w:trPr>
          <w:trHeight w:val="216"/>
        </w:trPr>
        <w:tc>
          <w:tcPr>
            <w:tcW w:w="32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rPr>
              <w:t>Eden Prairie, Minnesota</w:t>
            </w:r>
          </w:p>
        </w:tc>
        <w:tc>
          <w:tcPr>
            <w:tcW w:w="54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2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6"/>
                <w:szCs w:val="16"/>
                <w:color w:val="auto"/>
              </w:rPr>
              <w:t>(Address of principal executive offices)</w:t>
            </w:r>
          </w:p>
        </w:tc>
        <w:tc>
          <w:tcPr>
            <w:tcW w:w="218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0" w:type="dxa"/>
            <w:vAlign w:val="bottom"/>
            <w:tcBorders>
              <w:top w:val="single" w:sz="8" w:color="auto"/>
            </w:tcBorders>
          </w:tcPr>
          <w:p>
            <w:pPr>
              <w:jc w:val="center"/>
              <w:ind w:right="939"/>
              <w:spacing w:after="0"/>
              <w:rPr>
                <w:sz w:val="20"/>
                <w:szCs w:val="20"/>
                <w:color w:val="auto"/>
              </w:rPr>
            </w:pPr>
            <w:r>
              <w:rPr>
                <w:rFonts w:ascii="Arial" w:cs="Arial" w:eastAsia="Arial" w:hAnsi="Arial"/>
                <w:sz w:val="16"/>
                <w:szCs w:val="16"/>
                <w:color w:val="auto"/>
              </w:rPr>
              <w:t>(Zip Code)</w:t>
            </w:r>
          </w:p>
        </w:tc>
        <w:tc>
          <w:tcPr>
            <w:tcW w:w="0" w:type="dxa"/>
            <w:vAlign w:val="bottom"/>
          </w:tcPr>
          <w:p>
            <w:pPr>
              <w:spacing w:after="0"/>
              <w:rPr>
                <w:sz w:val="1"/>
                <w:szCs w:val="1"/>
                <w:color w:val="auto"/>
              </w:rPr>
            </w:pPr>
          </w:p>
        </w:tc>
      </w:tr>
      <w:tr>
        <w:trPr>
          <w:trHeight w:val="485"/>
        </w:trPr>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0" w:type="dxa"/>
            <w:vAlign w:val="bottom"/>
            <w:gridSpan w:val="3"/>
          </w:tcPr>
          <w:p>
            <w:pPr>
              <w:jc w:val="center"/>
              <w:ind w:right="3139"/>
              <w:spacing w:after="0"/>
              <w:rPr>
                <w:sz w:val="20"/>
                <w:szCs w:val="20"/>
                <w:color w:val="auto"/>
              </w:rPr>
            </w:pPr>
            <w:r>
              <w:rPr>
                <w:rFonts w:ascii="Arial" w:cs="Arial" w:eastAsia="Arial" w:hAnsi="Arial"/>
                <w:sz w:val="16"/>
                <w:szCs w:val="16"/>
                <w:b w:val="1"/>
                <w:bCs w:val="1"/>
                <w:color w:val="auto"/>
              </w:rPr>
              <w:t>Stacy L. Bogart</w:t>
            </w: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(952) 829-8600</w:t>
            </w:r>
          </w:p>
        </w:tc>
        <w:tc>
          <w:tcPr>
            <w:tcW w:w="1020" w:type="dxa"/>
            <w:vAlign w:val="bottom"/>
            <w:tcBorders>
              <w:bottom w:val="single" w:sz="8" w:color="auto"/>
            </w:tcBorders>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(Name and telephone number, including area code, of the</w:t>
      </w:r>
    </w:p>
    <w:p>
      <w:pPr>
        <w:jc w:val="center"/>
        <w:ind w:right="-1100"/>
        <w:spacing w:after="0"/>
        <w:rPr>
          <w:sz w:val="20"/>
          <w:szCs w:val="20"/>
          <w:color w:val="auto"/>
        </w:rPr>
      </w:pPr>
      <w:r>
        <w:rPr>
          <w:rFonts w:ascii="Arial" w:cs="Arial" w:eastAsia="Arial" w:hAnsi="Arial"/>
          <w:sz w:val="16"/>
          <w:szCs w:val="16"/>
          <w:color w:val="auto"/>
        </w:rPr>
        <w:t>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w:t>
      </w: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color w:val="auto"/>
        </w:rPr>
        <w:t>x Rule 13p-1 under the Securities Exchange Act (17 CFR 240.13p-1) for the reporting period from January 1 to December 31, 2022.</w:t>
      </w:r>
    </w:p>
    <w:p>
      <w:pPr>
        <w:spacing w:after="0" w:line="275"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13q-1 under the Securities Exchange Act (17 CFR 240.13q-1) for the fiscal year ended_______.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Section 1 - Conflict Minerals Disclosure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1.01 Conflict Minerals Disclosure and Report</w:t>
      </w:r>
    </w:p>
    <w:p>
      <w:pPr>
        <w:spacing w:after="0" w:line="270"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A copy of Winnebago Industries, Inc.'s (“Winnebago’s”) Conflict Minerals Report for the reporting period from January 1, 2022 to December 31, 2022 is provided as Exhibit 1.01 hereto and is publicly available at www.winnebagoind.com under Investors and Financial Information. Winnebago’s determination and related due diligence efforts are included in Winnebago's Conflict Minerals Report and incorporated by reference herein.</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1.02 Exhibit</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 copy of Winnebago's Conflict Minerals Report is filed as Exhibit 1.01 hereto.</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2 - Resource Extraction Issuer Disclosure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2.01 Resource Extraction Issuer Disclosure and Report</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3 - Exhibits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3.01 Exhibits</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 1.01 is filed as part of this Specialized Disclosure Report on Form SD.</w:t>
      </w:r>
    </w:p>
    <w:p>
      <w:pPr>
        <w:spacing w:after="0" w:line="373"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Exhibit</w:t>
      </w:r>
    </w:p>
    <w:p>
      <w:pPr>
        <w:ind w:left="440"/>
        <w:spacing w:after="0"/>
        <w:tabs>
          <w:tab w:leader="none" w:pos="140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10795</wp:posOffset>
            </wp:positionV>
            <wp:extent cx="6866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66255" cy="8255"/>
                    </a:xfrm>
                    <a:prstGeom prst="rect">
                      <a:avLst/>
                    </a:prstGeom>
                    <a:noFill/>
                  </pic:spPr>
                </pic:pic>
              </a:graphicData>
            </a:graphic>
          </wp:anchor>
        </w:drawing>
      </w:r>
    </w:p>
    <w:p>
      <w:pPr>
        <w:spacing w:after="0" w:line="14"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6"/>
          <w:szCs w:val="16"/>
          <w:u w:val="single" w:color="auto"/>
          <w:color w:val="0000FF"/>
        </w:rPr>
        <w:t>1.01</w:t>
      </w:r>
      <w:r>
        <w:rPr>
          <w:sz w:val="20"/>
          <w:szCs w:val="20"/>
          <w:color w:val="auto"/>
        </w:rPr>
        <w:tab/>
      </w:r>
      <w:r>
        <w:rPr>
          <w:rFonts w:ascii="Arial" w:cs="Arial" w:eastAsia="Arial" w:hAnsi="Arial"/>
          <w:sz w:val="16"/>
          <w:szCs w:val="16"/>
          <w:u w:val="single" w:color="auto"/>
          <w:color w:val="0000FF"/>
        </w:rPr>
        <w:t>Conflict Minerals Report for the reporting period January 1, 2022 to December 31, 2022 as required by Items 1.01 and 1.02 of this Form</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140"/>
          </w:cols>
          <w:pgMar w:left="320" w:top="891" w:right="439" w:bottom="1440" w:gutter="0" w:footer="0" w:header="0"/>
        </w:sectPr>
      </w:pPr>
    </w:p>
    <w:bookmarkStart w:id="2" w:name="page3"/>
    <w:bookmarkEnd w:id="2"/>
    <w:p>
      <w:pPr>
        <w:ind w:left="5100"/>
        <w:spacing w:after="0"/>
        <w:rPr>
          <w:sz w:val="20"/>
          <w:szCs w:val="20"/>
          <w:color w:val="auto"/>
        </w:rPr>
      </w:pPr>
      <w:r>
        <w:rPr>
          <w:rFonts w:ascii="Arial" w:cs="Arial" w:eastAsia="Arial" w:hAnsi="Arial"/>
          <w:sz w:val="16"/>
          <w:szCs w:val="16"/>
          <w:b w:val="1"/>
          <w:bCs w:val="1"/>
          <w:color w:val="auto"/>
        </w:rPr>
        <w:t>SIGNATURES</w:t>
      </w:r>
    </w:p>
    <w:p>
      <w:pPr>
        <w:spacing w:after="0" w:line="270"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duly authorized undersigned.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56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7060" w:type="dxa"/>
            <w:vAlign w:val="bottom"/>
            <w:gridSpan w:val="2"/>
          </w:tcPr>
          <w:p>
            <w:pPr>
              <w:ind w:left="120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c>
          <w:tcPr>
            <w:tcW w:w="0" w:type="dxa"/>
            <w:vAlign w:val="bottom"/>
          </w:tcPr>
          <w:p>
            <w:pPr>
              <w:spacing w:after="0"/>
              <w:rPr>
                <w:sz w:val="1"/>
                <w:szCs w:val="1"/>
                <w:color w:val="auto"/>
              </w:rPr>
            </w:pPr>
          </w:p>
        </w:tc>
      </w:tr>
      <w:tr>
        <w:trPr>
          <w:trHeight w:val="429"/>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380" w:type="dxa"/>
            <w:vAlign w:val="bottom"/>
          </w:tcPr>
          <w:p>
            <w:pPr>
              <w:ind w:left="180"/>
              <w:spacing w:after="0"/>
              <w:rPr>
                <w:sz w:val="20"/>
                <w:szCs w:val="20"/>
                <w:color w:val="auto"/>
              </w:rPr>
            </w:pPr>
            <w:r>
              <w:rPr>
                <w:rFonts w:ascii="Arial" w:cs="Arial" w:eastAsia="Arial" w:hAnsi="Arial"/>
                <w:sz w:val="16"/>
                <w:szCs w:val="16"/>
                <w:color w:val="auto"/>
              </w:rPr>
              <w:t>May 22, 2023</w:t>
            </w:r>
          </w:p>
        </w:tc>
        <w:tc>
          <w:tcPr>
            <w:tcW w:w="2040" w:type="dxa"/>
            <w:vAlign w:val="bottom"/>
          </w:tcPr>
          <w:p>
            <w:pPr>
              <w:ind w:left="1200"/>
              <w:spacing w:after="0"/>
              <w:rPr>
                <w:sz w:val="20"/>
                <w:szCs w:val="20"/>
                <w:color w:val="auto"/>
              </w:rPr>
            </w:pPr>
            <w:r>
              <w:rPr>
                <w:rFonts w:ascii="Arial" w:cs="Arial" w:eastAsia="Arial" w:hAnsi="Arial"/>
                <w:sz w:val="16"/>
                <w:szCs w:val="16"/>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Stacy L. Bogart</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40" w:type="dxa"/>
            <w:vAlign w:val="bottom"/>
          </w:tcPr>
          <w:p>
            <w:pPr>
              <w:ind w:left="1200"/>
              <w:spacing w:after="0"/>
              <w:rPr>
                <w:sz w:val="20"/>
                <w:szCs w:val="20"/>
                <w:color w:val="auto"/>
              </w:rPr>
            </w:pPr>
            <w:r>
              <w:rPr>
                <w:rFonts w:ascii="Arial" w:cs="Arial" w:eastAsia="Arial" w:hAnsi="Arial"/>
                <w:sz w:val="16"/>
                <w:szCs w:val="16"/>
                <w:color w:val="auto"/>
              </w:rPr>
              <w:t>Name:</w:t>
            </w:r>
          </w:p>
        </w:tc>
        <w:tc>
          <w:tcPr>
            <w:tcW w:w="5020" w:type="dxa"/>
            <w:vAlign w:val="bottom"/>
          </w:tcPr>
          <w:p>
            <w:pPr>
              <w:ind w:left="20"/>
              <w:spacing w:after="0"/>
              <w:rPr>
                <w:sz w:val="20"/>
                <w:szCs w:val="20"/>
                <w:color w:val="auto"/>
              </w:rPr>
            </w:pPr>
            <w:r>
              <w:rPr>
                <w:rFonts w:ascii="Arial" w:cs="Arial" w:eastAsia="Arial" w:hAnsi="Arial"/>
                <w:sz w:val="16"/>
                <w:szCs w:val="16"/>
                <w:color w:val="auto"/>
              </w:rPr>
              <w:t>Stacy L. Bogart</w:t>
            </w:r>
          </w:p>
        </w:tc>
        <w:tc>
          <w:tcPr>
            <w:tcW w:w="0" w:type="dxa"/>
            <w:vAlign w:val="bottom"/>
          </w:tcPr>
          <w:p>
            <w:pPr>
              <w:spacing w:after="0"/>
              <w:rPr>
                <w:sz w:val="1"/>
                <w:szCs w:val="1"/>
                <w:color w:val="auto"/>
              </w:rPr>
            </w:pPr>
          </w:p>
        </w:tc>
      </w:tr>
      <w:tr>
        <w:trPr>
          <w:trHeight w:val="171"/>
        </w:trPr>
        <w:tc>
          <w:tcPr>
            <w:tcW w:w="5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40" w:type="dxa"/>
            <w:vAlign w:val="bottom"/>
            <w:vMerge w:val="restart"/>
          </w:tcPr>
          <w:p>
            <w:pPr>
              <w:ind w:left="1200"/>
              <w:spacing w:after="0"/>
              <w:rPr>
                <w:sz w:val="20"/>
                <w:szCs w:val="20"/>
                <w:color w:val="auto"/>
              </w:rPr>
            </w:pPr>
            <w:r>
              <w:rPr>
                <w:rFonts w:ascii="Arial" w:cs="Arial" w:eastAsia="Arial" w:hAnsi="Arial"/>
                <w:sz w:val="16"/>
                <w:szCs w:val="16"/>
                <w:color w:val="auto"/>
              </w:rPr>
              <w:t>Title:</w:t>
            </w:r>
          </w:p>
        </w:tc>
        <w:tc>
          <w:tcPr>
            <w:tcW w:w="5020" w:type="dxa"/>
            <w:vAlign w:val="bottom"/>
          </w:tcPr>
          <w:p>
            <w:pPr>
              <w:ind w:left="20"/>
              <w:spacing w:after="0" w:line="171" w:lineRule="exact"/>
              <w:rPr>
                <w:sz w:val="20"/>
                <w:szCs w:val="20"/>
                <w:color w:val="auto"/>
              </w:rPr>
            </w:pPr>
            <w:r>
              <w:rPr>
                <w:rFonts w:ascii="Arial" w:cs="Arial" w:eastAsia="Arial" w:hAnsi="Arial"/>
                <w:sz w:val="16"/>
                <w:szCs w:val="16"/>
                <w:color w:val="auto"/>
              </w:rPr>
              <w:t>Senior Vice President, General Counsel, Secretary and Corporate</w:t>
            </w:r>
          </w:p>
        </w:tc>
        <w:tc>
          <w:tcPr>
            <w:tcW w:w="0" w:type="dxa"/>
            <w:vAlign w:val="bottom"/>
          </w:tcPr>
          <w:p>
            <w:pPr>
              <w:spacing w:after="0"/>
              <w:rPr>
                <w:sz w:val="1"/>
                <w:szCs w:val="1"/>
                <w:color w:val="auto"/>
              </w:rPr>
            </w:pPr>
          </w:p>
        </w:tc>
      </w:tr>
      <w:tr>
        <w:trPr>
          <w:trHeight w:val="207"/>
        </w:trPr>
        <w:tc>
          <w:tcPr>
            <w:tcW w:w="5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40" w:type="dxa"/>
            <w:vAlign w:val="bottom"/>
            <w:vMerge w:val="continue"/>
          </w:tcPr>
          <w:p>
            <w:pPr>
              <w:spacing w:after="0"/>
              <w:rPr>
                <w:sz w:val="17"/>
                <w:szCs w:val="17"/>
                <w:color w:val="auto"/>
              </w:rPr>
            </w:pPr>
          </w:p>
        </w:tc>
        <w:tc>
          <w:tcPr>
            <w:tcW w:w="5020" w:type="dxa"/>
            <w:vAlign w:val="bottom"/>
          </w:tcPr>
          <w:p>
            <w:pPr>
              <w:ind w:left="20"/>
              <w:spacing w:after="0"/>
              <w:rPr>
                <w:sz w:val="20"/>
                <w:szCs w:val="20"/>
                <w:color w:val="auto"/>
              </w:rPr>
            </w:pPr>
            <w:r>
              <w:rPr>
                <w:rFonts w:ascii="Arial" w:cs="Arial" w:eastAsia="Arial" w:hAnsi="Arial"/>
                <w:sz w:val="16"/>
                <w:szCs w:val="16"/>
                <w:color w:val="auto"/>
              </w:rPr>
              <w:t>Responsibility</w:t>
            </w:r>
          </w:p>
        </w:tc>
        <w:tc>
          <w:tcPr>
            <w:tcW w:w="0" w:type="dxa"/>
            <w:vAlign w:val="bottom"/>
          </w:tcPr>
          <w:p>
            <w:pPr>
              <w:spacing w:after="0"/>
              <w:rPr>
                <w:sz w:val="1"/>
                <w:szCs w:val="1"/>
                <w:color w:val="auto"/>
              </w:rPr>
            </w:pPr>
          </w:p>
        </w:tc>
      </w:tr>
      <w:tr>
        <w:trPr>
          <w:trHeight w:val="864"/>
        </w:trPr>
        <w:tc>
          <w:tcPr>
            <w:tcW w:w="5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020" w:type="dxa"/>
            <w:vAlign w:val="bottom"/>
          </w:tcPr>
          <w:p>
            <w:pPr>
              <w:ind w:left="58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bl>
    <w:p>
      <w:pPr>
        <w:sectPr>
          <w:pgSz w:w="11900" w:h="16838" w:orient="portrait"/>
          <w:cols w:equalWidth="0" w:num="1">
            <w:col w:w="10620"/>
          </w:cols>
          <w:pgMar w:left="320" w:top="891" w:right="9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ind w:left="4600"/>
        <w:spacing w:after="0"/>
        <w:rPr>
          <w:sz w:val="20"/>
          <w:szCs w:val="20"/>
          <w:color w:val="auto"/>
        </w:rPr>
      </w:pPr>
      <w:r>
        <w:rPr>
          <w:rFonts w:ascii="Arial" w:cs="Arial" w:eastAsia="Arial" w:hAnsi="Arial"/>
          <w:sz w:val="16"/>
          <w:szCs w:val="16"/>
          <w:b w:val="1"/>
          <w:bCs w:val="1"/>
          <w:color w:val="auto"/>
        </w:rPr>
        <w:t>Winnebago Industries, Inc.</w:t>
      </w:r>
    </w:p>
    <w:p>
      <w:pPr>
        <w:spacing w:after="0" w:line="39" w:lineRule="exact"/>
        <w:rPr>
          <w:sz w:val="20"/>
          <w:szCs w:val="20"/>
          <w:color w:val="auto"/>
        </w:rPr>
      </w:pPr>
    </w:p>
    <w:p>
      <w:pPr>
        <w:ind w:left="4680"/>
        <w:spacing w:after="0"/>
        <w:rPr>
          <w:sz w:val="20"/>
          <w:szCs w:val="20"/>
          <w:color w:val="auto"/>
        </w:rPr>
      </w:pPr>
      <w:r>
        <w:rPr>
          <w:rFonts w:ascii="Arial" w:cs="Arial" w:eastAsia="Arial" w:hAnsi="Arial"/>
          <w:sz w:val="16"/>
          <w:szCs w:val="16"/>
          <w:b w:val="1"/>
          <w:bCs w:val="1"/>
          <w:color w:val="auto"/>
        </w:rPr>
        <w:t>Conflict Minerals Report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 Ended December 31, 2022</w:t>
      </w:r>
    </w:p>
    <w:p>
      <w:pPr>
        <w:spacing w:after="0" w:line="250" w:lineRule="exact"/>
        <w:rPr>
          <w:sz w:val="20"/>
          <w:szCs w:val="20"/>
          <w:color w:val="auto"/>
        </w:rPr>
      </w:pPr>
    </w:p>
    <w:p>
      <w:pPr>
        <w:ind w:right="300"/>
        <w:spacing w:after="0" w:line="261" w:lineRule="auto"/>
        <w:rPr>
          <w:sz w:val="20"/>
          <w:szCs w:val="20"/>
          <w:color w:val="auto"/>
        </w:rPr>
      </w:pPr>
      <w:r>
        <w:rPr>
          <w:rFonts w:ascii="Arial" w:cs="Arial" w:eastAsia="Arial" w:hAnsi="Arial"/>
          <w:sz w:val="16"/>
          <w:szCs w:val="16"/>
          <w:color w:val="auto"/>
        </w:rPr>
        <w:t>The "Company," "Winnebago Industries," "we," "our," and "us" are used interchangeably to refer to Winnebago Industries, Inc. and its subsidiaries, Winnebago of Indiana, LLC, Grand Design RV, LLC, Chris-Craft USA, Inc., Newmar Corporation, and Barletta Boat Company, LLC, as appropriate in this context.</w:t>
      </w:r>
    </w:p>
    <w:p>
      <w:pPr>
        <w:spacing w:after="0" w:line="223" w:lineRule="exact"/>
        <w:rPr>
          <w:sz w:val="20"/>
          <w:szCs w:val="20"/>
          <w:color w:val="auto"/>
        </w:rPr>
      </w:pPr>
    </w:p>
    <w:p>
      <w:pPr>
        <w:ind w:right="180"/>
        <w:spacing w:after="0" w:line="270" w:lineRule="auto"/>
        <w:rPr>
          <w:sz w:val="20"/>
          <w:szCs w:val="20"/>
          <w:color w:val="auto"/>
        </w:rPr>
      </w:pPr>
      <w:r>
        <w:rPr>
          <w:rFonts w:ascii="Arial" w:cs="Arial" w:eastAsia="Arial" w:hAnsi="Arial"/>
          <w:sz w:val="16"/>
          <w:szCs w:val="16"/>
          <w:color w:val="auto"/>
        </w:rPr>
        <w:t>This Conflict Minerals Report of Winnebago Industries, Inc. for calendar year 2022 is presented in accordance with Rule 13p-1 (“Rule 13p-1”) under the Securities Exchange Act of 1934 (the “1934 Act”). Please refer to Rule 13p-1, Form SD and the 1934 Act Release No. 34-67716 for definitions to the terms used in this Report, unless otherwise defined herein.</w:t>
      </w:r>
    </w:p>
    <w:p>
      <w:pPr>
        <w:spacing w:after="0" w:line="203"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Winnebago Industries, a manufacturer with a diversified portfolio of recreation vehicles and marine products, has determined that its products were manufactured with tin, tantalum, tungsten, and gold, which were necessary for the functionality of such products. In accordance with Rule 13p-1, Winnebago Industries performed due diligence as noted below to determine the conflict minerals’ status of the necessary conflict minerals used in its product manufacturing.</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 of Conflict Minerals Program and Reasonable Country of Origin Inquiry</w:t>
      </w:r>
    </w:p>
    <w:p>
      <w:pPr>
        <w:spacing w:after="0" w:line="283" w:lineRule="exact"/>
        <w:rPr>
          <w:sz w:val="20"/>
          <w:szCs w:val="20"/>
          <w:color w:val="auto"/>
        </w:rPr>
      </w:pPr>
    </w:p>
    <w:p>
      <w:pPr>
        <w:ind w:left="660" w:right="20" w:hanging="328"/>
        <w:spacing w:after="0" w:line="25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6"/>
          <w:szCs w:val="16"/>
          <w:color w:val="auto"/>
        </w:rPr>
        <w:t>We have structured compliance efforts internally to support supply chain due diligence. Winnebago Industries has developed a team responsible for the conflict minerals program. The team reports to the General Counsel.</w:t>
      </w:r>
    </w:p>
    <w:p>
      <w:pPr>
        <w:ind w:left="660" w:right="480" w:hanging="328"/>
        <w:spacing w:after="0" w:line="25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6"/>
          <w:szCs w:val="16"/>
          <w:color w:val="auto"/>
        </w:rPr>
        <w:t>We have established a system of controls and supply chain transparency through the adoption and use of due diligence tools created by the Electronic Industry Citizenship Coalition and the Global e-Sustainability Initiative (“EICC/GeSI”). This included the use of the Conflict Minerals Reporting Template (“CMRT”), a supply-chain survey.</w:t>
      </w:r>
    </w:p>
    <w:p>
      <w:pPr>
        <w:spacing w:after="0" w:line="1" w:lineRule="exact"/>
        <w:rPr>
          <w:rFonts w:ascii="Arial" w:cs="Arial" w:eastAsia="Arial" w:hAnsi="Arial"/>
          <w:sz w:val="18"/>
          <w:szCs w:val="18"/>
          <w:color w:val="auto"/>
        </w:rPr>
      </w:pPr>
    </w:p>
    <w:p>
      <w:pPr>
        <w:ind w:left="660" w:right="40" w:hanging="328"/>
        <w:spacing w:after="0" w:line="25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6"/>
          <w:szCs w:val="16"/>
          <w:color w:val="auto"/>
        </w:rPr>
        <w:t>We have conducted a supply chain survey of our largest suppliers that potentially provided parts and materials containing conflict minerals. The survey requested suppliers to identify smelters and refiners, using the CMRT. As a downstream manufacturer, we rely on our vendors to provide the origins of all of our conflict minerals, including the location of the smelter, mine, or transit route of the minerals.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Design of Due Diligence</w:t>
      </w:r>
    </w:p>
    <w:p>
      <w:pPr>
        <w:spacing w:after="0" w:line="256"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We have reviewed our suppliers and sourcing decisions, and integrated into our management programs the Organization for Economic Cooperation and Development Due Diligence Guidance for Responsible Supply Chains of Minerals from Conflict-Affected and High-Risk Areas: Second Edition (“OECD Framework”), an internationally-recognized due diligence framework. Winnebago Industries communicated to applicable suppliers our efforts to comply with Rule 13p-1.</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Description of Due Diligence Measures Performed</w:t>
      </w:r>
    </w:p>
    <w:p>
      <w:pPr>
        <w:spacing w:after="0" w:line="256" w:lineRule="exact"/>
        <w:rPr>
          <w:sz w:val="20"/>
          <w:szCs w:val="20"/>
          <w:color w:val="auto"/>
        </w:rPr>
      </w:pPr>
    </w:p>
    <w:p>
      <w:pPr>
        <w:ind w:right="400"/>
        <w:spacing w:after="0" w:line="270" w:lineRule="auto"/>
        <w:rPr>
          <w:sz w:val="20"/>
          <w:szCs w:val="20"/>
          <w:color w:val="auto"/>
        </w:rPr>
      </w:pPr>
      <w:r>
        <w:rPr>
          <w:rFonts w:ascii="Arial" w:cs="Arial" w:eastAsia="Arial" w:hAnsi="Arial"/>
          <w:sz w:val="16"/>
          <w:szCs w:val="16"/>
          <w:color w:val="auto"/>
        </w:rPr>
        <w:t>We have included a summary below of the description of the measures performed to exercise due diligence on the source and chain of custody of the necessary conflict minerals contained in our products, which may have originated from the Covered Countries and may not have come from recycled or scrap sources:</w:t>
      </w:r>
    </w:p>
    <w:p>
      <w:pPr>
        <w:spacing w:after="0" w:line="216" w:lineRule="exact"/>
        <w:rPr>
          <w:sz w:val="20"/>
          <w:szCs w:val="20"/>
          <w:color w:val="auto"/>
        </w:rPr>
      </w:pPr>
    </w:p>
    <w:p>
      <w:pPr>
        <w:ind w:left="660" w:right="120" w:hanging="328"/>
        <w:spacing w:after="0" w:line="25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We evaluated survey responses to identify: (i) the use and source of conflict minerals, and; (ii) any indicators that conflict minerals may have come from the Democratic Republic of the Congo or an Adjoining Country.</w:t>
      </w:r>
    </w:p>
    <w:p>
      <w:pPr>
        <w:spacing w:after="0" w:line="9" w:lineRule="exact"/>
        <w:rPr>
          <w:rFonts w:ascii="Arial" w:cs="Arial" w:eastAsia="Arial" w:hAnsi="Arial"/>
          <w:sz w:val="18"/>
          <w:szCs w:val="18"/>
          <w:color w:val="auto"/>
        </w:rPr>
      </w:pPr>
    </w:p>
    <w:p>
      <w:pPr>
        <w:ind w:left="660" w:right="620" w:hanging="328"/>
        <w:spacing w:after="0" w:line="25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We compared smelters and refiners identified by the supply chain survey against the list of smelters and refiners that are compliant with the Responsible Minerals Assurance Process (“RMAP”) assessment protocols.</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We made additional inquiries on a case-by-case basis if smelter and refinery information was deemed inconsistent, inaccurate, or incomplete.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The status of risk mitigation efforts was summarized and provided to Winnebago Industries’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Our conflict minerals compliance results are reported annually to the SEC and are made publicly available on our website.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Determination</w:t>
      </w:r>
    </w:p>
    <w:p>
      <w:pPr>
        <w:spacing w:after="0" w:line="270"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All products manufactured by Winnebago Industries are deemed to contain conflict minerals only when necessary to the products’ functionality. We produce products that include motorhomes, travel trailers, fifth wheel trailers, specialty commercial</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012" w:right="339" w:bottom="1440" w:gutter="0" w:footer="0" w:header="0"/>
        </w:sectPr>
      </w:pPr>
    </w:p>
    <w:bookmarkStart w:id="4" w:name="page5"/>
    <w:bookmarkEnd w:id="4"/>
    <w:p>
      <w:pPr>
        <w:spacing w:after="0" w:line="259" w:lineRule="auto"/>
        <w:rPr>
          <w:sz w:val="20"/>
          <w:szCs w:val="20"/>
          <w:color w:val="auto"/>
        </w:rPr>
      </w:pPr>
      <w:r>
        <w:rPr>
          <w:rFonts w:ascii="Arial" w:cs="Arial" w:eastAsia="Arial" w:hAnsi="Arial"/>
          <w:sz w:val="16"/>
          <w:szCs w:val="16"/>
          <w:color w:val="auto"/>
        </w:rPr>
        <w:t>vehicles, and marine products, as well as supporting RV and marine products. Based on the surveys provided and notifications that our suppliers’ diligence efforts were incomplete, we do not have sufficient information to conclusively determine all smelters or refiners or Countries of Origin of the conflict minerals. However, based on the data provided by the Reasonable Country of Origin Inquiry, we have provided a list of the smelters and refiners that were reported in the surveys provided to us by our suppliers on Annex I. The majority of our suppliers reported conflict minerals’ use at the company level, not at the product level. As such, we cannot definitively state whether these conflict minerals were included in the products supplied to Winnebago or further validate that these smelters or refiners exist in our supply chain.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Due Diligence</w:t>
      </w:r>
    </w:p>
    <w:p>
      <w:pPr>
        <w:spacing w:after="0" w:line="270" w:lineRule="exact"/>
        <w:rPr>
          <w:sz w:val="20"/>
          <w:szCs w:val="20"/>
          <w:color w:val="auto"/>
        </w:rPr>
      </w:pPr>
    </w:p>
    <w:p>
      <w:pPr>
        <w:ind w:right="600"/>
        <w:spacing w:after="0" w:line="276" w:lineRule="auto"/>
        <w:rPr>
          <w:sz w:val="20"/>
          <w:szCs w:val="20"/>
          <w:color w:val="auto"/>
        </w:rPr>
      </w:pPr>
      <w:r>
        <w:rPr>
          <w:rFonts w:ascii="Arial" w:cs="Arial" w:eastAsia="Arial" w:hAnsi="Arial"/>
          <w:sz w:val="16"/>
          <w:szCs w:val="16"/>
          <w:color w:val="auto"/>
        </w:rPr>
        <w:t>There were numerous suppliers that did not provide a listing of smelters and refiners used and an additional group of suppliers that did not provide a response to our survey. In our efforts to obtain timely and accurate information from our supply chain, we intend to execute the following:</w:t>
      </w:r>
    </w:p>
    <w:p>
      <w:pPr>
        <w:spacing w:after="0" w:line="22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6"/>
          <w:szCs w:val="16"/>
          <w:color w:val="auto"/>
        </w:rPr>
        <w:t>Continue to assess the presence of conflict minerals in our supply chain.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6"/>
          <w:szCs w:val="16"/>
          <w:color w:val="auto"/>
        </w:rPr>
        <w:t>Clearly communicate expectations with newly contracted and delinquent suppliers.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6"/>
          <w:szCs w:val="16"/>
          <w:color w:val="auto"/>
        </w:rPr>
        <w:t>Continue to improve our risk mitigation strategy.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6"/>
          <w:szCs w:val="16"/>
          <w:color w:val="auto"/>
        </w:rPr>
        <w:t>Continue to encourage our direct suppliers to assess their supply chain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6"/>
          <w:szCs w:val="16"/>
          <w:color w:val="auto"/>
        </w:rPr>
        <w:t>Continue to encourage our direct suppliers to provide complete and accurate information.</w:t>
      </w:r>
    </w:p>
    <w:p>
      <w:pPr>
        <w:spacing w:after="0" w:line="239" w:lineRule="exact"/>
        <w:rPr>
          <w:sz w:val="20"/>
          <w:szCs w:val="20"/>
          <w:color w:val="auto"/>
        </w:rPr>
      </w:pPr>
    </w:p>
    <w:p>
      <w:pPr>
        <w:ind w:right="360"/>
        <w:spacing w:after="0" w:line="276" w:lineRule="auto"/>
        <w:rPr>
          <w:sz w:val="20"/>
          <w:szCs w:val="20"/>
          <w:color w:val="auto"/>
        </w:rPr>
      </w:pPr>
      <w:r>
        <w:rPr>
          <w:rFonts w:ascii="Arial" w:cs="Arial" w:eastAsia="Arial" w:hAnsi="Arial"/>
          <w:sz w:val="16"/>
          <w:szCs w:val="16"/>
          <w:color w:val="auto"/>
        </w:rPr>
        <w:t>As we progress, we expect that transparency in our supply chain will increase, which will allow for more accurate and detailed levels of risk assessment within our supply chain.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00"/>
          </w:cols>
          <w:pgMar w:left="320" w:top="1020" w:right="37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27"/>
        </w:trPr>
        <w:tc>
          <w:tcPr>
            <w:tcW w:w="1180" w:type="dxa"/>
            <w:vAlign w:val="bottom"/>
          </w:tcPr>
          <w:p>
            <w:pPr>
              <w:spacing w:after="0"/>
              <w:rPr>
                <w:sz w:val="19"/>
                <w:szCs w:val="19"/>
                <w:color w:val="auto"/>
              </w:rPr>
            </w:pPr>
          </w:p>
        </w:tc>
        <w:tc>
          <w:tcPr>
            <w:tcW w:w="6720" w:type="dxa"/>
            <w:vAlign w:val="bottom"/>
          </w:tcPr>
          <w:p>
            <w:pPr>
              <w:ind w:left="4160"/>
              <w:spacing w:after="0"/>
              <w:rPr>
                <w:sz w:val="20"/>
                <w:szCs w:val="20"/>
                <w:color w:val="auto"/>
              </w:rPr>
            </w:pPr>
            <w:r>
              <w:rPr>
                <w:rFonts w:ascii="Arial" w:cs="Arial" w:eastAsia="Arial" w:hAnsi="Arial"/>
                <w:sz w:val="16"/>
                <w:szCs w:val="16"/>
                <w:b w:val="1"/>
                <w:bCs w:val="1"/>
                <w:color w:val="auto"/>
              </w:rPr>
              <w:t>Annex I</w:t>
            </w:r>
          </w:p>
        </w:tc>
        <w:tc>
          <w:tcPr>
            <w:tcW w:w="3160" w:type="dxa"/>
            <w:vAlign w:val="bottom"/>
          </w:tcPr>
          <w:p>
            <w:pPr>
              <w:spacing w:after="0"/>
              <w:rPr>
                <w:sz w:val="19"/>
                <w:szCs w:val="19"/>
                <w:color w:val="auto"/>
              </w:rPr>
            </w:pPr>
          </w:p>
        </w:tc>
      </w:tr>
      <w:tr>
        <w:trPr>
          <w:trHeight w:val="35"/>
        </w:trPr>
        <w:tc>
          <w:tcPr>
            <w:tcW w:w="1180" w:type="dxa"/>
            <w:vAlign w:val="bottom"/>
            <w:tcBorders>
              <w:bottom w:val="single" w:sz="8" w:color="auto"/>
            </w:tcBorders>
          </w:tcPr>
          <w:p>
            <w:pPr>
              <w:spacing w:after="0"/>
              <w:rPr>
                <w:sz w:val="3"/>
                <w:szCs w:val="3"/>
                <w:color w:val="auto"/>
              </w:rPr>
            </w:pPr>
          </w:p>
        </w:tc>
        <w:tc>
          <w:tcPr>
            <w:tcW w:w="6720" w:type="dxa"/>
            <w:vAlign w:val="bottom"/>
            <w:tcBorders>
              <w:bottom w:val="single" w:sz="8" w:color="auto"/>
            </w:tcBorders>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r>
      <w:tr>
        <w:trPr>
          <w:trHeight w:val="209"/>
        </w:trPr>
        <w:tc>
          <w:tcPr>
            <w:tcW w:w="1180" w:type="dxa"/>
            <w:vAlign w:val="bottom"/>
            <w:tcBorders>
              <w:left w:val="single" w:sz="8" w:color="auto"/>
              <w:bottom w:val="single" w:sz="8" w:color="auto"/>
              <w:right w:val="single" w:sz="8" w:color="CCCCCC"/>
            </w:tcBorders>
            <w:shd w:val="clear" w:color="auto" w:fill="0070C0"/>
          </w:tcPr>
          <w:p>
            <w:pPr>
              <w:ind w:left="40"/>
              <w:spacing w:after="0"/>
              <w:rPr>
                <w:sz w:val="20"/>
                <w:szCs w:val="20"/>
                <w:color w:val="auto"/>
              </w:rPr>
            </w:pPr>
            <w:r>
              <w:rPr>
                <w:rFonts w:ascii="Arial" w:cs="Arial" w:eastAsia="Arial" w:hAnsi="Arial"/>
                <w:sz w:val="16"/>
                <w:szCs w:val="16"/>
                <w:b w:val="1"/>
                <w:bCs w:val="1"/>
                <w:color w:val="FFFFFF"/>
              </w:rPr>
              <w:t>Metal</w:t>
            </w:r>
          </w:p>
        </w:tc>
        <w:tc>
          <w:tcPr>
            <w:tcW w:w="6720" w:type="dxa"/>
            <w:vAlign w:val="bottom"/>
            <w:tcBorders>
              <w:bottom w:val="single" w:sz="8" w:color="auto"/>
              <w:right w:val="single" w:sz="8" w:color="CCCCCC"/>
            </w:tcBorders>
            <w:shd w:val="clear" w:color="auto" w:fill="0070C0"/>
          </w:tcPr>
          <w:p>
            <w:pPr>
              <w:ind w:left="20"/>
              <w:spacing w:after="0"/>
              <w:rPr>
                <w:sz w:val="20"/>
                <w:szCs w:val="20"/>
                <w:color w:val="auto"/>
              </w:rPr>
            </w:pPr>
            <w:r>
              <w:rPr>
                <w:rFonts w:ascii="Arial" w:cs="Arial" w:eastAsia="Arial" w:hAnsi="Arial"/>
                <w:sz w:val="16"/>
                <w:szCs w:val="16"/>
                <w:b w:val="1"/>
                <w:bCs w:val="1"/>
                <w:color w:val="FFFFFF"/>
              </w:rPr>
              <w:t>Smelter or Refiner Name</w:t>
            </w:r>
          </w:p>
        </w:tc>
        <w:tc>
          <w:tcPr>
            <w:tcW w:w="3160" w:type="dxa"/>
            <w:vAlign w:val="bottom"/>
            <w:tcBorders>
              <w:bottom w:val="single" w:sz="8" w:color="auto"/>
              <w:right w:val="single" w:sz="8" w:color="auto"/>
            </w:tcBorders>
            <w:shd w:val="clear" w:color="auto" w:fill="0070C0"/>
          </w:tcPr>
          <w:p>
            <w:pPr>
              <w:spacing w:after="0"/>
              <w:rPr>
                <w:sz w:val="20"/>
                <w:szCs w:val="20"/>
                <w:color w:val="auto"/>
              </w:rPr>
            </w:pPr>
            <w:r>
              <w:rPr>
                <w:rFonts w:ascii="Arial" w:cs="Arial" w:eastAsia="Arial" w:hAnsi="Arial"/>
                <w:sz w:val="16"/>
                <w:szCs w:val="16"/>
                <w:b w:val="1"/>
                <w:bCs w:val="1"/>
                <w:color w:val="FFFFFF"/>
              </w:rPr>
              <w:t>Smelter or Refiner Country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8853 S.p.A.</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ITALY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ABC Refinery Pty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AUSTRALIA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Abington Reldan Metals, LLC</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Advanced Chemical Company</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African Gold Refinery</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UGANDA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Agosi AG</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GERMANY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Aida Chemical Industries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Al Etihad Gold Refinery DMCC</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UNITED ARAB EMIRATES</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Albino Mountinho Lda.</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PORTUGAL</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Alexy Metals</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Almalyk Mining and Metallurgical Complex (AMMC)</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UZBEKISTAN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AngloGold Ashanti Corrego do Sitio Mineracao</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BRAZIL</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Argor-Heraeus S.A.</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SWITZERLAND</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Asahi Pretec Corp.</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Asahi Refining Canada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CANADA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Asahi Refining USA Inc.</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Asaka Riken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Atasay Kuyumculuk Sanayi Ve Ticaret A.S.</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TURKEY</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AU Traders and Refiners</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SOUTH AFRICA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Augmont Enterprises Private Limited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INDIA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Aurubis AG</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GERMANY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Bangalore Refinery</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INDIA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Bangko Sentral ng Pilipinas (Central Bank of the Philippines)</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PHILIPPINES</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Boliden AB</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SWEDEN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C. Hafner GmbH + Co. KG</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GERMANY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C.I Metales Procesados Industriales SAS</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COLOMBIA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Caridad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MEXICO</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CCR Refinery - Glencore Canada Corporation</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CANADA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Cendres + Metaux S.A.</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SWITZERLAND</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CGR Metalloys Pvt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INDIA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Chimet S.p.A.</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ITALY</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Chugai Mining</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Daejin Indus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KOREA, REPUBLIC OF</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Daye Non-Ferrous Metals Mining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Degussa Sonne / Mond Goldhandel GmbH</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GERMANY</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Dijllah Gold Refinery FZC</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UNITED ARAB EMIRATES</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DODUCO Contacts and Refining GmbH</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GERMANY</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Dongwu Gold Group</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Dowa</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DSC (Do Sung Corporation)</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KOREA, REPUBLIC OF</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Eco-System Recycling Co., Ltd. East Plant</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Eco-System Recycling Co., Ltd. North Plant</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auto"/>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auto"/>
              <w:right w:val="single" w:sz="8" w:color="CCCCCC"/>
            </w:tcBorders>
          </w:tcPr>
          <w:p>
            <w:pPr>
              <w:ind w:left="20"/>
              <w:spacing w:after="0"/>
              <w:rPr>
                <w:sz w:val="20"/>
                <w:szCs w:val="20"/>
                <w:color w:val="auto"/>
              </w:rPr>
            </w:pPr>
            <w:r>
              <w:rPr>
                <w:rFonts w:ascii="Arial" w:cs="Arial" w:eastAsia="Arial" w:hAnsi="Arial"/>
                <w:sz w:val="16"/>
                <w:szCs w:val="16"/>
                <w:color w:val="auto"/>
              </w:rPr>
              <w:t>Eco-System Recycling Co., Ltd. West Plant</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JAPAN</w:t>
            </w:r>
          </w:p>
        </w:tc>
      </w:tr>
    </w:tbl>
    <w:p>
      <w:pPr>
        <w:sectPr>
          <w:pgSz w:w="11900" w:h="16838" w:orient="portrait"/>
          <w:cols w:equalWidth="0" w:num="1">
            <w:col w:w="11060"/>
          </w:cols>
          <w:pgMar w:left="320" w:top="904" w:right="51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180" w:type="dxa"/>
            <w:vAlign w:val="bottom"/>
            <w:tcBorders>
              <w:top w:val="single" w:sz="8" w:color="auto"/>
              <w:left w:val="single" w:sz="8" w:color="auto"/>
              <w:bottom w:val="single" w:sz="8" w:color="auto"/>
              <w:right w:val="single" w:sz="8" w:color="CCCCCC"/>
            </w:tcBorders>
            <w:shd w:val="clear" w:color="auto" w:fill="0070C0"/>
          </w:tcPr>
          <w:p>
            <w:pPr>
              <w:ind w:left="40"/>
              <w:spacing w:after="0"/>
              <w:rPr>
                <w:sz w:val="20"/>
                <w:szCs w:val="20"/>
                <w:color w:val="auto"/>
              </w:rPr>
            </w:pPr>
            <w:r>
              <w:rPr>
                <w:rFonts w:ascii="Arial" w:cs="Arial" w:eastAsia="Arial" w:hAnsi="Arial"/>
                <w:sz w:val="16"/>
                <w:szCs w:val="16"/>
                <w:b w:val="1"/>
                <w:bCs w:val="1"/>
                <w:color w:val="FFFFFF"/>
              </w:rPr>
              <w:t>Metal</w:t>
            </w:r>
          </w:p>
        </w:tc>
        <w:tc>
          <w:tcPr>
            <w:tcW w:w="6720" w:type="dxa"/>
            <w:vAlign w:val="bottom"/>
            <w:tcBorders>
              <w:top w:val="single" w:sz="8" w:color="auto"/>
              <w:bottom w:val="single" w:sz="8" w:color="auto"/>
              <w:right w:val="single" w:sz="8" w:color="CCCCCC"/>
            </w:tcBorders>
            <w:shd w:val="clear" w:color="auto" w:fill="0070C0"/>
          </w:tcPr>
          <w:p>
            <w:pPr>
              <w:ind w:left="20"/>
              <w:spacing w:after="0"/>
              <w:rPr>
                <w:sz w:val="20"/>
                <w:szCs w:val="20"/>
                <w:color w:val="auto"/>
              </w:rPr>
            </w:pPr>
            <w:r>
              <w:rPr>
                <w:rFonts w:ascii="Arial" w:cs="Arial" w:eastAsia="Arial" w:hAnsi="Arial"/>
                <w:sz w:val="16"/>
                <w:szCs w:val="16"/>
                <w:b w:val="1"/>
                <w:bCs w:val="1"/>
                <w:color w:val="FFFFFF"/>
              </w:rPr>
              <w:t>Smelter or Refiner Name</w:t>
            </w:r>
          </w:p>
        </w:tc>
        <w:tc>
          <w:tcPr>
            <w:tcW w:w="3160" w:type="dxa"/>
            <w:vAlign w:val="bottom"/>
            <w:tcBorders>
              <w:top w:val="single" w:sz="8" w:color="auto"/>
              <w:bottom w:val="single" w:sz="8" w:color="auto"/>
              <w:right w:val="single" w:sz="8" w:color="auto"/>
            </w:tcBorders>
            <w:shd w:val="clear" w:color="auto" w:fill="0070C0"/>
          </w:tcPr>
          <w:p>
            <w:pPr>
              <w:spacing w:after="0"/>
              <w:rPr>
                <w:sz w:val="20"/>
                <w:szCs w:val="20"/>
                <w:color w:val="auto"/>
              </w:rPr>
            </w:pPr>
            <w:r>
              <w:rPr>
                <w:rFonts w:ascii="Arial" w:cs="Arial" w:eastAsia="Arial" w:hAnsi="Arial"/>
                <w:sz w:val="16"/>
                <w:szCs w:val="16"/>
                <w:b w:val="1"/>
                <w:bCs w:val="1"/>
                <w:color w:val="FFFFFF"/>
              </w:rPr>
              <w:t>Smelter or Refiner Country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Emerald Jewel Industry India Limited (Unit 1)</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INDIA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Emerald Jewel Industry India Limited (Unit 2)</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INDIA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Emerald Jewel Industry India Limited (Unit 3)</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INDIA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Emerald Jewel Industry India Limited (Unit 4)</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INDIA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Emirates Gold DMCC</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UNITED ARAB EMIRATES</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Fidelity Printers and Refiners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ZIMBABWE</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Fujairah Gold FZC</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UNITED ARAB EMIRATES</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Geib Refining Corporation</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GGC Gujrat Gold Centre Pvt.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INDIA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Gold by Gold Colombia</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COLOMBIA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Gold Coast Refinery</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GHANA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Gold Refinery of Zijin Mining Group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Great Wall Precious Metals Co., Ltd. of CBPM</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Guangdong Jinding Gold Limited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Guoda Safina High-Tech Environmental Refinery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Hangzhou Fuchunjiang Smelting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Heimerle + Meule GmbH</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GERMANY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Heraeus Germany GmbH Co. KG</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GERMANY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Heraeus Metals Hong Kong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Hunan Chenzhou Mining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Hunan Guiyang yinxing Nonferrous Smelting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HwaSeong CJ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KOREA, REPUBLIC OF</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Industrial Refining Company</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BELGIUM</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Inner Mongolia Qiankun Gold and Silver Refinery Share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International Precious Metal Refiners</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UNITED ARAB EMIRATES</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Ishifuku Metal Industry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Istanbul Gold Refinery</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TURKEY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Italpreziosi</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ITALY</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JALAN &amp; Company</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INDIA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Japan Mint</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Jiangxi Copper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JSC Ekaterinburg Non-Ferrous Metal Processing Plant</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RUSSIAN FEDERATION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JSC Novosibirsk Refinery</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RUSSIAN FEDERATION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JSC Uralelectromed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RUSSIAN FEDERATION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JX Nippon Mining &amp; Metals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K.A. Rasmussen</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NORWAY</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Kaloti Precious Metals</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UNITED ARAB EMIRATES</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Kazakhmys Smelting LLC</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KAZAKHSTAN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Kazzinc</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KAZAKHSTAN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Kennecott Utah Copper LLC</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KGHM Polska Miedz Spolka Akcyjna</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POLAND</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Kojima Chemicals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auto"/>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auto"/>
              <w:right w:val="single" w:sz="8" w:color="CCCCCC"/>
            </w:tcBorders>
          </w:tcPr>
          <w:p>
            <w:pPr>
              <w:ind w:left="20"/>
              <w:spacing w:after="0"/>
              <w:rPr>
                <w:sz w:val="20"/>
                <w:szCs w:val="20"/>
                <w:color w:val="auto"/>
              </w:rPr>
            </w:pPr>
            <w:r>
              <w:rPr>
                <w:rFonts w:ascii="Arial" w:cs="Arial" w:eastAsia="Arial" w:hAnsi="Arial"/>
                <w:sz w:val="16"/>
                <w:szCs w:val="16"/>
                <w:color w:val="auto"/>
              </w:rPr>
              <w:t>Korea Zinc Co., Ltd.</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KOREA, REPUBLIC OF</w:t>
            </w:r>
          </w:p>
        </w:tc>
      </w:tr>
    </w:tbl>
    <w:p>
      <w:pPr>
        <w:sectPr>
          <w:pgSz w:w="11900" w:h="16838" w:orient="portrait"/>
          <w:cols w:equalWidth="0" w:num="1">
            <w:col w:w="11060"/>
          </w:cols>
          <w:pgMar w:left="320" w:top="916" w:right="51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180" w:type="dxa"/>
            <w:vAlign w:val="bottom"/>
            <w:tcBorders>
              <w:top w:val="single" w:sz="8" w:color="auto"/>
              <w:left w:val="single" w:sz="8" w:color="auto"/>
              <w:bottom w:val="single" w:sz="8" w:color="auto"/>
              <w:right w:val="single" w:sz="8" w:color="CCCCCC"/>
            </w:tcBorders>
            <w:shd w:val="clear" w:color="auto" w:fill="0070C0"/>
          </w:tcPr>
          <w:p>
            <w:pPr>
              <w:ind w:left="40"/>
              <w:spacing w:after="0"/>
              <w:rPr>
                <w:sz w:val="20"/>
                <w:szCs w:val="20"/>
                <w:color w:val="auto"/>
              </w:rPr>
            </w:pPr>
            <w:r>
              <w:rPr>
                <w:rFonts w:ascii="Arial" w:cs="Arial" w:eastAsia="Arial" w:hAnsi="Arial"/>
                <w:sz w:val="16"/>
                <w:szCs w:val="16"/>
                <w:b w:val="1"/>
                <w:bCs w:val="1"/>
                <w:color w:val="FFFFFF"/>
              </w:rPr>
              <w:t>Metal</w:t>
            </w:r>
          </w:p>
        </w:tc>
        <w:tc>
          <w:tcPr>
            <w:tcW w:w="6720" w:type="dxa"/>
            <w:vAlign w:val="bottom"/>
            <w:tcBorders>
              <w:top w:val="single" w:sz="8" w:color="auto"/>
              <w:bottom w:val="single" w:sz="8" w:color="auto"/>
              <w:right w:val="single" w:sz="8" w:color="CCCCCC"/>
            </w:tcBorders>
            <w:shd w:val="clear" w:color="auto" w:fill="0070C0"/>
          </w:tcPr>
          <w:p>
            <w:pPr>
              <w:ind w:left="20"/>
              <w:spacing w:after="0"/>
              <w:rPr>
                <w:sz w:val="20"/>
                <w:szCs w:val="20"/>
                <w:color w:val="auto"/>
              </w:rPr>
            </w:pPr>
            <w:r>
              <w:rPr>
                <w:rFonts w:ascii="Arial" w:cs="Arial" w:eastAsia="Arial" w:hAnsi="Arial"/>
                <w:sz w:val="16"/>
                <w:szCs w:val="16"/>
                <w:b w:val="1"/>
                <w:bCs w:val="1"/>
                <w:color w:val="FFFFFF"/>
              </w:rPr>
              <w:t>Smelter or Refiner Name</w:t>
            </w:r>
          </w:p>
        </w:tc>
        <w:tc>
          <w:tcPr>
            <w:tcW w:w="3160" w:type="dxa"/>
            <w:vAlign w:val="bottom"/>
            <w:tcBorders>
              <w:top w:val="single" w:sz="8" w:color="auto"/>
              <w:bottom w:val="single" w:sz="8" w:color="auto"/>
              <w:right w:val="single" w:sz="8" w:color="auto"/>
            </w:tcBorders>
            <w:shd w:val="clear" w:color="auto" w:fill="0070C0"/>
          </w:tcPr>
          <w:p>
            <w:pPr>
              <w:spacing w:after="0"/>
              <w:rPr>
                <w:sz w:val="20"/>
                <w:szCs w:val="20"/>
                <w:color w:val="auto"/>
              </w:rPr>
            </w:pPr>
            <w:r>
              <w:rPr>
                <w:rFonts w:ascii="Arial" w:cs="Arial" w:eastAsia="Arial" w:hAnsi="Arial"/>
                <w:sz w:val="16"/>
                <w:szCs w:val="16"/>
                <w:b w:val="1"/>
                <w:bCs w:val="1"/>
                <w:color w:val="FFFFFF"/>
              </w:rPr>
              <w:t>Smelter or Refiner Country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Kundan Care Products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INDIA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Kyrgyzaltyn JSC</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KYRGYZSTAN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Kyshtym Copper-Electrolytic Plant ZAO</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RUSSIAN FEDERATION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L'azurde Company For Jewelry</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SAUDI ARABIA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Lingbao Gold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Lingbao Jinyuan Tonghui Refinery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L'Orfebre S.A.</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ANDORRA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LS-NIKKO Copper Inc.</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KOREA, REPUBLIC OF</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LT Metal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KOREA, REPUBLIC OF</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Luoyang Zijin Yinhui Gold Refinery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Marsam Metals</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BRAZIL</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Materion</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Matsuda Sangyo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MD Overseas</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INDIA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Metal Concentrators SA (Pty)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SOUTH AFRICA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Metallix Refining Inc.</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Metalor Technologies (Hong Kong)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Metalor Technologies (Singapore) Pte.,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SINGAPORE</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Metalor Technologies (Suzhou)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Metalor Technologies S.A.</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SWITZERLAND</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Metalor USA Refining Corporation</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Metalurgica Met-Mex Penoles S.A. De C.V.</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MEXICO</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Mitsubishi Materials Corporation</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Mitsui Mining and Smelting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MKS PAMP SA</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SWITZERLAND</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MMTC-PAMP India Pvt.,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INDIA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Modeltech Sdn Bhd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MALAYSIA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Morris and Watson</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NEW ZEALAND</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Moscow Special Alloys Processing Plant</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RUSSIAN FEDERATION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Nadir Metal Rafineri San. Ve Tic. A.S.</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TURKEY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Navoi Mining and Metallurgical Combinat</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UZBEKISTAN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NH Recytech Company</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KOREA, REPUBLIC OF</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Nihon Material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No Smelter Listed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UNITED ARAB EMIRATES</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Ogussa Osterreichische Gold- und Silber-Scheideanstalt GmbH</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AUSTRIA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Ohura Precious Metal Industry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OJSC "The Gulidov Krasnoyarsk Non-Ferrous Metals Plant" (OJSC Krastsvetmet)</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RUSSIAN FEDERATION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Pease &amp; Curren</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Penglai Penggang Gold Industry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Planta Recuperadora de Metales SpA</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CHILE</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Prioksky Plant of Non-Ferrous Metals</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RUSSIAN FEDERATION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PT Aneka Tambang (Persero) Tbk</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auto"/>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auto"/>
              <w:right w:val="single" w:sz="8" w:color="CCCCCC"/>
            </w:tcBorders>
          </w:tcPr>
          <w:p>
            <w:pPr>
              <w:ind w:left="20"/>
              <w:spacing w:after="0"/>
              <w:rPr>
                <w:sz w:val="20"/>
                <w:szCs w:val="20"/>
                <w:color w:val="auto"/>
              </w:rPr>
            </w:pPr>
            <w:r>
              <w:rPr>
                <w:rFonts w:ascii="Arial" w:cs="Arial" w:eastAsia="Arial" w:hAnsi="Arial"/>
                <w:sz w:val="16"/>
                <w:szCs w:val="16"/>
                <w:color w:val="auto"/>
              </w:rPr>
              <w:t>PX Precinox S.A.</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SWITZERLAND</w:t>
            </w:r>
          </w:p>
        </w:tc>
      </w:tr>
    </w:tbl>
    <w:p>
      <w:pPr>
        <w:sectPr>
          <w:pgSz w:w="11900" w:h="16838" w:orient="portrait"/>
          <w:cols w:equalWidth="0" w:num="1">
            <w:col w:w="11060"/>
          </w:cols>
          <w:pgMar w:left="320" w:top="916" w:right="51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180" w:type="dxa"/>
            <w:vAlign w:val="bottom"/>
            <w:tcBorders>
              <w:top w:val="single" w:sz="8" w:color="auto"/>
              <w:left w:val="single" w:sz="8" w:color="auto"/>
              <w:bottom w:val="single" w:sz="8" w:color="auto"/>
              <w:right w:val="single" w:sz="8" w:color="CCCCCC"/>
            </w:tcBorders>
            <w:shd w:val="clear" w:color="auto" w:fill="0070C0"/>
          </w:tcPr>
          <w:p>
            <w:pPr>
              <w:ind w:left="40"/>
              <w:spacing w:after="0"/>
              <w:rPr>
                <w:sz w:val="20"/>
                <w:szCs w:val="20"/>
                <w:color w:val="auto"/>
              </w:rPr>
            </w:pPr>
            <w:r>
              <w:rPr>
                <w:rFonts w:ascii="Arial" w:cs="Arial" w:eastAsia="Arial" w:hAnsi="Arial"/>
                <w:sz w:val="16"/>
                <w:szCs w:val="16"/>
                <w:b w:val="1"/>
                <w:bCs w:val="1"/>
                <w:color w:val="FFFFFF"/>
              </w:rPr>
              <w:t>Metal</w:t>
            </w:r>
          </w:p>
        </w:tc>
        <w:tc>
          <w:tcPr>
            <w:tcW w:w="6720" w:type="dxa"/>
            <w:vAlign w:val="bottom"/>
            <w:tcBorders>
              <w:top w:val="single" w:sz="8" w:color="auto"/>
              <w:bottom w:val="single" w:sz="8" w:color="auto"/>
              <w:right w:val="single" w:sz="8" w:color="CCCCCC"/>
            </w:tcBorders>
            <w:shd w:val="clear" w:color="auto" w:fill="0070C0"/>
          </w:tcPr>
          <w:p>
            <w:pPr>
              <w:ind w:left="20"/>
              <w:spacing w:after="0"/>
              <w:rPr>
                <w:sz w:val="20"/>
                <w:szCs w:val="20"/>
                <w:color w:val="auto"/>
              </w:rPr>
            </w:pPr>
            <w:r>
              <w:rPr>
                <w:rFonts w:ascii="Arial" w:cs="Arial" w:eastAsia="Arial" w:hAnsi="Arial"/>
                <w:sz w:val="16"/>
                <w:szCs w:val="16"/>
                <w:b w:val="1"/>
                <w:bCs w:val="1"/>
                <w:color w:val="FFFFFF"/>
              </w:rPr>
              <w:t>Smelter or Refiner Name</w:t>
            </w:r>
          </w:p>
        </w:tc>
        <w:tc>
          <w:tcPr>
            <w:tcW w:w="3160" w:type="dxa"/>
            <w:vAlign w:val="bottom"/>
            <w:tcBorders>
              <w:top w:val="single" w:sz="8" w:color="auto"/>
              <w:bottom w:val="single" w:sz="8" w:color="auto"/>
              <w:right w:val="single" w:sz="8" w:color="auto"/>
            </w:tcBorders>
            <w:shd w:val="clear" w:color="auto" w:fill="0070C0"/>
          </w:tcPr>
          <w:p>
            <w:pPr>
              <w:spacing w:after="0"/>
              <w:rPr>
                <w:sz w:val="20"/>
                <w:szCs w:val="20"/>
                <w:color w:val="auto"/>
              </w:rPr>
            </w:pPr>
            <w:r>
              <w:rPr>
                <w:rFonts w:ascii="Arial" w:cs="Arial" w:eastAsia="Arial" w:hAnsi="Arial"/>
                <w:sz w:val="16"/>
                <w:szCs w:val="16"/>
                <w:b w:val="1"/>
                <w:bCs w:val="1"/>
                <w:color w:val="FFFFFF"/>
              </w:rPr>
              <w:t>Smelter or Refiner Country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QG Refining, LLC</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Rand Refinery (Pty)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SOUTH AFRICA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Refinery of Seemine Gold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REMONDIS PMR B.V.</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NETHERLANDS</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Republic Metals Corporation</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Royal Canadian Mint</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CANADA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SAAMP</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FRANCE</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Sabin Metal Corp.</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Safimet S.p.A</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ITALY</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SAFINA A.S.</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CZECHIA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Sai Refinery</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INDIA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Samduck Precious Metals</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KOREA, REPUBLIC OF</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Samwon Metals Corp.</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KOREA, REPUBLIC OF</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Sancus ZFS (L’Orfebre, SA)</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COLOMBIA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SAXONIA Edelmetalle GmbH</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GERMANY</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Sellem Industries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MAURITANIA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SEMPSA Joyeria Plateria S.A.</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SPAIN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Shandong Gold Smelting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Shandong Humon Smelting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Shandong Tiancheng Biological Gold Industrial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Shandong Zhaojin Gold &amp; Silver Refinery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Shenzhen CuiLu Gold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Shenzhen Zhonghenglong Real Industry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Shirpur Gold Refinery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INDIA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Sichuan Tianze Precious Metals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Singway Technology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TAIWAN, PROVINCE OF 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Super Dragon Technology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SOE Shyolkovsky Factory of Secondary Precious Metals</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RUSSIAN FEDERATION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Solar Applied Materials Technology Corp.</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TAIWAN, PROVINCE OF 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Sovereign Metals</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INDIA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State Research Institute Center for Physical Sciences and Technology</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LITHUANIA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Sudan Gold Refinery</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SUDAN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Sumitomo Metal Mining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SungEel HiMetal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KOREA, REPUBLIC OF</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T.C.A S.p.A</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ITALY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Tanaka Kikinzoku Kogyo K.K.</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Tokuriki Honten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Tongling Nonferrous Metals Group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TOO Tau-Ken-Altyn</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KAZAKHSTAN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Torecom</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KOREA, REPUBLIC OF</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TSK Pretech</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KOREA, REPUBLIC OF</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Umicore Brasil Ltda.</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BRAZIL</w:t>
            </w:r>
          </w:p>
        </w:tc>
      </w:tr>
      <w:tr>
        <w:trPr>
          <w:trHeight w:val="210"/>
        </w:trPr>
        <w:tc>
          <w:tcPr>
            <w:tcW w:w="1180" w:type="dxa"/>
            <w:vAlign w:val="bottom"/>
            <w:tcBorders>
              <w:left w:val="single" w:sz="8" w:color="auto"/>
              <w:bottom w:val="single" w:sz="8" w:color="auto"/>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auto"/>
              <w:right w:val="single" w:sz="8" w:color="CCCCCC"/>
            </w:tcBorders>
          </w:tcPr>
          <w:p>
            <w:pPr>
              <w:ind w:left="20"/>
              <w:spacing w:after="0"/>
              <w:rPr>
                <w:sz w:val="20"/>
                <w:szCs w:val="20"/>
                <w:color w:val="auto"/>
              </w:rPr>
            </w:pPr>
            <w:r>
              <w:rPr>
                <w:rFonts w:ascii="Arial" w:cs="Arial" w:eastAsia="Arial" w:hAnsi="Arial"/>
                <w:sz w:val="16"/>
                <w:szCs w:val="16"/>
                <w:color w:val="auto"/>
              </w:rPr>
              <w:t>Umicore Precious Metals Thailand</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THAILAND</w:t>
            </w:r>
          </w:p>
        </w:tc>
      </w:tr>
    </w:tbl>
    <w:p>
      <w:pPr>
        <w:sectPr>
          <w:pgSz w:w="11900" w:h="16838" w:orient="portrait"/>
          <w:cols w:equalWidth="0" w:num="1">
            <w:col w:w="11060"/>
          </w:cols>
          <w:pgMar w:left="320" w:top="916" w:right="51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200" w:type="dxa"/>
            <w:vAlign w:val="bottom"/>
            <w:tcBorders>
              <w:top w:val="single" w:sz="8" w:color="auto"/>
              <w:left w:val="single" w:sz="8" w:color="auto"/>
              <w:bottom w:val="single" w:sz="8" w:color="auto"/>
              <w:right w:val="single" w:sz="8" w:color="CCCCCC"/>
            </w:tcBorders>
            <w:shd w:val="clear" w:color="auto" w:fill="0070C0"/>
          </w:tcPr>
          <w:p>
            <w:pPr>
              <w:ind w:left="40"/>
              <w:spacing w:after="0"/>
              <w:rPr>
                <w:sz w:val="20"/>
                <w:szCs w:val="20"/>
                <w:color w:val="auto"/>
              </w:rPr>
            </w:pPr>
            <w:r>
              <w:rPr>
                <w:rFonts w:ascii="Arial" w:cs="Arial" w:eastAsia="Arial" w:hAnsi="Arial"/>
                <w:sz w:val="16"/>
                <w:szCs w:val="16"/>
                <w:b w:val="1"/>
                <w:bCs w:val="1"/>
                <w:color w:val="FFFFFF"/>
              </w:rPr>
              <w:t>Metal</w:t>
            </w:r>
          </w:p>
        </w:tc>
        <w:tc>
          <w:tcPr>
            <w:tcW w:w="6700" w:type="dxa"/>
            <w:vAlign w:val="bottom"/>
            <w:tcBorders>
              <w:top w:val="single" w:sz="8" w:color="auto"/>
              <w:bottom w:val="single" w:sz="8" w:color="auto"/>
              <w:right w:val="single" w:sz="8" w:color="CCCCCC"/>
            </w:tcBorders>
            <w:shd w:val="clear" w:color="auto" w:fill="0070C0"/>
          </w:tcPr>
          <w:p>
            <w:pPr>
              <w:spacing w:after="0"/>
              <w:rPr>
                <w:sz w:val="20"/>
                <w:szCs w:val="20"/>
                <w:color w:val="auto"/>
              </w:rPr>
            </w:pPr>
            <w:r>
              <w:rPr>
                <w:rFonts w:ascii="Arial" w:cs="Arial" w:eastAsia="Arial" w:hAnsi="Arial"/>
                <w:sz w:val="16"/>
                <w:szCs w:val="16"/>
                <w:b w:val="1"/>
                <w:bCs w:val="1"/>
                <w:color w:val="FFFFFF"/>
              </w:rPr>
              <w:t>Smelter or Refiner Name</w:t>
            </w:r>
          </w:p>
        </w:tc>
        <w:tc>
          <w:tcPr>
            <w:tcW w:w="3160" w:type="dxa"/>
            <w:vAlign w:val="bottom"/>
            <w:tcBorders>
              <w:top w:val="single" w:sz="8" w:color="auto"/>
              <w:bottom w:val="single" w:sz="8" w:color="auto"/>
              <w:right w:val="single" w:sz="8" w:color="auto"/>
            </w:tcBorders>
            <w:shd w:val="clear" w:color="auto" w:fill="0070C0"/>
          </w:tcPr>
          <w:p>
            <w:pPr>
              <w:spacing w:after="0"/>
              <w:rPr>
                <w:sz w:val="20"/>
                <w:szCs w:val="20"/>
                <w:color w:val="auto"/>
              </w:rPr>
            </w:pPr>
            <w:r>
              <w:rPr>
                <w:rFonts w:ascii="Arial" w:cs="Arial" w:eastAsia="Arial" w:hAnsi="Arial"/>
                <w:sz w:val="16"/>
                <w:szCs w:val="16"/>
                <w:b w:val="1"/>
                <w:bCs w:val="1"/>
                <w:color w:val="FFFFFF"/>
              </w:rPr>
              <w:t>Smelter or Refiner Country</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Umicore S.A. Business Unit Precious Metals Refining</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BELGIUM</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United Precious Metal Refining, Inc.</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Valcambi S.A.</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SWITZERLAND</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Value Trading</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BELGIUM</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WEEEREFINING</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FRANCE</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Western Australian Mint (T/a The Perth Mint)</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AUSTRALIA</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WIELAND Edelmetalle GmbH</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GERMANY</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Yamakin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Yokohama Metal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Yunnan Copper Industry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Zhongyuan Gold Smelter of Zhongjin Gold Corporation</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5D Production OU</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ESTONIA</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AMG Brasil</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BRAZIL</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Asaka Riken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Changsha South Tantalum Niobium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D Block Metals, LLC</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Exotech Inc.</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F&amp;X Electro-Materials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FIR Metals &amp; Resource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Global Advanced Metals Aizu</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Global Advanced Metals Boyertown</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Guangdong Rising Rare Metals-EO Materials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Guangdong Zhiyuan New Material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H.C. Starck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THAILAND</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H.C. Starck Hermsdorf GmbH</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GERMANY</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H.C. Starck Inc.</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H.C. Starck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H.C. Starck Smelting GmbH &amp; Co. KG</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GERMANY</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H.C. Starck Tantalum and Niobium GmbH</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GERMANY</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Hengyang King Xing Lifeng New Materials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Jiangxi Dinghai Tantalum &amp; Niobium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Jiangxi Tuohong New Raw Material</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Jiujiang Janny New Material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JiuJiang JinXin Nonferrous Metals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Jiujiang Tanbre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Jiujiang Zhongao Tantalum &amp; Niobium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KEMET Blue Metals</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MEXICO</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KEMET Blue Powder</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Metallurgical Products India Pvt.,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INDIA</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Mineracao Taboca S.A.</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BRAZIL</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Mitsui Mining and Smelting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Ningxia Orient Tantalum Industry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10"/>
        </w:trPr>
        <w:tc>
          <w:tcPr>
            <w:tcW w:w="1200" w:type="dxa"/>
            <w:vAlign w:val="bottom"/>
            <w:tcBorders>
              <w:left w:val="single" w:sz="8" w:color="auto"/>
              <w:bottom w:val="single" w:sz="8" w:color="auto"/>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00" w:type="dxa"/>
            <w:vAlign w:val="bottom"/>
            <w:tcBorders>
              <w:bottom w:val="single" w:sz="8" w:color="auto"/>
              <w:right w:val="single" w:sz="8" w:color="CCCCCC"/>
            </w:tcBorders>
          </w:tcPr>
          <w:p>
            <w:pPr>
              <w:spacing w:after="0"/>
              <w:rPr>
                <w:sz w:val="20"/>
                <w:szCs w:val="20"/>
                <w:color w:val="auto"/>
              </w:rPr>
            </w:pPr>
            <w:r>
              <w:rPr>
                <w:rFonts w:ascii="Arial" w:cs="Arial" w:eastAsia="Arial" w:hAnsi="Arial"/>
                <w:sz w:val="16"/>
                <w:szCs w:val="16"/>
                <w:color w:val="auto"/>
              </w:rPr>
              <w:t>NPM Silmet AS</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ESTONIA</w:t>
            </w:r>
          </w:p>
        </w:tc>
      </w:tr>
    </w:tbl>
    <w:p>
      <w:pPr>
        <w:sectPr>
          <w:pgSz w:w="11900" w:h="16838" w:orient="portrait"/>
          <w:cols w:equalWidth="0" w:num="1">
            <w:col w:w="11060"/>
          </w:cols>
          <w:pgMar w:left="320" w:top="916" w:right="51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200" w:type="dxa"/>
            <w:vAlign w:val="bottom"/>
            <w:tcBorders>
              <w:top w:val="single" w:sz="8" w:color="auto"/>
              <w:left w:val="single" w:sz="8" w:color="auto"/>
              <w:bottom w:val="single" w:sz="8" w:color="auto"/>
              <w:right w:val="single" w:sz="8" w:color="CCCCCC"/>
            </w:tcBorders>
            <w:shd w:val="clear" w:color="auto" w:fill="0070C0"/>
          </w:tcPr>
          <w:p>
            <w:pPr>
              <w:ind w:left="40"/>
              <w:spacing w:after="0"/>
              <w:rPr>
                <w:sz w:val="20"/>
                <w:szCs w:val="20"/>
                <w:color w:val="auto"/>
              </w:rPr>
            </w:pPr>
            <w:r>
              <w:rPr>
                <w:rFonts w:ascii="Arial" w:cs="Arial" w:eastAsia="Arial" w:hAnsi="Arial"/>
                <w:sz w:val="16"/>
                <w:szCs w:val="16"/>
                <w:b w:val="1"/>
                <w:bCs w:val="1"/>
                <w:color w:val="FFFFFF"/>
              </w:rPr>
              <w:t>Metal</w:t>
            </w:r>
          </w:p>
        </w:tc>
        <w:tc>
          <w:tcPr>
            <w:tcW w:w="6700" w:type="dxa"/>
            <w:vAlign w:val="bottom"/>
            <w:tcBorders>
              <w:top w:val="single" w:sz="8" w:color="auto"/>
              <w:bottom w:val="single" w:sz="8" w:color="auto"/>
              <w:right w:val="single" w:sz="8" w:color="CCCCCC"/>
            </w:tcBorders>
            <w:shd w:val="clear" w:color="auto" w:fill="0070C0"/>
          </w:tcPr>
          <w:p>
            <w:pPr>
              <w:spacing w:after="0"/>
              <w:rPr>
                <w:sz w:val="20"/>
                <w:szCs w:val="20"/>
                <w:color w:val="auto"/>
              </w:rPr>
            </w:pPr>
            <w:r>
              <w:rPr>
                <w:rFonts w:ascii="Arial" w:cs="Arial" w:eastAsia="Arial" w:hAnsi="Arial"/>
                <w:sz w:val="16"/>
                <w:szCs w:val="16"/>
                <w:b w:val="1"/>
                <w:bCs w:val="1"/>
                <w:color w:val="FFFFFF"/>
              </w:rPr>
              <w:t>Smelter or Refiner Name</w:t>
            </w:r>
          </w:p>
        </w:tc>
        <w:tc>
          <w:tcPr>
            <w:tcW w:w="3160" w:type="dxa"/>
            <w:vAlign w:val="bottom"/>
            <w:tcBorders>
              <w:top w:val="single" w:sz="8" w:color="auto"/>
              <w:bottom w:val="single" w:sz="8" w:color="auto"/>
              <w:right w:val="single" w:sz="8" w:color="auto"/>
            </w:tcBorders>
            <w:shd w:val="clear" w:color="auto" w:fill="0070C0"/>
          </w:tcPr>
          <w:p>
            <w:pPr>
              <w:spacing w:after="0"/>
              <w:rPr>
                <w:sz w:val="20"/>
                <w:szCs w:val="20"/>
                <w:color w:val="auto"/>
              </w:rPr>
            </w:pPr>
            <w:r>
              <w:rPr>
                <w:rFonts w:ascii="Arial" w:cs="Arial" w:eastAsia="Arial" w:hAnsi="Arial"/>
                <w:sz w:val="16"/>
                <w:szCs w:val="16"/>
                <w:b w:val="1"/>
                <w:bCs w:val="1"/>
                <w:color w:val="FFFFFF"/>
              </w:rPr>
              <w:t>Smelter or Refiner Country</w:t>
            </w:r>
          </w:p>
        </w:tc>
        <w:tc>
          <w:tcPr>
            <w:tcW w:w="0" w:type="dxa"/>
            <w:vAlign w:val="bottom"/>
          </w:tcPr>
          <w:p>
            <w:pPr>
              <w:spacing w:after="0"/>
              <w:rPr>
                <w:sz w:val="1"/>
                <w:szCs w:val="1"/>
                <w:color w:val="auto"/>
              </w:rPr>
            </w:pPr>
          </w:p>
        </w:tc>
      </w:tr>
      <w:tr>
        <w:trPr>
          <w:trHeight w:val="159"/>
        </w:trPr>
        <w:tc>
          <w:tcPr>
            <w:tcW w:w="1200" w:type="dxa"/>
            <w:vAlign w:val="bottom"/>
            <w:tcBorders>
              <w:left w:val="single" w:sz="8" w:color="auto"/>
              <w:right w:val="single" w:sz="8" w:color="CCCCCC"/>
            </w:tcBorders>
            <w:vMerge w:val="restart"/>
          </w:tcPr>
          <w:p>
            <w:pPr>
              <w:ind w:left="40"/>
              <w:spacing w:after="0"/>
              <w:rPr>
                <w:sz w:val="20"/>
                <w:szCs w:val="20"/>
                <w:color w:val="auto"/>
              </w:rPr>
            </w:pPr>
            <w:r>
              <w:rPr>
                <w:rFonts w:ascii="Arial" w:cs="Arial" w:eastAsia="Arial" w:hAnsi="Arial"/>
                <w:sz w:val="16"/>
                <w:szCs w:val="16"/>
                <w:b w:val="1"/>
                <w:bCs w:val="1"/>
                <w:color w:val="auto"/>
              </w:rPr>
              <w:t>Tantalum</w:t>
            </w:r>
          </w:p>
        </w:tc>
        <w:tc>
          <w:tcPr>
            <w:tcW w:w="6700" w:type="dxa"/>
            <w:vAlign w:val="bottom"/>
            <w:tcBorders>
              <w:right w:val="single" w:sz="8" w:color="CCCCCC"/>
            </w:tcBorders>
            <w:vMerge w:val="restart"/>
          </w:tcPr>
          <w:p>
            <w:pPr>
              <w:spacing w:after="0"/>
              <w:rPr>
                <w:sz w:val="20"/>
                <w:szCs w:val="20"/>
                <w:color w:val="auto"/>
              </w:rPr>
            </w:pPr>
            <w:r>
              <w:rPr>
                <w:rFonts w:ascii="Arial" w:cs="Arial" w:eastAsia="Arial" w:hAnsi="Arial"/>
                <w:sz w:val="16"/>
                <w:szCs w:val="16"/>
                <w:color w:val="auto"/>
              </w:rPr>
              <w:t>Power Resources Ltd.</w:t>
            </w:r>
          </w:p>
        </w:tc>
        <w:tc>
          <w:tcPr>
            <w:tcW w:w="316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rPr>
              <w:t>MACEDONIA, THE FORMER YUGOSLAV</w:t>
            </w:r>
          </w:p>
        </w:tc>
        <w:tc>
          <w:tcPr>
            <w:tcW w:w="0" w:type="dxa"/>
            <w:vAlign w:val="bottom"/>
          </w:tcPr>
          <w:p>
            <w:pPr>
              <w:spacing w:after="0"/>
              <w:rPr>
                <w:sz w:val="1"/>
                <w:szCs w:val="1"/>
                <w:color w:val="auto"/>
              </w:rPr>
            </w:pPr>
          </w:p>
        </w:tc>
      </w:tr>
      <w:tr>
        <w:trPr>
          <w:trHeight w:val="138"/>
        </w:trPr>
        <w:tc>
          <w:tcPr>
            <w:tcW w:w="1200" w:type="dxa"/>
            <w:vAlign w:val="bottom"/>
            <w:tcBorders>
              <w:left w:val="single" w:sz="8" w:color="auto"/>
              <w:right w:val="single" w:sz="8" w:color="CCCCCC"/>
            </w:tcBorders>
            <w:vMerge w:val="continue"/>
          </w:tcPr>
          <w:p>
            <w:pPr>
              <w:spacing w:after="0"/>
              <w:rPr>
                <w:sz w:val="11"/>
                <w:szCs w:val="11"/>
                <w:color w:val="auto"/>
              </w:rPr>
            </w:pPr>
          </w:p>
        </w:tc>
        <w:tc>
          <w:tcPr>
            <w:tcW w:w="6700" w:type="dxa"/>
            <w:vAlign w:val="bottom"/>
            <w:tcBorders>
              <w:right w:val="single" w:sz="8" w:color="CCCCCC"/>
            </w:tcBorders>
            <w:vMerge w:val="continue"/>
          </w:tcPr>
          <w:p>
            <w:pPr>
              <w:spacing w:after="0"/>
              <w:rPr>
                <w:sz w:val="11"/>
                <w:szCs w:val="11"/>
                <w:color w:val="auto"/>
              </w:rPr>
            </w:pPr>
          </w:p>
        </w:tc>
        <w:tc>
          <w:tcPr>
            <w:tcW w:w="31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REPUBLIC OF</w:t>
            </w:r>
          </w:p>
        </w:tc>
        <w:tc>
          <w:tcPr>
            <w:tcW w:w="0" w:type="dxa"/>
            <w:vAlign w:val="bottom"/>
          </w:tcPr>
          <w:p>
            <w:pPr>
              <w:spacing w:after="0"/>
              <w:rPr>
                <w:sz w:val="1"/>
                <w:szCs w:val="1"/>
                <w:color w:val="auto"/>
              </w:rPr>
            </w:pPr>
          </w:p>
        </w:tc>
      </w:tr>
      <w:tr>
        <w:trPr>
          <w:trHeight w:val="72"/>
        </w:trPr>
        <w:tc>
          <w:tcPr>
            <w:tcW w:w="1200" w:type="dxa"/>
            <w:vAlign w:val="bottom"/>
            <w:tcBorders>
              <w:left w:val="single" w:sz="8" w:color="auto"/>
              <w:bottom w:val="single" w:sz="8" w:color="CCCCCC"/>
              <w:right w:val="single" w:sz="8" w:color="CCCCCC"/>
            </w:tcBorders>
          </w:tcPr>
          <w:p>
            <w:pPr>
              <w:spacing w:after="0"/>
              <w:rPr>
                <w:sz w:val="6"/>
                <w:szCs w:val="6"/>
                <w:color w:val="auto"/>
              </w:rPr>
            </w:pPr>
          </w:p>
        </w:tc>
        <w:tc>
          <w:tcPr>
            <w:tcW w:w="6700" w:type="dxa"/>
            <w:vAlign w:val="bottom"/>
            <w:tcBorders>
              <w:bottom w:val="single" w:sz="8" w:color="CCCCCC"/>
              <w:right w:val="single" w:sz="8" w:color="CCCCCC"/>
            </w:tcBorders>
          </w:tcPr>
          <w:p>
            <w:pPr>
              <w:spacing w:after="0"/>
              <w:rPr>
                <w:sz w:val="6"/>
                <w:szCs w:val="6"/>
                <w:color w:val="auto"/>
              </w:rPr>
            </w:pPr>
          </w:p>
        </w:tc>
        <w:tc>
          <w:tcPr>
            <w:tcW w:w="3160" w:type="dxa"/>
            <w:vAlign w:val="bottom"/>
            <w:tcBorders>
              <w:bottom w:val="single" w:sz="8" w:color="CCCCCC"/>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QuantumClean</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Resind Industria e Comercio Ltda.</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RFH Yancheng Jinye New Material Technology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Solikamsk Magnesium Works OAO</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RUSSIAN FEDERATION</w:t>
            </w:r>
          </w:p>
        </w:tc>
        <w:tc>
          <w:tcPr>
            <w:tcW w:w="0" w:type="dxa"/>
            <w:vAlign w:val="bottom"/>
          </w:tcPr>
          <w:p>
            <w:pPr>
              <w:spacing w:after="0"/>
              <w:rPr>
                <w:sz w:val="1"/>
                <w:szCs w:val="1"/>
                <w:color w:val="auto"/>
              </w:rPr>
            </w:pP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Taki Chemical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Telex Metals</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Ulba Metallurgical Plant JSC</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KAZAKHSTAN</w:t>
            </w: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XinXing HaoRong Electronic Material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Yanling Jincheng Tantalum &amp; Niobium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Alpha</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An Vinh Joint Stock Mineral Processing Company</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VIETNAM</w:t>
            </w:r>
          </w:p>
        </w:tc>
        <w:tc>
          <w:tcPr>
            <w:tcW w:w="0" w:type="dxa"/>
            <w:vAlign w:val="bottom"/>
          </w:tcPr>
          <w:p>
            <w:pPr>
              <w:spacing w:after="0"/>
              <w:rPr>
                <w:sz w:val="1"/>
                <w:szCs w:val="1"/>
                <w:color w:val="auto"/>
              </w:rPr>
            </w:pP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Aurubis Beerse</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BELGIUM</w:t>
            </w: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Aurubis Berango</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SPAIN</w:t>
            </w: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Chenzhou Yunxiang Mining and Metallurgy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Chifeng Dajingzi Tin Industry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China Tin Group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CRM Fundicao De Metais E Comercio De Equipamentos Eletronicos Do Brasil Ltda</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CRM Synergies</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SPAIN</w:t>
            </w: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CV Ayi Jaya</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CV Dua Sekawan</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CV Gita Pesona</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CV United Smelting</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CV Venus Inti Perkasa</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Dongguan CiEXPO Environmental Engineering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Dowa</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DS Myanmar</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MYANMAR</w:t>
            </w: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Electro-Mechanical Facility of the Cao Bang Minerals &amp; Metallurgy Joint Stock Company</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VIETNAM</w:t>
            </w:r>
          </w:p>
        </w:tc>
        <w:tc>
          <w:tcPr>
            <w:tcW w:w="0" w:type="dxa"/>
            <w:vAlign w:val="bottom"/>
          </w:tcPr>
          <w:p>
            <w:pPr>
              <w:spacing w:after="0"/>
              <w:rPr>
                <w:sz w:val="1"/>
                <w:szCs w:val="1"/>
                <w:color w:val="auto"/>
              </w:rPr>
            </w:pP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EM Vinto</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BOLIVIA (PLURINATIONAL STATE OF)</w:t>
            </w:r>
          </w:p>
        </w:tc>
        <w:tc>
          <w:tcPr>
            <w:tcW w:w="0" w:type="dxa"/>
            <w:vAlign w:val="bottom"/>
          </w:tcPr>
          <w:p>
            <w:pPr>
              <w:spacing w:after="0"/>
              <w:rPr>
                <w:sz w:val="1"/>
                <w:szCs w:val="1"/>
                <w:color w:val="auto"/>
              </w:rPr>
            </w:pP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Estanho de Rondonia S.A.</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Fabrica Auricchio Industria e Comercio Ltda.</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Fenix Metals</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POLAND</w:t>
            </w: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Gejiu City Fuxiang Industry and Trade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Gejiu Fengming Metallurgy Chemical Plant</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Gejiu Jinye Mineral Company</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Gejiu Kai Meng Industry and Trade LLC</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Gejiu Non-Ferrous Metal Processing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Gejiu Yunxin Nonferrous Electrolysis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Gejiu Zili Mining And Metallurgy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Guangdong Hanhe Non-Ferrous Metal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Guanyang Guida Nonferrous Metal Smelting Plant</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auto"/>
              <w:right w:val="single" w:sz="8" w:color="CCCCCC"/>
            </w:tcBorders>
          </w:tcPr>
          <w:p>
            <w:pPr>
              <w:spacing w:after="0"/>
              <w:rPr>
                <w:sz w:val="20"/>
                <w:szCs w:val="20"/>
                <w:color w:val="auto"/>
              </w:rPr>
            </w:pPr>
            <w:r>
              <w:rPr>
                <w:rFonts w:ascii="Arial" w:cs="Arial" w:eastAsia="Arial" w:hAnsi="Arial"/>
                <w:sz w:val="16"/>
                <w:szCs w:val="16"/>
                <w:color w:val="auto"/>
              </w:rPr>
              <w:t>HuiChang Hill Tin Industry Co., Ltd.</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bl>
    <w:p>
      <w:pPr>
        <w:sectPr>
          <w:pgSz w:w="11900" w:h="16838" w:orient="portrait"/>
          <w:cols w:equalWidth="0" w:num="1">
            <w:col w:w="11060"/>
          </w:cols>
          <w:pgMar w:left="320" w:top="916" w:right="51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180" w:type="dxa"/>
            <w:vAlign w:val="bottom"/>
            <w:tcBorders>
              <w:top w:val="single" w:sz="8" w:color="auto"/>
              <w:left w:val="single" w:sz="8" w:color="auto"/>
              <w:bottom w:val="single" w:sz="8" w:color="auto"/>
              <w:right w:val="single" w:sz="8" w:color="CCCCCC"/>
            </w:tcBorders>
            <w:shd w:val="clear" w:color="auto" w:fill="0070C0"/>
          </w:tcPr>
          <w:p>
            <w:pPr>
              <w:ind w:left="40"/>
              <w:spacing w:after="0"/>
              <w:rPr>
                <w:sz w:val="20"/>
                <w:szCs w:val="20"/>
                <w:color w:val="auto"/>
              </w:rPr>
            </w:pPr>
            <w:r>
              <w:rPr>
                <w:rFonts w:ascii="Arial" w:cs="Arial" w:eastAsia="Arial" w:hAnsi="Arial"/>
                <w:sz w:val="16"/>
                <w:szCs w:val="16"/>
                <w:b w:val="1"/>
                <w:bCs w:val="1"/>
                <w:color w:val="FFFFFF"/>
              </w:rPr>
              <w:t>Metal</w:t>
            </w:r>
          </w:p>
        </w:tc>
        <w:tc>
          <w:tcPr>
            <w:tcW w:w="6700" w:type="dxa"/>
            <w:vAlign w:val="bottom"/>
            <w:tcBorders>
              <w:top w:val="single" w:sz="8" w:color="auto"/>
              <w:bottom w:val="single" w:sz="8" w:color="auto"/>
              <w:right w:val="single" w:sz="8" w:color="CCCCCC"/>
            </w:tcBorders>
            <w:shd w:val="clear" w:color="auto" w:fill="0070C0"/>
          </w:tcPr>
          <w:p>
            <w:pPr>
              <w:ind w:left="20"/>
              <w:spacing w:after="0"/>
              <w:rPr>
                <w:sz w:val="20"/>
                <w:szCs w:val="20"/>
                <w:color w:val="auto"/>
              </w:rPr>
            </w:pPr>
            <w:r>
              <w:rPr>
                <w:rFonts w:ascii="Arial" w:cs="Arial" w:eastAsia="Arial" w:hAnsi="Arial"/>
                <w:sz w:val="16"/>
                <w:szCs w:val="16"/>
                <w:b w:val="1"/>
                <w:bCs w:val="1"/>
                <w:color w:val="FFFFFF"/>
              </w:rPr>
              <w:t>Smelter or Refiner Name</w:t>
            </w:r>
          </w:p>
        </w:tc>
        <w:tc>
          <w:tcPr>
            <w:tcW w:w="3180" w:type="dxa"/>
            <w:vAlign w:val="bottom"/>
            <w:tcBorders>
              <w:top w:val="single" w:sz="8" w:color="auto"/>
              <w:bottom w:val="single" w:sz="8" w:color="auto"/>
              <w:right w:val="single" w:sz="8" w:color="auto"/>
            </w:tcBorders>
            <w:shd w:val="clear" w:color="auto" w:fill="0070C0"/>
          </w:tcPr>
          <w:p>
            <w:pPr>
              <w:ind w:left="20"/>
              <w:spacing w:after="0"/>
              <w:rPr>
                <w:sz w:val="20"/>
                <w:szCs w:val="20"/>
                <w:color w:val="auto"/>
              </w:rPr>
            </w:pPr>
            <w:r>
              <w:rPr>
                <w:rFonts w:ascii="Arial" w:cs="Arial" w:eastAsia="Arial" w:hAnsi="Arial"/>
                <w:sz w:val="16"/>
                <w:szCs w:val="16"/>
                <w:b w:val="1"/>
                <w:bCs w:val="1"/>
                <w:color w:val="FFFFFF"/>
              </w:rPr>
              <w:t>Smelter or Refiner Country</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Huichang Jinshunda Tin Co., Ltd.</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Jiangxi Ketai Advanced Material Co., Ltd.</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Jiangxi New Nanshan Technology Ltd.</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Luna Smelter, Ltd.</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RWANDA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Ma'anshan Weitai Tin Co., Ltd.</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Magnu's Minerais Metais e Ligas Ltda.</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Malaysia Smelting Corporation (MSC)</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MALAYSIA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Melt Metais e Ligas S.A.</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Metallic Resources, Inc.</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Mineracao Taboca S.A.</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Minsur</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PERU</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Mitsubishi Materials Corporation</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Modeltech Sdn Bhd</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MALAYSIA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Nghe Tinh Non-Ferrous Metals Joint Stock Company</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VIETNAM</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Novosibirsk Processing Plant Ltd.</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O.M. Manufacturing (Thailand) Co., Ltd.</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THAILAND</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O.M. Manufacturing Philippines, Inc.</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PHILIPPINES</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Operaciones Metalurgical S.A.</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BOLIVIA (PLURINATIONAL STATE OF)</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Pongpipat Company Limited</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MYANMAR</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Precious Minerals and Smelting Limited</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PT Aries Kencana Sejahtera</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PT Artha Cipta Langgeng</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PT ATD Makmur Mandiri Jaya</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PT Babel Inti Perkasa</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PT Babel Surya Alam Lestari</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PT Bangka Prima Tin</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PT Bangka Serumpun</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PT Bangka Tin Industry</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PT Belitung Industri Sejahtera</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PT Bukit Timah</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PT Cipta Persada Mulia</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PT DS Jaya Abadi</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PT Eunindo Usaha Mandiri</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PT Inti Stania Prima</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PT Karimun Mining</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PT Kijang Jaya Mandiri</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PT Lautan Harmonis Sejahtera</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PT Menara Cipta Mulia</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PT Mitra Stania Prima</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PT Mitra Sukses Globalindo</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PT Panca Mega Persada</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PT Premium Tin Indonesia</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auto"/>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auto"/>
              <w:right w:val="single" w:sz="8" w:color="CCCCCC"/>
            </w:tcBorders>
          </w:tcPr>
          <w:p>
            <w:pPr>
              <w:ind w:left="20"/>
              <w:spacing w:after="0"/>
              <w:rPr>
                <w:sz w:val="20"/>
                <w:szCs w:val="20"/>
                <w:color w:val="auto"/>
              </w:rPr>
            </w:pPr>
            <w:r>
              <w:rPr>
                <w:rFonts w:ascii="Arial" w:cs="Arial" w:eastAsia="Arial" w:hAnsi="Arial"/>
                <w:sz w:val="16"/>
                <w:szCs w:val="16"/>
                <w:color w:val="auto"/>
              </w:rPr>
              <w:t>PT Prima Timah Utama</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bl>
    <w:p>
      <w:pPr>
        <w:sectPr>
          <w:pgSz w:w="11900" w:h="16838" w:orient="portrait"/>
          <w:cols w:equalWidth="0" w:num="1">
            <w:col w:w="11060"/>
          </w:cols>
          <w:pgMar w:left="320" w:top="916" w:right="51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200" w:type="dxa"/>
            <w:vAlign w:val="bottom"/>
            <w:tcBorders>
              <w:top w:val="single" w:sz="8" w:color="auto"/>
              <w:left w:val="single" w:sz="8" w:color="auto"/>
              <w:bottom w:val="single" w:sz="8" w:color="auto"/>
              <w:right w:val="single" w:sz="8" w:color="CCCCCC"/>
            </w:tcBorders>
            <w:shd w:val="clear" w:color="auto" w:fill="0070C0"/>
          </w:tcPr>
          <w:p>
            <w:pPr>
              <w:ind w:left="40"/>
              <w:spacing w:after="0"/>
              <w:rPr>
                <w:sz w:val="20"/>
                <w:szCs w:val="20"/>
                <w:color w:val="auto"/>
              </w:rPr>
            </w:pPr>
            <w:r>
              <w:rPr>
                <w:rFonts w:ascii="Arial" w:cs="Arial" w:eastAsia="Arial" w:hAnsi="Arial"/>
                <w:sz w:val="16"/>
                <w:szCs w:val="16"/>
                <w:b w:val="1"/>
                <w:bCs w:val="1"/>
                <w:color w:val="FFFFFF"/>
              </w:rPr>
              <w:t>Metal</w:t>
            </w:r>
          </w:p>
        </w:tc>
        <w:tc>
          <w:tcPr>
            <w:tcW w:w="6700" w:type="dxa"/>
            <w:vAlign w:val="bottom"/>
            <w:tcBorders>
              <w:top w:val="single" w:sz="8" w:color="auto"/>
              <w:bottom w:val="single" w:sz="8" w:color="auto"/>
              <w:right w:val="single" w:sz="8" w:color="CCCCCC"/>
            </w:tcBorders>
            <w:shd w:val="clear" w:color="auto" w:fill="0070C0"/>
          </w:tcPr>
          <w:p>
            <w:pPr>
              <w:spacing w:after="0"/>
              <w:rPr>
                <w:sz w:val="20"/>
                <w:szCs w:val="20"/>
                <w:color w:val="auto"/>
              </w:rPr>
            </w:pPr>
            <w:r>
              <w:rPr>
                <w:rFonts w:ascii="Arial" w:cs="Arial" w:eastAsia="Arial" w:hAnsi="Arial"/>
                <w:sz w:val="16"/>
                <w:szCs w:val="16"/>
                <w:b w:val="1"/>
                <w:bCs w:val="1"/>
                <w:color w:val="FFFFFF"/>
              </w:rPr>
              <w:t>Smelter or Refiner Name</w:t>
            </w:r>
          </w:p>
        </w:tc>
        <w:tc>
          <w:tcPr>
            <w:tcW w:w="3160" w:type="dxa"/>
            <w:vAlign w:val="bottom"/>
            <w:tcBorders>
              <w:top w:val="single" w:sz="8" w:color="auto"/>
              <w:bottom w:val="single" w:sz="8" w:color="auto"/>
              <w:right w:val="single" w:sz="8" w:color="auto"/>
            </w:tcBorders>
            <w:shd w:val="clear" w:color="auto" w:fill="0070C0"/>
          </w:tcPr>
          <w:p>
            <w:pPr>
              <w:spacing w:after="0"/>
              <w:rPr>
                <w:sz w:val="20"/>
                <w:szCs w:val="20"/>
                <w:color w:val="auto"/>
              </w:rPr>
            </w:pPr>
            <w:r>
              <w:rPr>
                <w:rFonts w:ascii="Arial" w:cs="Arial" w:eastAsia="Arial" w:hAnsi="Arial"/>
                <w:sz w:val="16"/>
                <w:szCs w:val="16"/>
                <w:b w:val="1"/>
                <w:bCs w:val="1"/>
                <w:color w:val="FFFFFF"/>
              </w:rPr>
              <w:t>Smelter or Refiner Country</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Putera Sarana Shakti (PT PSS)</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Rajawali Rimba Perkasa</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Rajehan Ariq</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Refined Bangka Tin</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Sariwiguna Binasentosa</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Stanindo Inti Perkasa</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Sukses Inti Makmur</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Sumber Jaya Indah</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Timah (Persero) Tbk Kundur</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Timah Nusantara</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Tinindo Inter Nusa</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Tirus Putra Mandiri</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Tommy Utama</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Resind Industria e Comercio Ltda.</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BRAZIL</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Rui Da Hung</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TAIWAN, PROVINCE OF CHINA</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Smelter Not Listed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INDONESIA</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Soft Metais Ltda.</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BRAZIL</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Super Ligas</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BRAZIL</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Thai Nguyen Mining and Metallurgy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VIETNAM</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Thaisarco</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THAILAND</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Tin Smelting Branch of Yunnan Tin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Tin Technology &amp; Refining</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Tuyen Quang Non-Ferrous Metals Joint Stock Company</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VIETNAM</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VQB Mineral and Trading Group JSC</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VIETNAM</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White Solder Metalurgia e Mineracao Ltda.</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BRAZIL</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Yunnan Chengfeng Non-ferrous Metals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Yunnan Yunfan Non-ferrous Metals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A.L.M.T. Corp.</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ACL Metais Eireli</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BRAZIL</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Albasteel Industria e Comercio de Ligas Para Fundicao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BRAZIL</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Artek LLC</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RUSSIAN FEDERATION</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Asia Tungsten Products Vietnam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VIETNAM</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Chenzhou Diamond Tungsten Products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China Molybdenum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Chongyi Zhangyuan Tungsten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CNMC (Guangxi) PGMA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Cronimet Brasil Ltda</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BRAZIL</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Fujian Ganmin RareMetal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Fujian Jinxin Tungsten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Fujian Xinlu Tungsten</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Ganzhou Haichuang Tungsten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Ganzhou Huaxing Tungsten Products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10"/>
        </w:trPr>
        <w:tc>
          <w:tcPr>
            <w:tcW w:w="1200" w:type="dxa"/>
            <w:vAlign w:val="bottom"/>
            <w:tcBorders>
              <w:left w:val="single" w:sz="8" w:color="auto"/>
              <w:bottom w:val="single" w:sz="8" w:color="auto"/>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auto"/>
              <w:right w:val="single" w:sz="8" w:color="CCCCCC"/>
            </w:tcBorders>
          </w:tcPr>
          <w:p>
            <w:pPr>
              <w:spacing w:after="0"/>
              <w:rPr>
                <w:sz w:val="20"/>
                <w:szCs w:val="20"/>
                <w:color w:val="auto"/>
              </w:rPr>
            </w:pPr>
            <w:r>
              <w:rPr>
                <w:rFonts w:ascii="Arial" w:cs="Arial" w:eastAsia="Arial" w:hAnsi="Arial"/>
                <w:sz w:val="16"/>
                <w:szCs w:val="16"/>
                <w:color w:val="auto"/>
              </w:rPr>
              <w:t>Ganzhou Jiangwu Ferrotungsten Co., Ltd.</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bl>
    <w:p>
      <w:pPr>
        <w:sectPr>
          <w:pgSz w:w="11900" w:h="16838" w:orient="portrait"/>
          <w:cols w:equalWidth="0" w:num="1">
            <w:col w:w="11060"/>
          </w:cols>
          <w:pgMar w:left="320" w:top="916" w:right="51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00" w:type="dxa"/>
            <w:vAlign w:val="bottom"/>
            <w:tcBorders>
              <w:top w:val="single" w:sz="8" w:color="auto"/>
              <w:left w:val="single" w:sz="8" w:color="auto"/>
              <w:right w:val="single" w:sz="8" w:color="CCCCCC"/>
            </w:tcBorders>
            <w:shd w:val="clear" w:color="auto" w:fill="0070C0"/>
          </w:tcPr>
          <w:p>
            <w:pPr>
              <w:ind w:left="40"/>
              <w:spacing w:after="0"/>
              <w:rPr>
                <w:sz w:val="20"/>
                <w:szCs w:val="20"/>
                <w:color w:val="auto"/>
              </w:rPr>
            </w:pPr>
            <w:r>
              <w:rPr>
                <w:rFonts w:ascii="Arial" w:cs="Arial" w:eastAsia="Arial" w:hAnsi="Arial"/>
                <w:sz w:val="16"/>
                <w:szCs w:val="16"/>
                <w:b w:val="1"/>
                <w:bCs w:val="1"/>
                <w:color w:val="FFFFFF"/>
              </w:rPr>
              <w:t>Metal</w:t>
            </w:r>
          </w:p>
        </w:tc>
        <w:tc>
          <w:tcPr>
            <w:tcW w:w="6700" w:type="dxa"/>
            <w:vAlign w:val="bottom"/>
            <w:tcBorders>
              <w:top w:val="single" w:sz="8" w:color="auto"/>
              <w:right w:val="single" w:sz="8" w:color="CCCCCC"/>
            </w:tcBorders>
            <w:shd w:val="clear" w:color="auto" w:fill="0070C0"/>
          </w:tcPr>
          <w:p>
            <w:pPr>
              <w:spacing w:after="0"/>
              <w:rPr>
                <w:sz w:val="20"/>
                <w:szCs w:val="20"/>
                <w:color w:val="auto"/>
              </w:rPr>
            </w:pPr>
            <w:r>
              <w:rPr>
                <w:rFonts w:ascii="Arial" w:cs="Arial" w:eastAsia="Arial" w:hAnsi="Arial"/>
                <w:sz w:val="16"/>
                <w:szCs w:val="16"/>
                <w:b w:val="1"/>
                <w:bCs w:val="1"/>
                <w:color w:val="FFFFFF"/>
              </w:rPr>
              <w:t>Smelter or Refiner Name</w:t>
            </w:r>
          </w:p>
        </w:tc>
        <w:tc>
          <w:tcPr>
            <w:tcW w:w="3160" w:type="dxa"/>
            <w:vAlign w:val="bottom"/>
            <w:tcBorders>
              <w:top w:val="single" w:sz="8" w:color="auto"/>
              <w:right w:val="single" w:sz="8" w:color="auto"/>
            </w:tcBorders>
            <w:shd w:val="clear" w:color="auto" w:fill="0070C0"/>
          </w:tcPr>
          <w:p>
            <w:pPr>
              <w:spacing w:after="0"/>
              <w:rPr>
                <w:sz w:val="20"/>
                <w:szCs w:val="20"/>
                <w:color w:val="auto"/>
              </w:rPr>
            </w:pPr>
            <w:r>
              <w:rPr>
                <w:rFonts w:ascii="Arial" w:cs="Arial" w:eastAsia="Arial" w:hAnsi="Arial"/>
                <w:sz w:val="16"/>
                <w:szCs w:val="16"/>
                <w:b w:val="1"/>
                <w:bCs w:val="1"/>
                <w:color w:val="FFFFFF"/>
              </w:rPr>
              <w:t>Smelter or Refiner Country</w:t>
            </w:r>
          </w:p>
        </w:tc>
      </w:tr>
      <w:tr>
        <w:trPr>
          <w:trHeight w:val="216"/>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Ganzhou Seadragon W &amp; Mo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GEM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Global Tungsten &amp; Powders Corp.</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Guangdong Xianglu Tungsten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H.C. Starck Tungsten GmbH</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GERMANY</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HANNAE FOR T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KOREA, REPUBLIC OF</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Hunan Chenzhou Mining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Hunan Chuangda Vanadium Tungsten Co., Ltd. Wuji</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Hunan Chunchang Nonferrous Metals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Hydrometallurg, JSC</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RUSSIAN FEDERATION</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Japan New Metals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JAPAN</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Jiangwu H.C. Starck Tungsten Products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Jiangxi Gan Bei Tungsten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Jiangxi Minmetals Gao'an Non-ferrous Metals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Jiangxi Tonggu Non-ferrous Metallurgical &amp; Chemical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Jiangxi Xinsheng Tungsten Industry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Jiangxi Yaosheng Tungsten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JSC "Kirovgrad Hard Alloys Plant"</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RUSSIAN FEDERATION</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Kennametal Fallon</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Kennametal Huntsville</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KGETS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KOREA, REPUBLIC OF</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Lianyou Metals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TAIWAN, PROVINCE OF CHINA</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LLC Vostok</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RUSSIAN FEDERATION</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Malipo Haiyu Tungsten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Masan High-Tech Materials</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VIETNAM</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Moliren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RUSSIAN FEDERATION</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Niagara Refining LLC</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UNITED STATES OF AMERICA</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NPP Tyazhmetprom LLC</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RUSSIAN FEDERATION</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OOO “Technolom” 1</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RUSSIAN FEDERATION</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OOO “Technolom” 2</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RUSSIAN FEDERATION</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Philippine Chuangxin Industrial Co., Inc.</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PHILIPPINES</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YUDU ANSHENG TUNGSTEN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South-East Nonferrous Metal Company Limited of Hengyang City</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TANIOBIS Smelting GmbH &amp; Co. KG</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GERMANY</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Tejing (Vietnam) Tungsten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VIETNAM</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Unecha Refractory metals plant</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RUSSIAN FEDERATION</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Vietnam Youngsun Tungsten Industry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VIETNAM</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Wolfram Bergbau und Hutten AG</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AUSTRIA</w:t>
            </w:r>
          </w:p>
        </w:tc>
      </w:tr>
      <w:tr>
        <w:trPr>
          <w:trHeight w:val="209"/>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Woltech Korea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KOREA, REPUBLIC OF</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Xiamen Tungsten (H.C.)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10"/>
        </w:trPr>
        <w:tc>
          <w:tcPr>
            <w:tcW w:w="120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Xiamen Tungsten Co., Ltd.</w:t>
            </w:r>
          </w:p>
        </w:tc>
        <w:tc>
          <w:tcPr>
            <w:tcW w:w="3160" w:type="dxa"/>
            <w:vAlign w:val="bottom"/>
            <w:tcBorders>
              <w:bottom w:val="single" w:sz="8" w:color="CCCCCC"/>
              <w:right w:val="single" w:sz="8" w:color="auto"/>
            </w:tcBorders>
          </w:tcPr>
          <w:p>
            <w:pPr>
              <w:spacing w:after="0"/>
              <w:rPr>
                <w:sz w:val="20"/>
                <w:szCs w:val="20"/>
                <w:color w:val="auto"/>
              </w:rPr>
            </w:pPr>
            <w:r>
              <w:rPr>
                <w:rFonts w:ascii="Arial" w:cs="Arial" w:eastAsia="Arial" w:hAnsi="Arial"/>
                <w:sz w:val="16"/>
                <w:szCs w:val="16"/>
                <w:color w:val="auto"/>
              </w:rPr>
              <w:t>CHINA</w:t>
            </w:r>
          </w:p>
        </w:tc>
      </w:tr>
      <w:tr>
        <w:trPr>
          <w:trHeight w:val="210"/>
        </w:trPr>
        <w:tc>
          <w:tcPr>
            <w:tcW w:w="1200" w:type="dxa"/>
            <w:vAlign w:val="bottom"/>
            <w:tcBorders>
              <w:left w:val="single" w:sz="8" w:color="auto"/>
              <w:bottom w:val="single" w:sz="8" w:color="auto"/>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auto"/>
              <w:right w:val="single" w:sz="8" w:color="CCCCCC"/>
            </w:tcBorders>
          </w:tcPr>
          <w:p>
            <w:pPr>
              <w:spacing w:after="0"/>
              <w:rPr>
                <w:sz w:val="20"/>
                <w:szCs w:val="20"/>
                <w:color w:val="auto"/>
              </w:rPr>
            </w:pPr>
            <w:r>
              <w:rPr>
                <w:rFonts w:ascii="Arial" w:cs="Arial" w:eastAsia="Arial" w:hAnsi="Arial"/>
                <w:sz w:val="16"/>
                <w:szCs w:val="16"/>
                <w:color w:val="auto"/>
              </w:rPr>
              <w:t>Xinfeng Huarui Tungsten &amp; Molybdenum New Material Co., Ltd.</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bl>
    <w:p>
      <w:pPr>
        <w:sectPr>
          <w:pgSz w:w="11900" w:h="16838" w:orient="portrait"/>
          <w:cols w:equalWidth="0" w:num="1">
            <w:col w:w="11060"/>
          </w:cols>
          <w:pgMar w:left="320" w:top="916" w:right="51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200" w:type="dxa"/>
            <w:vAlign w:val="bottom"/>
            <w:tcBorders>
              <w:top w:val="single" w:sz="8" w:color="auto"/>
              <w:left w:val="single" w:sz="8" w:color="auto"/>
              <w:bottom w:val="single" w:sz="8" w:color="auto"/>
              <w:right w:val="single" w:sz="8" w:color="CCCCCC"/>
            </w:tcBorders>
            <w:shd w:val="clear" w:color="auto" w:fill="0070C0"/>
          </w:tcPr>
          <w:p>
            <w:pPr>
              <w:ind w:left="40"/>
              <w:spacing w:after="0"/>
              <w:rPr>
                <w:sz w:val="20"/>
                <w:szCs w:val="20"/>
                <w:color w:val="auto"/>
              </w:rPr>
            </w:pPr>
            <w:r>
              <w:rPr>
                <w:rFonts w:ascii="Arial" w:cs="Arial" w:eastAsia="Arial" w:hAnsi="Arial"/>
                <w:sz w:val="16"/>
                <w:szCs w:val="16"/>
                <w:b w:val="1"/>
                <w:bCs w:val="1"/>
                <w:color w:val="FFFFFF"/>
              </w:rPr>
              <w:t>Metal</w:t>
            </w:r>
          </w:p>
        </w:tc>
        <w:tc>
          <w:tcPr>
            <w:tcW w:w="6700" w:type="dxa"/>
            <w:vAlign w:val="bottom"/>
            <w:tcBorders>
              <w:top w:val="single" w:sz="8" w:color="auto"/>
              <w:bottom w:val="single" w:sz="8" w:color="auto"/>
              <w:right w:val="single" w:sz="8" w:color="CCCCCC"/>
            </w:tcBorders>
            <w:shd w:val="clear" w:color="auto" w:fill="0070C0"/>
          </w:tcPr>
          <w:p>
            <w:pPr>
              <w:spacing w:after="0"/>
              <w:rPr>
                <w:sz w:val="20"/>
                <w:szCs w:val="20"/>
                <w:color w:val="auto"/>
              </w:rPr>
            </w:pPr>
            <w:r>
              <w:rPr>
                <w:rFonts w:ascii="Arial" w:cs="Arial" w:eastAsia="Arial" w:hAnsi="Arial"/>
                <w:sz w:val="16"/>
                <w:szCs w:val="16"/>
                <w:b w:val="1"/>
                <w:bCs w:val="1"/>
                <w:color w:val="FFFFFF"/>
              </w:rPr>
              <w:t>Smelter or Refiner Name</w:t>
            </w:r>
          </w:p>
        </w:tc>
        <w:tc>
          <w:tcPr>
            <w:tcW w:w="3160" w:type="dxa"/>
            <w:vAlign w:val="bottom"/>
            <w:tcBorders>
              <w:top w:val="single" w:sz="8" w:color="auto"/>
              <w:bottom w:val="single" w:sz="8" w:color="auto"/>
              <w:right w:val="single" w:sz="8" w:color="auto"/>
            </w:tcBorders>
            <w:shd w:val="clear" w:color="auto" w:fill="0070C0"/>
          </w:tcPr>
          <w:p>
            <w:pPr>
              <w:spacing w:after="0"/>
              <w:rPr>
                <w:sz w:val="20"/>
                <w:szCs w:val="20"/>
                <w:color w:val="auto"/>
              </w:rPr>
            </w:pPr>
            <w:r>
              <w:rPr>
                <w:rFonts w:ascii="Arial" w:cs="Arial" w:eastAsia="Arial" w:hAnsi="Arial"/>
                <w:sz w:val="16"/>
                <w:szCs w:val="16"/>
                <w:b w:val="1"/>
                <w:bCs w:val="1"/>
                <w:color w:val="FFFFFF"/>
              </w:rPr>
              <w:t>Smelter or Refiner Country</w:t>
            </w:r>
          </w:p>
        </w:tc>
      </w:tr>
      <w:tr>
        <w:trPr>
          <w:trHeight w:val="210"/>
        </w:trPr>
        <w:tc>
          <w:tcPr>
            <w:tcW w:w="1200" w:type="dxa"/>
            <w:vAlign w:val="bottom"/>
            <w:tcBorders>
              <w:left w:val="single" w:sz="8" w:color="auto"/>
              <w:bottom w:val="single" w:sz="8" w:color="auto"/>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auto"/>
              <w:right w:val="single" w:sz="8" w:color="CCCCCC"/>
            </w:tcBorders>
          </w:tcPr>
          <w:p>
            <w:pPr>
              <w:spacing w:after="0"/>
              <w:rPr>
                <w:sz w:val="20"/>
                <w:szCs w:val="20"/>
                <w:color w:val="auto"/>
              </w:rPr>
            </w:pPr>
            <w:r>
              <w:rPr>
                <w:rFonts w:ascii="Arial" w:cs="Arial" w:eastAsia="Arial" w:hAnsi="Arial"/>
                <w:sz w:val="16"/>
                <w:szCs w:val="16"/>
                <w:color w:val="auto"/>
              </w:rPr>
              <w:t>Xinhai Rendan Shaoguan Tungsten Co., Ltd.</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CHINA</w:t>
            </w:r>
          </w:p>
        </w:tc>
      </w:tr>
    </w:tbl>
    <w:p>
      <w:pPr>
        <w:spacing w:after="0" w:line="1" w:lineRule="exact"/>
        <w:rPr>
          <w:sz w:val="20"/>
          <w:szCs w:val="20"/>
          <w:color w:val="auto"/>
        </w:rPr>
      </w:pPr>
    </w:p>
    <w:sectPr>
      <w:pgSz w:w="11900" w:h="16838" w:orient="portrait"/>
      <w:cols w:equalWidth="0" w:num="1">
        <w:col w:w="11060"/>
      </w:cols>
      <w:pgMar w:left="320" w:top="91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2023-05-23T05:12:49Z</dcterms:created>
  <dcterms:modified xsi:type="dcterms:W3CDTF">2023-05-23T05:12:49Z</dcterms:modified>
</cp:coreProperties>
</file>