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1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160655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64"/>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2821305</wp:posOffset>
            </wp:positionH>
            <wp:positionV relativeFrom="paragraph">
              <wp:posOffset>211455</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24"/>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4" w:lineRule="exact"/>
        <w:rPr>
          <w:sz w:val="24"/>
          <w:szCs w:val="24"/>
          <w:color w:val="auto"/>
        </w:rPr>
      </w:pPr>
    </w:p>
    <w:tbl>
      <w:tblPr>
        <w:tblLayout w:type="fixed"/>
        <w:tblInd w:w="5" w:type="dxa"/>
        <w:tblCellMar>
          <w:top w:w="0" w:type="dxa"/>
          <w:left w:w="0" w:type="dxa"/>
          <w:bottom w:w="0" w:type="dxa"/>
          <w:right w:w="0" w:type="dxa"/>
        </w:tblCellMar>
      </w:tblPr>
      <w:tr>
        <w:trPr>
          <w:trHeight w:val="222"/>
        </w:trPr>
        <w:tc>
          <w:tcPr>
            <w:tcW w:w="196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220" w:type="dxa"/>
            <w:vAlign w:val="bottom"/>
          </w:tcPr>
          <w:p>
            <w:pPr>
              <w:ind w:left="36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9"/>
                <w:szCs w:val="19"/>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480" w:type="dxa"/>
            <w:vAlign w:val="bottom"/>
          </w:tcPr>
          <w:p>
            <w:pPr>
              <w:ind w:left="380"/>
              <w:spacing w:after="0"/>
              <w:rPr>
                <w:sz w:val="20"/>
                <w:szCs w:val="20"/>
                <w:color w:val="auto"/>
              </w:rPr>
            </w:pPr>
            <w:r>
              <w:rPr>
                <w:rFonts w:ascii="Arial" w:cs="Arial" w:eastAsia="Arial" w:hAnsi="Arial"/>
                <w:sz w:val="16"/>
                <w:szCs w:val="16"/>
                <w:color w:val="auto"/>
                <w:w w:val="89"/>
              </w:rPr>
              <w:t>o</w:t>
            </w:r>
          </w:p>
        </w:tc>
      </w:tr>
    </w:tbl>
    <w:p>
      <w:pPr>
        <w:spacing w:after="0" w:line="183" w:lineRule="exact"/>
        <w:rPr>
          <w:sz w:val="24"/>
          <w:szCs w:val="24"/>
          <w:color w:val="auto"/>
        </w:rPr>
      </w:pPr>
    </w:p>
    <w:p>
      <w:pPr>
        <w:ind w:left="5"/>
        <w:spacing w:after="0"/>
        <w:rPr>
          <w:sz w:val="20"/>
          <w:szCs w:val="20"/>
          <w:color w:val="auto"/>
        </w:rPr>
      </w:pPr>
      <w:r>
        <w:rPr>
          <w:rFonts w:ascii="Arial" w:cs="Arial" w:eastAsia="Arial" w:hAnsi="Arial"/>
          <w:sz w:val="16"/>
          <w:szCs w:val="16"/>
          <w:color w:val="auto"/>
        </w:rPr>
        <w:t>Check the appropriate box:</w:t>
      </w:r>
    </w:p>
    <w:p>
      <w:pPr>
        <w:spacing w:after="0" w:line="59" w:lineRule="exact"/>
        <w:rPr>
          <w:sz w:val="24"/>
          <w:szCs w:val="24"/>
          <w:color w:val="auto"/>
        </w:rPr>
      </w:pPr>
    </w:p>
    <w:p>
      <w:pPr>
        <w:ind w:left="585" w:hanging="585"/>
        <w:spacing w:after="0"/>
        <w:tabs>
          <w:tab w:leader="none" w:pos="585"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59" w:lineRule="exact"/>
        <w:rPr>
          <w:rFonts w:ascii="Arial" w:cs="Arial" w:eastAsia="Arial" w:hAnsi="Arial"/>
          <w:sz w:val="16"/>
          <w:szCs w:val="16"/>
          <w:color w:val="auto"/>
        </w:rPr>
      </w:pPr>
    </w:p>
    <w:p>
      <w:pPr>
        <w:ind w:left="585" w:hanging="585"/>
        <w:spacing w:after="0"/>
        <w:tabs>
          <w:tab w:leader="none" w:pos="585"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59"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xDefinitive Proxy Statement</w:t>
      </w:r>
    </w:p>
    <w:p>
      <w:pPr>
        <w:spacing w:after="0" w:line="59" w:lineRule="exact"/>
        <w:rPr>
          <w:rFonts w:ascii="Arial" w:cs="Arial" w:eastAsia="Arial" w:hAnsi="Arial"/>
          <w:sz w:val="16"/>
          <w:szCs w:val="16"/>
          <w:color w:val="auto"/>
        </w:rPr>
      </w:pPr>
    </w:p>
    <w:p>
      <w:pPr>
        <w:ind w:left="585" w:hanging="585"/>
        <w:spacing w:after="0"/>
        <w:tabs>
          <w:tab w:leader="none" w:pos="585"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59" w:lineRule="exact"/>
        <w:rPr>
          <w:rFonts w:ascii="Arial" w:cs="Arial" w:eastAsia="Arial" w:hAnsi="Arial"/>
          <w:sz w:val="16"/>
          <w:szCs w:val="16"/>
          <w:color w:val="auto"/>
        </w:rPr>
      </w:pPr>
    </w:p>
    <w:p>
      <w:pPr>
        <w:ind w:left="585" w:hanging="585"/>
        <w:spacing w:after="0"/>
        <w:tabs>
          <w:tab w:leader="none" w:pos="585"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2710180</wp:posOffset>
            </wp:positionH>
            <wp:positionV relativeFrom="paragraph">
              <wp:posOffset>19050</wp:posOffset>
            </wp:positionV>
            <wp:extent cx="179260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4"/>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44"/>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ind w:left="3045"/>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8" w:lineRule="exact"/>
        <w:rPr>
          <w:sz w:val="24"/>
          <w:szCs w:val="24"/>
          <w:color w:val="auto"/>
        </w:rPr>
      </w:pPr>
    </w:p>
    <w:p>
      <w:pPr>
        <w:ind w:left="5"/>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59" w:lineRule="exact"/>
        <w:rPr>
          <w:sz w:val="24"/>
          <w:szCs w:val="24"/>
          <w:color w:val="auto"/>
        </w:rPr>
      </w:pPr>
    </w:p>
    <w:p>
      <w:pPr>
        <w:ind w:left="585" w:hanging="585"/>
        <w:spacing w:after="0"/>
        <w:tabs>
          <w:tab w:leader="none" w:pos="58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59"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56" w:lineRule="exact"/>
        <w:rPr>
          <w:rFonts w:ascii="Arial" w:cs="Arial" w:eastAsia="Arial" w:hAnsi="Arial"/>
          <w:sz w:val="16"/>
          <w:szCs w:val="16"/>
          <w:color w:val="auto"/>
        </w:rPr>
      </w:pPr>
    </w:p>
    <w:p>
      <w:pPr>
        <w:ind w:left="1145" w:hanging="564"/>
        <w:spacing w:after="0" w:line="260" w:lineRule="auto"/>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17"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56"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42" w:lineRule="exact"/>
        <w:rPr>
          <w:rFonts w:ascii="Arial" w:cs="Arial" w:eastAsia="Arial" w:hAnsi="Arial"/>
          <w:sz w:val="16"/>
          <w:szCs w:val="16"/>
          <w:color w:val="auto"/>
        </w:rPr>
      </w:pPr>
    </w:p>
    <w:p>
      <w:pPr>
        <w:ind w:left="585" w:hanging="585"/>
        <w:spacing w:after="0"/>
        <w:tabs>
          <w:tab w:leader="none" w:pos="58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59" w:lineRule="exact"/>
        <w:rPr>
          <w:rFonts w:ascii="Arial" w:cs="Arial" w:eastAsia="Arial" w:hAnsi="Arial"/>
          <w:sz w:val="16"/>
          <w:szCs w:val="16"/>
          <w:color w:val="auto"/>
        </w:rPr>
      </w:pPr>
    </w:p>
    <w:p>
      <w:pPr>
        <w:ind w:left="585" w:right="380" w:hanging="585"/>
        <w:spacing w:after="0" w:line="260" w:lineRule="auto"/>
        <w:tabs>
          <w:tab w:leader="none" w:pos="58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6"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6" w:lineRule="exact"/>
        <w:rPr>
          <w:rFonts w:ascii="Arial" w:cs="Arial" w:eastAsia="Arial" w:hAnsi="Arial"/>
          <w:sz w:val="16"/>
          <w:szCs w:val="16"/>
          <w:color w:val="auto"/>
        </w:rPr>
      </w:pPr>
    </w:p>
    <w:p>
      <w:pPr>
        <w:ind w:left="1145" w:hanging="564"/>
        <w:spacing w:after="0"/>
        <w:tabs>
          <w:tab w:leader="none" w:pos="1145"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wp:posOffset>
            </wp:positionH>
            <wp:positionV relativeFrom="paragraph">
              <wp:posOffset>199390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-142875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-486410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-829310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-1600835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-1943735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-2287270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-2741295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-3084830</wp:posOffset>
            </wp:positionV>
            <wp:extent cx="6517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413385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327660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5"/>
          </w:cols>
          <w:pgMar w:left="275" w:top="751"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2584450</wp:posOffset>
            </wp:positionH>
            <wp:positionV relativeFrom="page">
              <wp:posOffset>88900</wp:posOffset>
            </wp:positionV>
            <wp:extent cx="2400935" cy="1029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00935" cy="1029335"/>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13,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13, 2011, at 4:00 p.m., Central Standard Time,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1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three Class III directors to hold office for three-year terms;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accountants for the fiscal year ending August 25, 2012;</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provide advisory approval on the frequency of an executive compensation shareholder advisory vote; and</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Board of Directors of the Company has fixed the close of business on October 4, 2011, as the record date for the determination of shareholders entitled to notice of and to vote at this meeting and at any and all adjournments thereof.</w:t>
      </w:r>
    </w:p>
    <w:p>
      <w:pPr>
        <w:spacing w:after="0" w:line="155"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70"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 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19050</wp:posOffset>
            </wp:positionV>
            <wp:extent cx="24612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Raymond M. Beebe</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25, 2011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96"/>
              </w:rPr>
              <w:t>Page</w:t>
            </w:r>
          </w:p>
        </w:tc>
        <w:tc>
          <w:tcPr>
            <w:tcW w:w="0" w:type="dxa"/>
            <w:vAlign w:val="bottom"/>
          </w:tcPr>
          <w:p>
            <w:pPr>
              <w:spacing w:after="0"/>
              <w:rPr>
                <w:sz w:val="1"/>
                <w:szCs w:val="1"/>
                <w:color w:val="auto"/>
              </w:rPr>
            </w:pPr>
          </w:p>
        </w:tc>
      </w:tr>
      <w:tr>
        <w:trPr>
          <w:trHeight w:val="419"/>
        </w:trPr>
        <w:tc>
          <w:tcPr>
            <w:tcW w:w="2820" w:type="dxa"/>
            <w:vAlign w:val="bottom"/>
            <w:tcBorders>
              <w:bottom w:val="single" w:sz="8" w:color="0000FF"/>
            </w:tcBorders>
            <w:gridSpan w:val="10"/>
          </w:tcPr>
          <w:p>
            <w:pPr>
              <w:spacing w:after="0"/>
              <w:rPr>
                <w:rFonts w:ascii="Arial" w:cs="Arial" w:eastAsia="Arial" w:hAnsi="Arial"/>
                <w:sz w:val="16"/>
                <w:szCs w:val="16"/>
                <w:b w:val="1"/>
                <w:bCs w:val="1"/>
                <w:color w:val="0000FF"/>
                <w:w w:val="99"/>
              </w:rPr>
            </w:pPr>
            <w:hyperlink w:anchor="page3">
              <w:r>
                <w:rPr>
                  <w:rFonts w:ascii="Arial" w:cs="Arial" w:eastAsia="Arial" w:hAnsi="Arial"/>
                  <w:sz w:val="16"/>
                  <w:szCs w:val="16"/>
                  <w:b w:val="1"/>
                  <w:bCs w:val="1"/>
                  <w:color w:val="0000FF"/>
                  <w:w w:val="99"/>
                </w:rPr>
                <w:t>FORWARD-LOOKING INFORMATION</w:t>
              </w:r>
            </w:hyperlink>
          </w:p>
        </w:tc>
        <w:tc>
          <w:tcPr>
            <w:tcW w:w="8160" w:type="dxa"/>
            <w:vAlign w:val="bottom"/>
            <w:gridSpan w:val="14"/>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c>
          <w:tcPr>
            <w:tcW w:w="0" w:type="dxa"/>
            <w:vAlign w:val="bottom"/>
          </w:tcPr>
          <w:p>
            <w:pPr>
              <w:spacing w:after="0"/>
              <w:rPr>
                <w:sz w:val="1"/>
                <w:szCs w:val="1"/>
                <w:color w:val="auto"/>
              </w:rPr>
            </w:pPr>
          </w:p>
        </w:tc>
      </w:tr>
      <w:tr>
        <w:trPr>
          <w:trHeight w:val="250"/>
        </w:trPr>
        <w:tc>
          <w:tcPr>
            <w:tcW w:w="1580" w:type="dxa"/>
            <w:vAlign w:val="bottom"/>
            <w:tcBorders>
              <w:bottom w:val="single" w:sz="8" w:color="0000FF"/>
            </w:tcBorders>
            <w:gridSpan w:val="5"/>
          </w:tcPr>
          <w:p>
            <w:pPr>
              <w:spacing w:after="0"/>
              <w:rPr>
                <w:rFonts w:ascii="Arial" w:cs="Arial" w:eastAsia="Arial" w:hAnsi="Arial"/>
                <w:sz w:val="16"/>
                <w:szCs w:val="16"/>
                <w:b w:val="1"/>
                <w:bCs w:val="1"/>
                <w:color w:val="0000FF"/>
                <w:w w:val="98"/>
              </w:rPr>
            </w:pPr>
            <w:hyperlink w:anchor="page4">
              <w:r>
                <w:rPr>
                  <w:rFonts w:ascii="Arial" w:cs="Arial" w:eastAsia="Arial" w:hAnsi="Arial"/>
                  <w:sz w:val="16"/>
                  <w:szCs w:val="16"/>
                  <w:b w:val="1"/>
                  <w:bCs w:val="1"/>
                  <w:color w:val="0000FF"/>
                  <w:w w:val="98"/>
                </w:rPr>
                <w:t>PROXY STATEMENT</w:t>
              </w:r>
            </w:hyperlink>
          </w:p>
        </w:tc>
        <w:tc>
          <w:tcPr>
            <w:tcW w:w="9400" w:type="dxa"/>
            <w:vAlign w:val="bottom"/>
            <w:gridSpan w:val="19"/>
          </w:tcPr>
          <w:p>
            <w:pPr>
              <w:spacing w:after="0"/>
              <w:rPr>
                <w:sz w:val="21"/>
                <w:szCs w:val="21"/>
                <w:color w:val="auto"/>
              </w:rPr>
            </w:pPr>
          </w:p>
        </w:tc>
        <w:tc>
          <w:tcPr>
            <w:tcW w:w="2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0" w:type="dxa"/>
            <w:vAlign w:val="bottom"/>
          </w:tcPr>
          <w:p>
            <w:pPr>
              <w:spacing w:after="0"/>
              <w:rPr>
                <w:sz w:val="1"/>
                <w:szCs w:val="1"/>
                <w:color w:val="auto"/>
              </w:rPr>
            </w:pPr>
          </w:p>
        </w:tc>
      </w:tr>
      <w:tr>
        <w:trPr>
          <w:trHeight w:val="250"/>
        </w:trPr>
        <w:tc>
          <w:tcPr>
            <w:tcW w:w="4600" w:type="dxa"/>
            <w:vAlign w:val="bottom"/>
            <w:tcBorders>
              <w:bottom w:val="single" w:sz="8" w:color="0000FF"/>
            </w:tcBorders>
            <w:gridSpan w:val="17"/>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6380" w:type="dxa"/>
            <w:vAlign w:val="bottom"/>
            <w:gridSpan w:val="7"/>
          </w:tcPr>
          <w:p>
            <w:pPr>
              <w:spacing w:after="0"/>
              <w:rPr>
                <w:sz w:val="21"/>
                <w:szCs w:val="21"/>
                <w:color w:val="auto"/>
              </w:rPr>
            </w:pPr>
          </w:p>
        </w:tc>
        <w:tc>
          <w:tcPr>
            <w:tcW w:w="2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3</w:t>
              </w:r>
            </w:hyperlink>
          </w:p>
        </w:tc>
        <w:tc>
          <w:tcPr>
            <w:tcW w:w="0" w:type="dxa"/>
            <w:vAlign w:val="bottom"/>
          </w:tcPr>
          <w:p>
            <w:pPr>
              <w:spacing w:after="0"/>
              <w:rPr>
                <w:sz w:val="1"/>
                <w:szCs w:val="1"/>
                <w:color w:val="auto"/>
              </w:rPr>
            </w:pPr>
          </w:p>
        </w:tc>
      </w:tr>
      <w:tr>
        <w:trPr>
          <w:trHeight w:val="230"/>
        </w:trPr>
        <w:tc>
          <w:tcPr>
            <w:tcW w:w="10980" w:type="dxa"/>
            <w:vAlign w:val="bottom"/>
            <w:gridSpan w:val="24"/>
          </w:tcPr>
          <w:p>
            <w:pPr>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SECTION 16(a) BENEFICIAL OWNERSHIP REPORTING COMPLIANCE</w:t>
              </w:r>
            </w:hyperlink>
          </w:p>
        </w:tc>
        <w:tc>
          <w:tcPr>
            <w:tcW w:w="38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0000FF"/>
            </w:tcBorders>
            <w:gridSpan w:val="20"/>
          </w:tcPr>
          <w:p>
            <w:pPr>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BOARD OF DIRECTORS, COMMITTTEES OF THE BOARD AND CORPORATE GOVERNANCE</w:t>
              </w:r>
            </w:hyperlink>
          </w:p>
        </w:tc>
        <w:tc>
          <w:tcPr>
            <w:tcW w:w="3900" w:type="dxa"/>
            <w:vAlign w:val="bottom"/>
            <w:gridSpan w:val="4"/>
          </w:tcPr>
          <w:p>
            <w:pPr>
              <w:spacing w:after="0"/>
              <w:rPr>
                <w:sz w:val="21"/>
                <w:szCs w:val="21"/>
                <w:color w:val="auto"/>
              </w:rPr>
            </w:pPr>
          </w:p>
        </w:tc>
        <w:tc>
          <w:tcPr>
            <w:tcW w:w="2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5</w:t>
              </w:r>
            </w:hyperlink>
          </w:p>
        </w:tc>
        <w:tc>
          <w:tcPr>
            <w:tcW w:w="0" w:type="dxa"/>
            <w:vAlign w:val="bottom"/>
          </w:tcPr>
          <w:p>
            <w:pPr>
              <w:spacing w:after="0"/>
              <w:rPr>
                <w:sz w:val="1"/>
                <w:szCs w:val="1"/>
                <w:color w:val="auto"/>
              </w:rPr>
            </w:pPr>
          </w:p>
        </w:tc>
      </w:tr>
      <w:tr>
        <w:trPr>
          <w:trHeight w:val="230"/>
        </w:trPr>
        <w:tc>
          <w:tcPr>
            <w:tcW w:w="2200" w:type="dxa"/>
            <w:vAlign w:val="bottom"/>
            <w:tcBorders>
              <w:bottom w:val="single" w:sz="8" w:color="0000FF"/>
            </w:tcBorders>
            <w:gridSpan w:val="7"/>
          </w:tcPr>
          <w:p>
            <w:pPr>
              <w:spacing w:after="0"/>
              <w:rPr>
                <w:rFonts w:ascii="Arial" w:cs="Arial" w:eastAsia="Arial" w:hAnsi="Arial"/>
                <w:sz w:val="16"/>
                <w:szCs w:val="16"/>
                <w:b w:val="1"/>
                <w:bCs w:val="1"/>
                <w:color w:val="0000FF"/>
                <w:w w:val="99"/>
              </w:rPr>
            </w:pPr>
            <w:hyperlink w:anchor="page13">
              <w:r>
                <w:rPr>
                  <w:rFonts w:ascii="Arial" w:cs="Arial" w:eastAsia="Arial" w:hAnsi="Arial"/>
                  <w:sz w:val="16"/>
                  <w:szCs w:val="16"/>
                  <w:b w:val="1"/>
                  <w:bCs w:val="1"/>
                  <w:color w:val="0000FF"/>
                  <w:w w:val="99"/>
                </w:rPr>
                <w:t>DIRECTOR COMPENSATION</w:t>
              </w:r>
            </w:hyperlink>
          </w:p>
        </w:tc>
        <w:tc>
          <w:tcPr>
            <w:tcW w:w="8780" w:type="dxa"/>
            <w:vAlign w:val="bottom"/>
            <w:gridSpan w:val="17"/>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3">
              <w:r>
                <w:rPr>
                  <w:rFonts w:ascii="Arial" w:cs="Arial" w:eastAsia="Arial" w:hAnsi="Arial"/>
                  <w:sz w:val="16"/>
                  <w:szCs w:val="16"/>
                  <w:color w:val="0000FF"/>
                </w:rPr>
                <w:t>10</w:t>
              </w:r>
            </w:hyperlink>
          </w:p>
        </w:tc>
        <w:tc>
          <w:tcPr>
            <w:tcW w:w="0" w:type="dxa"/>
            <w:vAlign w:val="bottom"/>
          </w:tcPr>
          <w:p>
            <w:pPr>
              <w:spacing w:after="0"/>
              <w:rPr>
                <w:sz w:val="1"/>
                <w:szCs w:val="1"/>
                <w:color w:val="auto"/>
              </w:rPr>
            </w:pPr>
          </w:p>
        </w:tc>
      </w:tr>
      <w:tr>
        <w:trPr>
          <w:trHeight w:val="20"/>
        </w:trPr>
        <w:tc>
          <w:tcPr>
            <w:tcW w:w="10980" w:type="dxa"/>
            <w:vAlign w:val="bottom"/>
            <w:gridSpan w:val="24"/>
            <w:vMerge w:val="restart"/>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ITEM 1 ELECTION OF DIRECTORS</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980" w:type="dxa"/>
            <w:vAlign w:val="bottom"/>
            <w:gridSpan w:val="24"/>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2280" w:type="dxa"/>
            <w:vAlign w:val="bottom"/>
            <w:tcBorders>
              <w:top w:val="single" w:sz="8" w:color="0000FF"/>
            </w:tcBorders>
            <w:gridSpan w:val="8"/>
            <w:vMerge w:val="restart"/>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EXECUTIVE COMPENSATION</w:t>
              </w:r>
            </w:hyperlink>
          </w:p>
        </w:tc>
        <w:tc>
          <w:tcPr>
            <w:tcW w:w="360" w:type="dxa"/>
            <w:vAlign w:val="bottom"/>
            <w:tcBorders>
              <w:top w:val="single" w:sz="8" w:color="0000FF"/>
            </w:tcBorders>
            <w:vMerge w:val="restart"/>
          </w:tcPr>
          <w:p>
            <w:pPr>
              <w:spacing w:after="0" w:line="20" w:lineRule="exact"/>
              <w:rPr>
                <w:sz w:val="1"/>
                <w:szCs w:val="1"/>
                <w:color w:val="auto"/>
              </w:rPr>
            </w:pPr>
          </w:p>
        </w:tc>
        <w:tc>
          <w:tcPr>
            <w:tcW w:w="8340" w:type="dxa"/>
            <w:vAlign w:val="bottom"/>
            <w:gridSpan w:val="15"/>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80" w:type="dxa"/>
            <w:vAlign w:val="bottom"/>
            <w:tcBorders>
              <w:bottom w:val="single" w:sz="8" w:color="0000FF"/>
            </w:tcBorders>
            <w:gridSpan w:val="8"/>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8340" w:type="dxa"/>
            <w:vAlign w:val="bottom"/>
            <w:gridSpan w:val="15"/>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0" w:type="dxa"/>
            <w:vAlign w:val="bottom"/>
            <w:gridSpan w:val="23"/>
            <w:vMerge w:val="restart"/>
          </w:tcPr>
          <w:p>
            <w:pPr>
              <w:spacing w:after="0"/>
              <w:rPr>
                <w:rFonts w:ascii="Arial" w:cs="Arial" w:eastAsia="Arial" w:hAnsi="Arial"/>
                <w:sz w:val="16"/>
                <w:szCs w:val="16"/>
                <w:b w:val="1"/>
                <w:bCs w:val="1"/>
                <w:color w:val="0000FF"/>
              </w:rPr>
            </w:pPr>
            <w:hyperlink w:anchor="page17">
              <w:r>
                <w:rPr>
                  <w:rFonts w:ascii="Arial" w:cs="Arial" w:eastAsia="Arial" w:hAnsi="Arial"/>
                  <w:sz w:val="16"/>
                  <w:szCs w:val="16"/>
                  <w:b w:val="1"/>
                  <w:bCs w:val="1"/>
                  <w:color w:val="0000FF"/>
                </w:rPr>
                <w:t>Overview</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10800" w:type="dxa"/>
            <w:vAlign w:val="bottom"/>
            <w:gridSpan w:val="23"/>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10800" w:type="dxa"/>
            <w:vAlign w:val="bottom"/>
            <w:gridSpan w:val="23"/>
          </w:tcPr>
          <w:p>
            <w:pPr>
              <w:spacing w:after="0"/>
              <w:rPr>
                <w:rFonts w:ascii="Arial" w:cs="Arial" w:eastAsia="Arial" w:hAnsi="Arial"/>
                <w:sz w:val="16"/>
                <w:szCs w:val="16"/>
                <w:b w:val="1"/>
                <w:bCs w:val="1"/>
                <w:color w:val="0000FF"/>
              </w:rPr>
            </w:pPr>
            <w:hyperlink w:anchor="page18">
              <w:r>
                <w:rPr>
                  <w:rFonts w:ascii="Arial" w:cs="Arial" w:eastAsia="Arial" w:hAnsi="Arial"/>
                  <w:sz w:val="16"/>
                  <w:szCs w:val="16"/>
                  <w:b w:val="1"/>
                  <w:bCs w:val="1"/>
                  <w:color w:val="0000FF"/>
                </w:rPr>
                <w:t>Compensation Discussion and Analysis</w:t>
              </w:r>
            </w:hyperlink>
          </w:p>
        </w:tc>
        <w:tc>
          <w:tcPr>
            <w:tcW w:w="380" w:type="dxa"/>
            <w:vAlign w:val="bottom"/>
            <w:gridSpan w:val="4"/>
          </w:tcPr>
          <w:p>
            <w:pPr>
              <w:jc w:val="right"/>
              <w:spacing w:after="0"/>
              <w:rPr>
                <w:rFonts w:ascii="Arial" w:cs="Arial" w:eastAsia="Arial" w:hAnsi="Arial"/>
                <w:sz w:val="16"/>
                <w:szCs w:val="16"/>
                <w:color w:val="0000FF"/>
              </w:rPr>
            </w:pPr>
            <w:hyperlink w:anchor="page18">
              <w:r>
                <w:rPr>
                  <w:rFonts w:ascii="Arial" w:cs="Arial" w:eastAsia="Arial" w:hAnsi="Arial"/>
                  <w:sz w:val="16"/>
                  <w:szCs w:val="16"/>
                  <w:color w:val="0000FF"/>
                </w:rPr>
                <w:t>15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80" w:type="dxa"/>
            <w:vAlign w:val="bottom"/>
            <w:tcBorders>
              <w:top w:val="single" w:sz="8" w:color="0000FF"/>
            </w:tcBorders>
            <w:gridSpan w:val="11"/>
            <w:vMerge w:val="restart"/>
          </w:tcPr>
          <w:p>
            <w:pPr>
              <w:spacing w:after="0"/>
              <w:rPr>
                <w:rFonts w:ascii="Arial" w:cs="Arial" w:eastAsia="Arial" w:hAnsi="Arial"/>
                <w:sz w:val="16"/>
                <w:szCs w:val="16"/>
                <w:b w:val="1"/>
                <w:bCs w:val="1"/>
                <w:color w:val="0000FF"/>
              </w:rPr>
            </w:pPr>
            <w:hyperlink w:anchor="page30">
              <w:r>
                <w:rPr>
                  <w:rFonts w:ascii="Arial" w:cs="Arial" w:eastAsia="Arial" w:hAnsi="Arial"/>
                  <w:sz w:val="16"/>
                  <w:szCs w:val="16"/>
                  <w:b w:val="1"/>
                  <w:bCs w:val="1"/>
                  <w:color w:val="0000FF"/>
                </w:rPr>
                <w:t>Human Resources Committee Report</w:t>
              </w:r>
            </w:hyperlink>
          </w:p>
        </w:tc>
        <w:tc>
          <w:tcPr>
            <w:tcW w:w="200" w:type="dxa"/>
            <w:vAlign w:val="bottom"/>
            <w:tcBorders>
              <w:top w:val="single" w:sz="8" w:color="0000FF"/>
            </w:tcBorders>
            <w:vMerge w:val="restart"/>
          </w:tcPr>
          <w:p>
            <w:pPr>
              <w:spacing w:after="0" w:line="20" w:lineRule="exact"/>
              <w:rPr>
                <w:sz w:val="1"/>
                <w:szCs w:val="1"/>
                <w:color w:val="auto"/>
              </w:rPr>
            </w:pPr>
          </w:p>
        </w:tc>
        <w:tc>
          <w:tcPr>
            <w:tcW w:w="7720" w:type="dxa"/>
            <w:vAlign w:val="bottom"/>
            <w:gridSpan w:val="11"/>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2880" w:type="dxa"/>
            <w:vAlign w:val="bottom"/>
            <w:tcBorders>
              <w:bottom w:val="single" w:sz="8" w:color="0000FF"/>
            </w:tcBorders>
            <w:gridSpan w:val="11"/>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720" w:type="dxa"/>
            <w:vAlign w:val="bottom"/>
            <w:gridSpan w:val="11"/>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40" w:type="dxa"/>
            <w:vAlign w:val="bottom"/>
            <w:gridSpan w:val="14"/>
            <w:vMerge w:val="restart"/>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Compensation Tables and Narrative Disclosure</w:t>
              </w:r>
            </w:hyperlink>
          </w:p>
        </w:tc>
        <w:tc>
          <w:tcPr>
            <w:tcW w:w="7160" w:type="dxa"/>
            <w:vAlign w:val="bottom"/>
            <w:gridSpan w:val="9"/>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640" w:type="dxa"/>
            <w:vAlign w:val="bottom"/>
            <w:tcBorders>
              <w:bottom w:val="single" w:sz="8" w:color="0000FF"/>
            </w:tcBorders>
            <w:gridSpan w:val="14"/>
            <w:vMerge w:val="continue"/>
          </w:tcPr>
          <w:p>
            <w:pPr>
              <w:spacing w:after="0"/>
              <w:rPr>
                <w:sz w:val="21"/>
                <w:szCs w:val="21"/>
                <w:color w:val="auto"/>
              </w:rPr>
            </w:pPr>
          </w:p>
        </w:tc>
        <w:tc>
          <w:tcPr>
            <w:tcW w:w="7160" w:type="dxa"/>
            <w:vAlign w:val="bottom"/>
            <w:gridSpan w:val="9"/>
            <w:vMerge w:val="continue"/>
          </w:tcPr>
          <w:p>
            <w:pPr>
              <w:spacing w:after="0"/>
              <w:rPr>
                <w:sz w:val="21"/>
                <w:szCs w:val="21"/>
                <w:color w:val="auto"/>
              </w:rPr>
            </w:pPr>
          </w:p>
        </w:tc>
        <w:tc>
          <w:tcPr>
            <w:tcW w:w="380" w:type="dxa"/>
            <w:vAlign w:val="bottom"/>
            <w:gridSpan w:val="4"/>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17"/>
        </w:trPr>
        <w:tc>
          <w:tcPr>
            <w:tcW w:w="10980" w:type="dxa"/>
            <w:vAlign w:val="bottom"/>
            <w:gridSpan w:val="24"/>
          </w:tcPr>
          <w:p>
            <w:pPr>
              <w:spacing w:after="0"/>
              <w:rPr>
                <w:rFonts w:ascii="Arial" w:cs="Arial" w:eastAsia="Arial" w:hAnsi="Arial"/>
                <w:sz w:val="16"/>
                <w:szCs w:val="16"/>
                <w:b w:val="1"/>
                <w:bCs w:val="1"/>
                <w:color w:val="0000FF"/>
              </w:rPr>
            </w:pPr>
            <w:hyperlink w:anchor="page40">
              <w:r>
                <w:rPr>
                  <w:rFonts w:ascii="Arial" w:cs="Arial" w:eastAsia="Arial" w:hAnsi="Arial"/>
                  <w:sz w:val="16"/>
                  <w:szCs w:val="16"/>
                  <w:b w:val="1"/>
                  <w:bCs w:val="1"/>
                  <w:color w:val="0000FF"/>
                </w:rPr>
                <w:t>ITEM 2 RATIFICATION OF THE APPOINTMENT OF INDEPENDENT REGISTERED PUBLIC ACCOUNTANTS FOR THE FISCAL YEAR</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40" w:type="dxa"/>
            <w:vAlign w:val="bottom"/>
            <w:tcBorders>
              <w:top w:val="single" w:sz="8" w:color="0000FF"/>
            </w:tcBorders>
            <w:gridSpan w:val="6"/>
          </w:tcPr>
          <w:p>
            <w:pPr>
              <w:spacing w:after="0" w:line="169" w:lineRule="exact"/>
              <w:rPr>
                <w:rFonts w:ascii="Arial" w:cs="Arial" w:eastAsia="Arial" w:hAnsi="Arial"/>
                <w:sz w:val="16"/>
                <w:szCs w:val="16"/>
                <w:b w:val="1"/>
                <w:bCs w:val="1"/>
                <w:color w:val="0000FF"/>
              </w:rPr>
            </w:pPr>
            <w:hyperlink w:anchor="page40">
              <w:r>
                <w:rPr>
                  <w:rFonts w:ascii="Arial" w:cs="Arial" w:eastAsia="Arial" w:hAnsi="Arial"/>
                  <w:sz w:val="16"/>
                  <w:szCs w:val="16"/>
                  <w:b w:val="1"/>
                  <w:bCs w:val="1"/>
                  <w:color w:val="0000FF"/>
                </w:rPr>
                <w:t>ENDING AUGUST 25, 2012</w:t>
              </w:r>
            </w:hyperlink>
          </w:p>
        </w:tc>
        <w:tc>
          <w:tcPr>
            <w:tcW w:w="7900" w:type="dxa"/>
            <w:vAlign w:val="bottom"/>
            <w:tcBorders>
              <w:top w:val="single" w:sz="8" w:color="0000FF"/>
            </w:tcBorders>
            <w:gridSpan w:val="17"/>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4"/>
          </w:tcPr>
          <w:p>
            <w:pPr>
              <w:jc w:val="right"/>
              <w:spacing w:after="0" w:line="169" w:lineRule="exact"/>
              <w:rPr>
                <w:rFonts w:ascii="Arial" w:cs="Arial" w:eastAsia="Arial" w:hAnsi="Arial"/>
                <w:sz w:val="16"/>
                <w:szCs w:val="16"/>
                <w:color w:val="0000FF"/>
              </w:rPr>
            </w:pPr>
            <w:hyperlink w:anchor="page40">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0000FF"/>
            </w:tcBorders>
            <w:gridSpan w:val="22"/>
          </w:tcPr>
          <w:p>
            <w:pPr>
              <w:spacing w:after="0"/>
              <w:rPr>
                <w:rFonts w:ascii="Arial" w:cs="Arial" w:eastAsia="Arial" w:hAnsi="Arial"/>
                <w:sz w:val="16"/>
                <w:szCs w:val="16"/>
                <w:b w:val="1"/>
                <w:bCs w:val="1"/>
                <w:color w:val="0000FF"/>
              </w:rPr>
            </w:pPr>
            <w:hyperlink w:anchor="page41">
              <w:r>
                <w:rPr>
                  <w:rFonts w:ascii="Arial" w:cs="Arial" w:eastAsia="Arial" w:hAnsi="Arial"/>
                  <w:sz w:val="16"/>
                  <w:szCs w:val="16"/>
                  <w:b w:val="1"/>
                  <w:bCs w:val="1"/>
                  <w:color w:val="0000FF"/>
                </w:rPr>
                <w:t>ITEM 3 PROPOSAL FOR AN ADVISORY VOTE ON EXECUTIVE COMPENSATION (THE "SAY ON PAY" VOTE)</w:t>
              </w:r>
            </w:hyperlink>
          </w:p>
        </w:tc>
        <w:tc>
          <w:tcPr>
            <w:tcW w:w="2740" w:type="dxa"/>
            <w:vAlign w:val="bottom"/>
            <w:gridSpan w:val="2"/>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7260" w:type="dxa"/>
            <w:vAlign w:val="bottom"/>
            <w:gridSpan w:val="21"/>
            <w:vMerge w:val="restart"/>
          </w:tcPr>
          <w:p>
            <w:pPr>
              <w:spacing w:after="0"/>
              <w:rPr>
                <w:rFonts w:ascii="Arial" w:cs="Arial" w:eastAsia="Arial" w:hAnsi="Arial"/>
                <w:sz w:val="16"/>
                <w:szCs w:val="16"/>
                <w:b w:val="1"/>
                <w:bCs w:val="1"/>
                <w:color w:val="0000FF"/>
              </w:rPr>
            </w:pPr>
            <w:hyperlink w:anchor="page41">
              <w:r>
                <w:rPr>
                  <w:rFonts w:ascii="Arial" w:cs="Arial" w:eastAsia="Arial" w:hAnsi="Arial"/>
                  <w:sz w:val="16"/>
                  <w:szCs w:val="16"/>
                  <w:b w:val="1"/>
                  <w:bCs w:val="1"/>
                  <w:color w:val="0000FF"/>
                </w:rPr>
                <w:t>ITEM 4 PROPOSAL FOR AN ADVISORY VOTE ON THE FREQUENCY OF "SAY ON PAY" VOTES</w:t>
              </w:r>
            </w:hyperlink>
          </w:p>
        </w:tc>
        <w:tc>
          <w:tcPr>
            <w:tcW w:w="3720" w:type="dxa"/>
            <w:vAlign w:val="bottom"/>
            <w:gridSpan w:val="3"/>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60" w:type="dxa"/>
            <w:vAlign w:val="bottom"/>
            <w:tcBorders>
              <w:bottom w:val="single" w:sz="8" w:color="0000FF"/>
            </w:tcBorders>
            <w:gridSpan w:val="21"/>
            <w:vMerge w:val="continue"/>
          </w:tcPr>
          <w:p>
            <w:pPr>
              <w:spacing w:after="0"/>
              <w:rPr>
                <w:sz w:val="20"/>
                <w:szCs w:val="20"/>
                <w:color w:val="auto"/>
              </w:rPr>
            </w:pPr>
          </w:p>
        </w:tc>
        <w:tc>
          <w:tcPr>
            <w:tcW w:w="3720" w:type="dxa"/>
            <w:vAlign w:val="bottom"/>
            <w:gridSpan w:val="3"/>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1380" w:type="dxa"/>
            <w:vAlign w:val="bottom"/>
            <w:gridSpan w:val="4"/>
            <w:vMerge w:val="restart"/>
          </w:tcPr>
          <w:p>
            <w:pPr>
              <w:spacing w:after="0"/>
              <w:rPr>
                <w:rFonts w:ascii="Arial" w:cs="Arial" w:eastAsia="Arial" w:hAnsi="Arial"/>
                <w:sz w:val="16"/>
                <w:szCs w:val="16"/>
                <w:b w:val="1"/>
                <w:bCs w:val="1"/>
                <w:color w:val="0000FF"/>
                <w:w w:val="98"/>
              </w:rPr>
            </w:pPr>
            <w:hyperlink w:anchor="page42">
              <w:r>
                <w:rPr>
                  <w:rFonts w:ascii="Arial" w:cs="Arial" w:eastAsia="Arial" w:hAnsi="Arial"/>
                  <w:sz w:val="16"/>
                  <w:szCs w:val="16"/>
                  <w:b w:val="1"/>
                  <w:bCs w:val="1"/>
                  <w:color w:val="0000FF"/>
                  <w:w w:val="98"/>
                </w:rPr>
                <w:t>OTHER MATTERS</w:t>
              </w:r>
            </w:hyperlink>
          </w:p>
        </w:tc>
        <w:tc>
          <w:tcPr>
            <w:tcW w:w="9600" w:type="dxa"/>
            <w:vAlign w:val="bottom"/>
            <w:gridSpan w:val="20"/>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80" w:type="dxa"/>
            <w:vAlign w:val="bottom"/>
            <w:tcBorders>
              <w:bottom w:val="single" w:sz="8" w:color="0000FF"/>
            </w:tcBorders>
            <w:gridSpan w:val="4"/>
            <w:vMerge w:val="continue"/>
          </w:tcPr>
          <w:p>
            <w:pPr>
              <w:spacing w:after="0"/>
              <w:rPr>
                <w:sz w:val="20"/>
                <w:szCs w:val="20"/>
                <w:color w:val="auto"/>
              </w:rPr>
            </w:pPr>
          </w:p>
        </w:tc>
        <w:tc>
          <w:tcPr>
            <w:tcW w:w="9600" w:type="dxa"/>
            <w:vAlign w:val="bottom"/>
            <w:gridSpan w:val="20"/>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10980" w:type="dxa"/>
            <w:vAlign w:val="bottom"/>
            <w:gridSpan w:val="24"/>
            <w:vMerge w:val="restart"/>
          </w:tcPr>
          <w:p>
            <w:pPr>
              <w:spacing w:after="0"/>
              <w:rPr>
                <w:rFonts w:ascii="Arial" w:cs="Arial" w:eastAsia="Arial" w:hAnsi="Arial"/>
                <w:sz w:val="16"/>
                <w:szCs w:val="16"/>
                <w:b w:val="1"/>
                <w:bCs w:val="1"/>
                <w:color w:val="0000FF"/>
              </w:rPr>
            </w:pPr>
            <w:hyperlink w:anchor="page42">
              <w:r>
                <w:rPr>
                  <w:rFonts w:ascii="Arial" w:cs="Arial" w:eastAsia="Arial" w:hAnsi="Arial"/>
                  <w:sz w:val="16"/>
                  <w:szCs w:val="16"/>
                  <w:b w:val="1"/>
                  <w:bCs w:val="1"/>
                  <w:color w:val="0000FF"/>
                </w:rPr>
                <w:t>REPORT OF THE AUDIT COMMITTEE</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980" w:type="dxa"/>
            <w:vAlign w:val="bottom"/>
            <w:gridSpan w:val="24"/>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tcBorders>
              <w:bottom w:val="single" w:sz="8" w:color="0000FF"/>
            </w:tcBorders>
            <w:gridSpan w:val="19"/>
          </w:tcPr>
          <w:p>
            <w:pPr>
              <w:spacing w:after="0"/>
              <w:rPr>
                <w:rFonts w:ascii="Arial" w:cs="Arial" w:eastAsia="Arial" w:hAnsi="Arial"/>
                <w:sz w:val="16"/>
                <w:szCs w:val="16"/>
                <w:b w:val="1"/>
                <w:bCs w:val="1"/>
                <w:color w:val="0000FF"/>
              </w:rPr>
            </w:pPr>
            <w:hyperlink w:anchor="page42">
              <w:r>
                <w:rPr>
                  <w:rFonts w:ascii="Arial" w:cs="Arial" w:eastAsia="Arial" w:hAnsi="Arial"/>
                  <w:sz w:val="16"/>
                  <w:szCs w:val="16"/>
                  <w:b w:val="1"/>
                  <w:bCs w:val="1"/>
                  <w:color w:val="0000FF"/>
                </w:rPr>
                <w:t>INDEPENDENT REGISTERED PUBLIC ACCOUNTANTS FEES AND SERVICES</w:t>
              </w:r>
            </w:hyperlink>
          </w:p>
        </w:tc>
        <w:tc>
          <w:tcPr>
            <w:tcW w:w="5060" w:type="dxa"/>
            <w:vAlign w:val="bottom"/>
            <w:gridSpan w:val="5"/>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10980" w:type="dxa"/>
            <w:vAlign w:val="bottom"/>
            <w:gridSpan w:val="24"/>
            <w:vMerge w:val="restart"/>
          </w:tcPr>
          <w:p>
            <w:pPr>
              <w:spacing w:after="0"/>
              <w:rPr>
                <w:rFonts w:ascii="Arial" w:cs="Arial" w:eastAsia="Arial" w:hAnsi="Arial"/>
                <w:sz w:val="16"/>
                <w:szCs w:val="16"/>
                <w:b w:val="1"/>
                <w:bCs w:val="1"/>
                <w:color w:val="0000FF"/>
              </w:rPr>
            </w:pPr>
            <w:hyperlink w:anchor="page43">
              <w:r>
                <w:rPr>
                  <w:rFonts w:ascii="Arial" w:cs="Arial" w:eastAsia="Arial" w:hAnsi="Arial"/>
                  <w:sz w:val="16"/>
                  <w:szCs w:val="16"/>
                  <w:b w:val="1"/>
                  <w:bCs w:val="1"/>
                  <w:color w:val="0000FF"/>
                </w:rPr>
                <w:t>FISCAL YEAR 2012 SHAREHOLDER PROPOSALS</w:t>
              </w:r>
            </w:hyperlink>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980" w:type="dxa"/>
            <w:vAlign w:val="bottom"/>
            <w:gridSpan w:val="24"/>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840" w:type="dxa"/>
            <w:vAlign w:val="bottom"/>
            <w:tcBorders>
              <w:top w:val="single" w:sz="8" w:color="0000FF"/>
            </w:tcBorders>
            <w:gridSpan w:val="16"/>
            <w:vMerge w:val="restart"/>
          </w:tcPr>
          <w:p>
            <w:pPr>
              <w:spacing w:after="0"/>
              <w:rPr>
                <w:rFonts w:ascii="Arial" w:cs="Arial" w:eastAsia="Arial" w:hAnsi="Arial"/>
                <w:sz w:val="16"/>
                <w:szCs w:val="16"/>
                <w:b w:val="1"/>
                <w:bCs w:val="1"/>
                <w:color w:val="0000FF"/>
              </w:rPr>
            </w:pPr>
            <w:hyperlink w:anchor="page43">
              <w:r>
                <w:rPr>
                  <w:rFonts w:ascii="Arial" w:cs="Arial" w:eastAsia="Arial" w:hAnsi="Arial"/>
                  <w:sz w:val="16"/>
                  <w:szCs w:val="16"/>
                  <w:b w:val="1"/>
                  <w:bCs w:val="1"/>
                  <w:color w:val="0000FF"/>
                </w:rPr>
                <w:t>GENERAL</w:t>
              </w:r>
            </w:hyperlink>
          </w:p>
        </w:tc>
        <w:tc>
          <w:tcPr>
            <w:tcW w:w="7140" w:type="dxa"/>
            <w:vAlign w:val="bottom"/>
            <w:gridSpan w:val="8"/>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gridSpan w:val="16"/>
            <w:vMerge w:val="continue"/>
          </w:tcPr>
          <w:p>
            <w:pPr>
              <w:spacing w:after="0"/>
              <w:rPr>
                <w:sz w:val="20"/>
                <w:szCs w:val="20"/>
                <w:color w:val="auto"/>
              </w:rPr>
            </w:pPr>
          </w:p>
        </w:tc>
        <w:tc>
          <w:tcPr>
            <w:tcW w:w="7140" w:type="dxa"/>
            <w:vAlign w:val="bottom"/>
            <w:gridSpan w:val="8"/>
            <w:vMerge w:val="continue"/>
          </w:tcPr>
          <w:p>
            <w:pPr>
              <w:spacing w:after="0"/>
              <w:rPr>
                <w:sz w:val="20"/>
                <w:szCs w:val="20"/>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2760" w:type="dxa"/>
            <w:vAlign w:val="bottom"/>
            <w:gridSpan w:val="12"/>
          </w:tcPr>
          <w:p>
            <w:pPr>
              <w:spacing w:after="0" w:line="20" w:lineRule="exact"/>
              <w:rPr>
                <w:sz w:val="1"/>
                <w:szCs w:val="1"/>
                <w:color w:val="auto"/>
              </w:rPr>
            </w:pPr>
          </w:p>
        </w:tc>
        <w:tc>
          <w:tcPr>
            <w:tcW w:w="74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0000FF"/>
            </w:tcBorders>
            <w:gridSpan w:val="14"/>
          </w:tcPr>
          <w:p>
            <w:pPr>
              <w:spacing w:after="0"/>
              <w:rPr>
                <w:rFonts w:ascii="Arial" w:cs="Arial" w:eastAsia="Arial" w:hAnsi="Arial"/>
                <w:sz w:val="16"/>
                <w:szCs w:val="16"/>
                <w:b w:val="1"/>
                <w:bCs w:val="1"/>
                <w:color w:val="0000FF"/>
              </w:rPr>
            </w:pPr>
            <w:hyperlink w:anchor="page44">
              <w:r>
                <w:rPr>
                  <w:rFonts w:ascii="Arial" w:cs="Arial" w:eastAsia="Arial" w:hAnsi="Arial"/>
                  <w:sz w:val="16"/>
                  <w:szCs w:val="16"/>
                  <w:b w:val="1"/>
                  <w:bCs w:val="1"/>
                  <w:color w:val="0000FF"/>
                </w:rPr>
                <w:t>APPENDIX A — NOMINATION OF DIRECTORS</w:t>
              </w:r>
            </w:hyperlink>
          </w:p>
        </w:tc>
        <w:tc>
          <w:tcPr>
            <w:tcW w:w="7440" w:type="dxa"/>
            <w:vAlign w:val="bottom"/>
            <w:gridSpan w:val="10"/>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gridSpan w:val="3"/>
          </w:tcPr>
          <w:p>
            <w:pPr>
              <w:jc w:val="right"/>
              <w:spacing w:after="0"/>
              <w:rPr>
                <w:rFonts w:ascii="Arial" w:cs="Arial" w:eastAsia="Arial" w:hAnsi="Arial"/>
                <w:sz w:val="16"/>
                <w:szCs w:val="16"/>
                <w:color w:val="auto"/>
                <w:w w:val="96"/>
              </w:rPr>
            </w:pPr>
            <w:r>
              <w:rPr>
                <w:rFonts w:ascii="Arial" w:cs="Arial" w:eastAsia="Arial" w:hAnsi="Arial"/>
                <w:sz w:val="16"/>
                <w:szCs w:val="16"/>
                <w:color w:val="auto"/>
                <w:w w:val="96"/>
              </w:rPr>
              <w:t>A-</w:t>
            </w:r>
            <w:hyperlink w:anchor="page44">
              <w:r>
                <w:rPr>
                  <w:rFonts w:ascii="Arial" w:cs="Arial" w:eastAsia="Arial" w:hAnsi="Arial"/>
                  <w:sz w:val="16"/>
                  <w:szCs w:val="16"/>
                  <w:color w:val="auto"/>
                  <w:w w:val="96"/>
                </w:rPr>
                <w:t>1</w:t>
              </w:r>
            </w:hyperlink>
          </w:p>
        </w:tc>
        <w:tc>
          <w:tcPr>
            <w:tcW w:w="0" w:type="dxa"/>
            <w:vAlign w:val="bottom"/>
          </w:tcPr>
          <w:p>
            <w:pPr>
              <w:spacing w:after="0"/>
              <w:rPr>
                <w:sz w:val="1"/>
                <w:szCs w:val="1"/>
                <w:color w:val="auto"/>
              </w:rPr>
            </w:pPr>
          </w:p>
        </w:tc>
      </w:tr>
    </w:tbl>
    <w:p>
      <w:pPr>
        <w:sectPr>
          <w:pgSz w:w="11900" w:h="16838" w:orient="portrait"/>
          <w:cols w:equalWidth="0" w:num="1">
            <w:col w:w="11360"/>
          </w:cols>
          <w:pgMar w:left="280" w:top="500" w:right="2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605 West Crystal Lake Road - Forest City, Iowa 50436</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27, 2011 (the “2011 Form 10-K”) filed with the Securities and Exchange Commission (the “SEC”) for a list of such factors.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13, 2011, at 4:00 p.m., Central Standard Time, and at any and all adjournments thereof (the “Annual Meeting” or the “Meeting”).</w:t>
      </w:r>
    </w:p>
    <w:p>
      <w:pPr>
        <w:spacing w:after="0" w:line="9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specifically requested.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25, 2011.</w:t>
      </w:r>
    </w:p>
    <w:p>
      <w:pPr>
        <w:spacing w:after="0" w:line="11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Only holders of Common Stock of record at the close of business on October 4, 2011 will be entitled to Notice of Internet Availability of Proxy Materials and to vote at the Annual Meeting. At such date, we had outstanding 29,137,648 shares of Common Stock, par value $.50 per share (“Common Stock”).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9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88"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or against or abstain from the ratification of the appointment of independent registered public accountants, you may vote in favor or against or abstain from the approval on an advisory basis of the executive compensation disclosed in this Proxy Statement, and you may vote, on an advisory basis, or you may abstain, on the frequency of the vote of the executive compensation disclosed in this Proxy Statement. If you sign and submit your proxy card without voting instructions, your shares will be voted for each director nominee and for the ratification of the appointment of independent registered public accountants.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accountants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brokers may not vote their customers' shares in the following matters to be considered at the Annual Meeting: Item (1): Election of Directors; Item (3): Proposal For an Advisory Vote on Executive Compensation (the "Say on Pay" Vote); and Item (4): Proposal For an Advisory Vote on the Frequency of "Say on Pay" Votes.</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Directors must be elected by a plurality of the votes cast at the Meeting. This means that the three nominees receiving the greatest number of votes will be elected as directors. Votes withheld from any nominee will still be counted for the purposes of establishing a quorum but will have no legal effect on the election of directors due to the fact that such elections are by a plurality of the votes cast. The ratification of the appointment of the independent registered public accountants requires the affirmative vote of a majority of those shares of Common Stock present in person or represented by proxy. Withheld votes and abstentions with respect to the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ratification of the appointment of independent registered public accountants will have the same effect as a vote against the matter.</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proposals under Item (3): Proposal For an Advisory Vote on Executive Compensation (the "Say on Pay" Vote) and Item (4): Proposal For an Advisory Vote on the Frequency of "Say on Pay" Votes, the final votes of shareholders will not be binding on the Company, but will be advisory in nature.</w:t>
      </w:r>
    </w:p>
    <w:p>
      <w:pPr>
        <w:spacing w:after="0" w:line="9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not now aware of any matters to be presented at the Annual Meeting other than the election of the three nominees described in this Proxy Statement, the ratification of the appointment of independent registered public accountants, the advisory approval of executive compensation, and the advisory approval on the frequency of executive compensation shareholder votes.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9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w:t>
      </w:r>
    </w:p>
    <w:p>
      <w:pPr>
        <w:spacing w:after="0" w:line="1"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(http://www.eproxy.com/wgo/), (ii) by calling the toll-free telephone number (1-800-560-1965) or (iii) you may indicate your vote by completing, signing and dating the proxy card where indicated and returning the card to us by 12:00 p.m. Central Standard Time on December 12, 2011.</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12, 2011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color w:val="auto"/>
        </w:rPr>
        <w:t>If no instructions are indicated on a proxy that is signed and received by us, it will be voted: (i) for the election of the three nominees for director named below (Item 1), (ii) for the ratification of the appointment of Deloitte &amp; Touche LLP as our independent registered public accountants for Fiscal 2012 (Item 2), (iii) for the advisory approval of executive compensation (Item 3), (iv) for the advisory approval of an executive compensation shareholder vote each year (Item 4), and (v) in the discretion of the named proxies upon such other matters as may properly come before the Meeting.</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41" w:right="2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 AND PRINCIPAL HOLDERS THEREOF</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five percent of the outstanding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4220" w:type="dxa"/>
            <w:vAlign w:val="bottom"/>
          </w:tcPr>
          <w:p>
            <w:pPr>
              <w:jc w:val="center"/>
              <w:ind w:left="1739"/>
              <w:spacing w:after="0"/>
              <w:rPr>
                <w:sz w:val="20"/>
                <w:szCs w:val="20"/>
                <w:color w:val="auto"/>
              </w:rPr>
            </w:pPr>
            <w:r>
              <w:rPr>
                <w:rFonts w:ascii="Arial" w:cs="Arial" w:eastAsia="Arial" w:hAnsi="Arial"/>
                <w:sz w:val="16"/>
                <w:szCs w:val="16"/>
                <w:b w:val="1"/>
                <w:bCs w:val="1"/>
                <w:color w:val="auto"/>
              </w:rPr>
              <w:t>Shares of Common Stock</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4220" w:type="dxa"/>
            <w:vAlign w:val="bottom"/>
          </w:tcPr>
          <w:p>
            <w:pPr>
              <w:jc w:val="center"/>
              <w:ind w:left="1719"/>
              <w:spacing w:after="0"/>
              <w:rPr>
                <w:sz w:val="20"/>
                <w:szCs w:val="20"/>
                <w:color w:val="auto"/>
              </w:rPr>
            </w:pPr>
            <w:r>
              <w:rPr>
                <w:rFonts w:ascii="Arial" w:cs="Arial" w:eastAsia="Arial" w:hAnsi="Arial"/>
                <w:sz w:val="16"/>
                <w:szCs w:val="16"/>
                <w:b w:val="1"/>
                <w:bCs w:val="1"/>
                <w:color w:val="auto"/>
              </w:rPr>
              <w:t>Owned</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3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4220" w:type="dxa"/>
            <w:vAlign w:val="bottom"/>
            <w:tcBorders>
              <w:bottom w:val="single" w:sz="8" w:color="auto"/>
            </w:tcBorders>
          </w:tcPr>
          <w:p>
            <w:pPr>
              <w:jc w:val="center"/>
              <w:ind w:left="1719"/>
              <w:spacing w:after="0"/>
              <w:rPr>
                <w:sz w:val="20"/>
                <w:szCs w:val="20"/>
                <w:color w:val="auto"/>
              </w:rPr>
            </w:pPr>
            <w:r>
              <w:rPr>
                <w:rFonts w:ascii="Arial" w:cs="Arial" w:eastAsia="Arial" w:hAnsi="Arial"/>
                <w:sz w:val="16"/>
                <w:szCs w:val="16"/>
                <w:b w:val="1"/>
                <w:bCs w:val="1"/>
                <w:color w:val="auto"/>
              </w:rPr>
              <w:t>Beneficially</w:t>
            </w:r>
          </w:p>
        </w:tc>
        <w:tc>
          <w:tcPr>
            <w:tcW w:w="21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7"/>
              </w:rPr>
              <w:t>Common Stock (%)</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FMR LLC</w:t>
            </w:r>
          </w:p>
        </w:tc>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82 Devonshire Street</w:t>
            </w:r>
          </w:p>
        </w:tc>
        <w:tc>
          <w:tcPr>
            <w:tcW w:w="4220" w:type="dxa"/>
            <w:vAlign w:val="bottom"/>
            <w:vMerge w:val="restart"/>
            <w:shd w:val="clear" w:color="auto" w:fill="CCEEFF"/>
          </w:tcPr>
          <w:p>
            <w:pPr>
              <w:jc w:val="center"/>
              <w:ind w:left="1739"/>
              <w:spacing w:after="0"/>
              <w:rPr>
                <w:sz w:val="20"/>
                <w:szCs w:val="20"/>
                <w:color w:val="auto"/>
              </w:rPr>
            </w:pPr>
            <w:r>
              <w:rPr>
                <w:rFonts w:ascii="Arial" w:cs="Arial" w:eastAsia="Arial" w:hAnsi="Arial"/>
                <w:sz w:val="16"/>
                <w:szCs w:val="16"/>
                <w:color w:val="auto"/>
                <w:w w:val="95"/>
              </w:rPr>
              <w:t>4,366,178</w:t>
            </w:r>
            <w:r>
              <w:rPr>
                <w:rFonts w:ascii="Arial" w:cs="Arial" w:eastAsia="Arial" w:hAnsi="Arial"/>
                <w:sz w:val="21"/>
                <w:szCs w:val="21"/>
                <w:color w:val="auto"/>
                <w:w w:val="95"/>
                <w:vertAlign w:val="superscript"/>
              </w:rPr>
              <w:t>(2)</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Boston, Massachusetts 02109</w:t>
            </w:r>
          </w:p>
        </w:tc>
        <w:tc>
          <w:tcPr>
            <w:tcW w:w="422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14.98</w:t>
            </w:r>
          </w:p>
        </w:tc>
        <w:tc>
          <w:tcPr>
            <w:tcW w:w="0" w:type="dxa"/>
            <w:vAlign w:val="bottom"/>
          </w:tcPr>
          <w:p>
            <w:pPr>
              <w:spacing w:after="0"/>
              <w:rPr>
                <w:sz w:val="1"/>
                <w:szCs w:val="1"/>
                <w:color w:val="auto"/>
              </w:rPr>
            </w:pPr>
          </w:p>
        </w:tc>
      </w:tr>
      <w:tr>
        <w:trPr>
          <w:trHeight w:val="218"/>
        </w:trPr>
        <w:tc>
          <w:tcPr>
            <w:tcW w:w="5100" w:type="dxa"/>
            <w:vAlign w:val="bottom"/>
          </w:tcPr>
          <w:p>
            <w:pPr>
              <w:ind w:left="160"/>
              <w:spacing w:after="0"/>
              <w:rPr>
                <w:sz w:val="20"/>
                <w:szCs w:val="20"/>
                <w:color w:val="auto"/>
              </w:rPr>
            </w:pPr>
            <w:r>
              <w:rPr>
                <w:rFonts w:ascii="Arial" w:cs="Arial" w:eastAsia="Arial" w:hAnsi="Arial"/>
                <w:sz w:val="16"/>
                <w:szCs w:val="16"/>
                <w:color w:val="auto"/>
              </w:rPr>
              <w:t>T. Rowe Price Associates, Inc.</w:t>
            </w:r>
          </w:p>
        </w:tc>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60"/>
              <w:spacing w:after="0"/>
              <w:rPr>
                <w:sz w:val="20"/>
                <w:szCs w:val="20"/>
                <w:color w:val="auto"/>
              </w:rPr>
            </w:pPr>
            <w:r>
              <w:rPr>
                <w:rFonts w:ascii="Arial" w:cs="Arial" w:eastAsia="Arial" w:hAnsi="Arial"/>
                <w:sz w:val="16"/>
                <w:szCs w:val="16"/>
                <w:color w:val="auto"/>
              </w:rPr>
              <w:t>100 East Pratt Street</w:t>
            </w:r>
          </w:p>
        </w:tc>
        <w:tc>
          <w:tcPr>
            <w:tcW w:w="4220" w:type="dxa"/>
            <w:vAlign w:val="bottom"/>
            <w:vMerge w:val="restart"/>
          </w:tcPr>
          <w:p>
            <w:pPr>
              <w:jc w:val="center"/>
              <w:ind w:left="1739"/>
              <w:spacing w:after="0"/>
              <w:rPr>
                <w:sz w:val="20"/>
                <w:szCs w:val="20"/>
                <w:color w:val="auto"/>
              </w:rPr>
            </w:pPr>
            <w:r>
              <w:rPr>
                <w:rFonts w:ascii="Arial" w:cs="Arial" w:eastAsia="Arial" w:hAnsi="Arial"/>
                <w:sz w:val="16"/>
                <w:szCs w:val="16"/>
                <w:color w:val="auto"/>
                <w:w w:val="95"/>
              </w:rPr>
              <w:t>3,092,340</w:t>
            </w:r>
            <w:r>
              <w:rPr>
                <w:rFonts w:ascii="Arial" w:cs="Arial" w:eastAsia="Arial" w:hAnsi="Arial"/>
                <w:sz w:val="21"/>
                <w:szCs w:val="21"/>
                <w:color w:val="auto"/>
                <w:w w:val="95"/>
                <w:vertAlign w:val="superscript"/>
              </w:rPr>
              <w:t>(3)</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160"/>
              <w:spacing w:after="0"/>
              <w:rPr>
                <w:sz w:val="20"/>
                <w:szCs w:val="20"/>
                <w:color w:val="auto"/>
              </w:rPr>
            </w:pPr>
            <w:r>
              <w:rPr>
                <w:rFonts w:ascii="Arial" w:cs="Arial" w:eastAsia="Arial" w:hAnsi="Arial"/>
                <w:sz w:val="16"/>
                <w:szCs w:val="16"/>
                <w:color w:val="auto"/>
              </w:rPr>
              <w:t>Baltimore, Maryland 21202</w:t>
            </w:r>
          </w:p>
        </w:tc>
        <w:tc>
          <w:tcPr>
            <w:tcW w:w="4220" w:type="dxa"/>
            <w:vAlign w:val="bottom"/>
            <w:vMerge w:val="continue"/>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10.61</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Royce &amp; Associates, LLC</w:t>
            </w:r>
          </w:p>
        </w:tc>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745 Fifth Avenue</w:t>
            </w:r>
          </w:p>
        </w:tc>
        <w:tc>
          <w:tcPr>
            <w:tcW w:w="4220" w:type="dxa"/>
            <w:vAlign w:val="bottom"/>
            <w:vMerge w:val="restart"/>
            <w:shd w:val="clear" w:color="auto" w:fill="CCEEFF"/>
          </w:tcPr>
          <w:p>
            <w:pPr>
              <w:jc w:val="center"/>
              <w:ind w:left="1739"/>
              <w:spacing w:after="0"/>
              <w:rPr>
                <w:sz w:val="20"/>
                <w:szCs w:val="20"/>
                <w:color w:val="auto"/>
              </w:rPr>
            </w:pPr>
            <w:r>
              <w:rPr>
                <w:rFonts w:ascii="Arial" w:cs="Arial" w:eastAsia="Arial" w:hAnsi="Arial"/>
                <w:sz w:val="16"/>
                <w:szCs w:val="16"/>
                <w:color w:val="auto"/>
                <w:w w:val="95"/>
              </w:rPr>
              <w:t>2,949,385</w:t>
            </w:r>
            <w:r>
              <w:rPr>
                <w:rFonts w:ascii="Arial" w:cs="Arial" w:eastAsia="Arial" w:hAnsi="Arial"/>
                <w:sz w:val="21"/>
                <w:szCs w:val="21"/>
                <w:color w:val="auto"/>
                <w:w w:val="95"/>
                <w:vertAlign w:val="superscript"/>
              </w:rPr>
              <w:t>(4)</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York, New York 10151</w:t>
            </w:r>
          </w:p>
        </w:tc>
        <w:tc>
          <w:tcPr>
            <w:tcW w:w="422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10.12</w:t>
            </w:r>
          </w:p>
        </w:tc>
        <w:tc>
          <w:tcPr>
            <w:tcW w:w="0" w:type="dxa"/>
            <w:vAlign w:val="bottom"/>
          </w:tcPr>
          <w:p>
            <w:pPr>
              <w:spacing w:after="0"/>
              <w:rPr>
                <w:sz w:val="1"/>
                <w:szCs w:val="1"/>
                <w:color w:val="auto"/>
              </w:rPr>
            </w:pPr>
          </w:p>
        </w:tc>
      </w:tr>
      <w:tr>
        <w:trPr>
          <w:trHeight w:val="218"/>
        </w:trPr>
        <w:tc>
          <w:tcPr>
            <w:tcW w:w="510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60"/>
              <w:spacing w:after="0"/>
              <w:rPr>
                <w:sz w:val="20"/>
                <w:szCs w:val="20"/>
                <w:color w:val="auto"/>
              </w:rPr>
            </w:pPr>
            <w:r>
              <w:rPr>
                <w:rFonts w:ascii="Arial" w:cs="Arial" w:eastAsia="Arial" w:hAnsi="Arial"/>
                <w:sz w:val="16"/>
                <w:szCs w:val="16"/>
                <w:color w:val="auto"/>
              </w:rPr>
              <w:t>40 East 52nd Street</w:t>
            </w:r>
          </w:p>
        </w:tc>
        <w:tc>
          <w:tcPr>
            <w:tcW w:w="4220" w:type="dxa"/>
            <w:vAlign w:val="bottom"/>
            <w:vMerge w:val="restart"/>
          </w:tcPr>
          <w:p>
            <w:pPr>
              <w:jc w:val="center"/>
              <w:ind w:left="1739"/>
              <w:spacing w:after="0"/>
              <w:rPr>
                <w:sz w:val="20"/>
                <w:szCs w:val="20"/>
                <w:color w:val="auto"/>
              </w:rPr>
            </w:pPr>
            <w:r>
              <w:rPr>
                <w:rFonts w:ascii="Arial" w:cs="Arial" w:eastAsia="Arial" w:hAnsi="Arial"/>
                <w:sz w:val="16"/>
                <w:szCs w:val="16"/>
                <w:color w:val="auto"/>
                <w:w w:val="95"/>
              </w:rPr>
              <w:t>2,675,677</w:t>
            </w:r>
            <w:r>
              <w:rPr>
                <w:rFonts w:ascii="Arial" w:cs="Arial" w:eastAsia="Arial" w:hAnsi="Arial"/>
                <w:sz w:val="21"/>
                <w:szCs w:val="21"/>
                <w:color w:val="auto"/>
                <w:w w:val="95"/>
                <w:vertAlign w:val="superscript"/>
              </w:rPr>
              <w:t>(5)</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160"/>
              <w:spacing w:after="0"/>
              <w:rPr>
                <w:sz w:val="20"/>
                <w:szCs w:val="20"/>
                <w:color w:val="auto"/>
              </w:rPr>
            </w:pPr>
            <w:r>
              <w:rPr>
                <w:rFonts w:ascii="Arial" w:cs="Arial" w:eastAsia="Arial" w:hAnsi="Arial"/>
                <w:sz w:val="16"/>
                <w:szCs w:val="16"/>
                <w:color w:val="auto"/>
              </w:rPr>
              <w:t>New York, New York 10022</w:t>
            </w:r>
          </w:p>
        </w:tc>
        <w:tc>
          <w:tcPr>
            <w:tcW w:w="4220" w:type="dxa"/>
            <w:vAlign w:val="bottom"/>
            <w:vMerge w:val="continue"/>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Franklin Resources, Inc.</w:t>
            </w:r>
          </w:p>
        </w:tc>
        <w:tc>
          <w:tcPr>
            <w:tcW w:w="4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One Franklin Parkway</w:t>
            </w:r>
          </w:p>
        </w:tc>
        <w:tc>
          <w:tcPr>
            <w:tcW w:w="4220" w:type="dxa"/>
            <w:vAlign w:val="bottom"/>
            <w:vMerge w:val="restart"/>
            <w:shd w:val="clear" w:color="auto" w:fill="CCEEFF"/>
          </w:tcPr>
          <w:p>
            <w:pPr>
              <w:jc w:val="center"/>
              <w:ind w:left="1739"/>
              <w:spacing w:after="0"/>
              <w:rPr>
                <w:sz w:val="20"/>
                <w:szCs w:val="20"/>
                <w:color w:val="auto"/>
              </w:rPr>
            </w:pPr>
            <w:r>
              <w:rPr>
                <w:rFonts w:ascii="Arial" w:cs="Arial" w:eastAsia="Arial" w:hAnsi="Arial"/>
                <w:sz w:val="16"/>
                <w:szCs w:val="16"/>
                <w:color w:val="auto"/>
                <w:w w:val="95"/>
              </w:rPr>
              <w:t>1,815,300</w:t>
            </w:r>
            <w:r>
              <w:rPr>
                <w:rFonts w:ascii="Arial" w:cs="Arial" w:eastAsia="Arial" w:hAnsi="Arial"/>
                <w:sz w:val="21"/>
                <w:szCs w:val="21"/>
                <w:color w:val="auto"/>
                <w:w w:val="95"/>
                <w:vertAlign w:val="superscript"/>
              </w:rPr>
              <w:t>(6)</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San Mateo, California 94403</w:t>
            </w:r>
          </w:p>
        </w:tc>
        <w:tc>
          <w:tcPr>
            <w:tcW w:w="422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4"/>
          <w:szCs w:val="14"/>
          <w:color w:val="auto"/>
        </w:rPr>
        <w:t>Based on 29,137,648 outstanding shares of Common Stock on October 4, 2011.</w:t>
      </w:r>
    </w:p>
    <w:p>
      <w:pPr>
        <w:spacing w:after="0" w:line="1" w:lineRule="exact"/>
        <w:rPr>
          <w:rFonts w:ascii="Arial" w:cs="Arial" w:eastAsia="Arial" w:hAnsi="Arial"/>
          <w:sz w:val="13"/>
          <w:szCs w:val="13"/>
          <w:color w:val="auto"/>
        </w:rPr>
      </w:pPr>
    </w:p>
    <w:p>
      <w:pPr>
        <w:jc w:val="both"/>
        <w:ind w:left="340" w:right="20" w:hanging="332"/>
        <w:spacing w:after="0" w:line="241"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4"/>
          <w:szCs w:val="14"/>
          <w:color w:val="auto"/>
        </w:rPr>
        <w:t>The number of shares owned as of December 31, 2010 according to Amendment No. 5 to Schedule 13G filed with the SEC on February 11, 2011. FMR LLC, a parent holding company, is the beneficial owner of all 4,366,178 shares of Common Stock and has sole dispositive power with respect to all 4,366,178 shares. Edward C. Johnson III serves as Chairman of FMR LLC. Members of the Edward C. Johnson III family own shares of common stock representing approximately 49% of the voting power of FMR LLC.</w:t>
      </w:r>
    </w:p>
    <w:p>
      <w:pPr>
        <w:spacing w:after="0" w:line="1" w:lineRule="exact"/>
        <w:rPr>
          <w:rFonts w:ascii="Arial" w:cs="Arial" w:eastAsia="Arial" w:hAnsi="Arial"/>
          <w:sz w:val="13"/>
          <w:szCs w:val="13"/>
          <w:color w:val="auto"/>
        </w:rPr>
      </w:pPr>
    </w:p>
    <w:p>
      <w:pPr>
        <w:ind w:left="340" w:right="100"/>
        <w:spacing w:after="0" w:line="241" w:lineRule="auto"/>
        <w:rPr>
          <w:rFonts w:ascii="Arial" w:cs="Arial" w:eastAsia="Arial" w:hAnsi="Arial"/>
          <w:sz w:val="13"/>
          <w:szCs w:val="13"/>
          <w:color w:val="auto"/>
        </w:rPr>
      </w:pPr>
      <w:r>
        <w:rPr>
          <w:rFonts w:ascii="Arial" w:cs="Arial" w:eastAsia="Arial" w:hAnsi="Arial"/>
          <w:sz w:val="14"/>
          <w:szCs w:val="14"/>
          <w:color w:val="auto"/>
        </w:rPr>
        <w:t>Mr. Johnson and members of his family may be deemed to form a controlling group with respect to the common voting stock of FMR LLC. Of these 4,366,178 shares of Common Stock, 4,096,138 shares are beneficially owned by Fidelity Management &amp; Research Company, an investment adviser and a wholly-owned subsidiary of FMR LLC. Mr. Johnson and FMR LLC, through its control of Fidelity Management &amp; Research Company, each has sole dispositive power with respect to those shares. The interest of one investment company in the Common Stock, Fidelity Dividend Growth Fund, an investment company, amounted to 1,556,036 shares as of December 31, 2010. FMR reported that Pyramis Global Advisors, LLC, an investment adviser and an indirect wholly-owned subsidiary of FMR LLC, is the beneficial owner of 270,040 shares as of December 31, 2010. Mr. Johnson and FMR LLC through its control of Pyramis Global Advisors, LLC, each has sole voting power and sole dispositive power with respect to those shares. The information contained in this footnote is derived from information contained in Amendment No. 5 to Schedule 13G filed by FMR LLC with the SEC referred to herein.</w:t>
      </w:r>
    </w:p>
    <w:p>
      <w:pPr>
        <w:spacing w:after="0" w:line="164" w:lineRule="exact"/>
        <w:rPr>
          <w:rFonts w:ascii="Arial" w:cs="Arial" w:eastAsia="Arial" w:hAnsi="Arial"/>
          <w:sz w:val="13"/>
          <w:szCs w:val="13"/>
          <w:color w:val="auto"/>
        </w:rPr>
      </w:pPr>
    </w:p>
    <w:p>
      <w:pPr>
        <w:ind w:left="340" w:right="60" w:hanging="332"/>
        <w:spacing w:after="0" w:line="241"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4"/>
          <w:szCs w:val="14"/>
          <w:color w:val="auto"/>
        </w:rPr>
        <w:t>The number of shares owned as of December 31, 2010 according to Amendment No. 4 to Schedule 13G filed with the SEC on February 10, 2011. T. Rowe Price Associates, Inc. has sole voting power with respect to 1,049,020 shares and sole dispositive power with respect to all 3,092,340 shares. T. Rowe Price Associates, Inc. serves as the investment adviser of various registered investment companies and investment advisory clients, including T. Rowe Price Small-Cap Value Fund, Inc. For purposes of the reporting requirements under the Securities Exchange Act of 1934, as amended (the “Exchange Act”), T. Rowe Price Associates, Inc. reported that it is deemed to be a beneficial owner of these securities and that T. Rowe Price Small-Cap Value Fund, Inc. has sole voting power with respect to 2,010,000 shares of Common Stock reported as beneficially owned by T. Rowe Price Associates, Inc. The information contained in this footnote is derived from information contained in Amendment No. 4 to Schedule 13G filed by T. Rowe Price Associates, Inc. with the SEC referred to herein.</w:t>
      </w:r>
    </w:p>
    <w:p>
      <w:pPr>
        <w:spacing w:after="0" w:line="2" w:lineRule="exact"/>
        <w:rPr>
          <w:rFonts w:ascii="Arial" w:cs="Arial" w:eastAsia="Arial" w:hAnsi="Arial"/>
          <w:sz w:val="13"/>
          <w:szCs w:val="13"/>
          <w:color w:val="auto"/>
        </w:rPr>
      </w:pPr>
    </w:p>
    <w:p>
      <w:pPr>
        <w:ind w:left="340" w:right="60" w:hanging="332"/>
        <w:spacing w:after="0" w:line="241"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4"/>
          <w:szCs w:val="14"/>
          <w:color w:val="auto"/>
        </w:rPr>
        <w:t>The number of shares owned as of March 31, 2011 according to Amendment No. 10 to Schedule 13G filed with the SEC on April 5, 2011. Royce &amp; Associates, LLC, an investment adviser, is the beneficial owner of all 2,949,385 shares of Common Stock and has sole voting power and sole dispositive power with respect to all shares. The information contained in this footnote is derived from information contained in Amendment No. 10 to Schedule 13G filed by Royce &amp; Associates, LLC with the SEC referred to herein.</w:t>
      </w:r>
    </w:p>
    <w:p>
      <w:pPr>
        <w:spacing w:after="0" w:line="1" w:lineRule="exact"/>
        <w:rPr>
          <w:rFonts w:ascii="Arial" w:cs="Arial" w:eastAsia="Arial" w:hAnsi="Arial"/>
          <w:sz w:val="13"/>
          <w:szCs w:val="13"/>
          <w:color w:val="auto"/>
        </w:rPr>
      </w:pPr>
    </w:p>
    <w:p>
      <w:pPr>
        <w:ind w:left="340" w:right="240" w:hanging="332"/>
        <w:spacing w:after="0" w:line="241"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4"/>
          <w:szCs w:val="14"/>
          <w:color w:val="auto"/>
        </w:rPr>
        <w:t>The number of shares owned as of December 31, 2010 according to Amendment No. 1 to Schedule 13G filed with the SEC on February 9, 2011. BlackRock, Inc., a parent holding company, is the beneficial owner of all 2,675,677 shares of Common Stock and has sole voting power and sole dispositive power with respect to all shares. The information contained is this footnote is derived from information contained in Amendment No. 1 to Schedule 13G filed by BlackRock, Inc. with the SEC referred to herein.</w:t>
      </w:r>
    </w:p>
    <w:p>
      <w:pPr>
        <w:spacing w:after="0" w:line="1" w:lineRule="exact"/>
        <w:rPr>
          <w:rFonts w:ascii="Arial" w:cs="Arial" w:eastAsia="Arial" w:hAnsi="Arial"/>
          <w:sz w:val="13"/>
          <w:szCs w:val="13"/>
          <w:color w:val="auto"/>
        </w:rPr>
      </w:pPr>
    </w:p>
    <w:p>
      <w:pPr>
        <w:ind w:left="340" w:hanging="332"/>
        <w:spacing w:after="0" w:line="244"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4"/>
          <w:szCs w:val="14"/>
          <w:color w:val="auto"/>
        </w:rPr>
        <w:t>The number of shares owned as of December 31, 2010 according to Amendment No. 3 to Schedule 13G filed with the SEC on February 9, 2011. Franklin Resources, Inc., its subsidiary Franklin Advisory Services, LLC, and Charles B. Johnson and Rupert H. Johnson, Jr. (each holders of more than 10% of the common stock of Franklin Resources), reported holdings of the Common Stock beneficially owned by one or more open or closed-end investment companies or other managed accounts that are investment management clients of investment managers that are direct and indirect subsidiaries of Franklin Resources, Inc. Franklin Resources, Inc. reported that Franklin Advisory Services, LLC has sole voting power with respect to 1,741,300 shares of Common Stock and sole disposition power with respect to all 1,815,300 shares. The information contained in this footnote is derived from information contained in Amendment No. 3 to Schedule 13G filed by Franklin Resources, Inc. with the SEC referred to herein.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jc w:val="both"/>
        <w:ind w:right="180"/>
        <w:spacing w:after="0" w:line="246"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at October 4, 2011 for (i) each of our directors and nominees for director, (ii) each person who served as our Chief Executive Officer ("CEO") or Chief Financial Officer ("CFO") during Fiscal 2011,</w:t>
      </w:r>
    </w:p>
    <w:p>
      <w:pPr>
        <w:spacing w:after="0" w:line="1" w:lineRule="exact"/>
        <w:rPr>
          <w:sz w:val="20"/>
          <w:szCs w:val="20"/>
          <w:color w:val="auto"/>
        </w:rPr>
      </w:pPr>
    </w:p>
    <w:p>
      <w:pPr>
        <w:ind w:right="120" w:firstLine="8"/>
        <w:spacing w:after="0" w:line="260" w:lineRule="auto"/>
        <w:tabs>
          <w:tab w:leader="none" w:pos="26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three most highly compensated executive officers (other than the CEO and the CFO) who were serving as executive officers at the end of Fiscal 2011, named in the summary compensation table below and (iv) all executive officers, directors and nominees for director as a group:</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344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rPr>
              <w:t>Shares of Common Stock</w:t>
            </w:r>
          </w:p>
        </w:tc>
        <w:tc>
          <w:tcPr>
            <w:tcW w:w="1880" w:type="dxa"/>
            <w:vAlign w:val="bottom"/>
          </w:tcPr>
          <w:p>
            <w:pPr>
              <w:spacing w:after="0"/>
              <w:rPr>
                <w:sz w:val="16"/>
                <w:szCs w:val="16"/>
                <w:color w:val="auto"/>
              </w:rPr>
            </w:pPr>
          </w:p>
        </w:tc>
      </w:tr>
      <w:tr>
        <w:trPr>
          <w:trHeight w:val="189"/>
        </w:trPr>
        <w:tc>
          <w:tcPr>
            <w:tcW w:w="6100" w:type="dxa"/>
            <w:vAlign w:val="bottom"/>
          </w:tcPr>
          <w:p>
            <w:pPr>
              <w:spacing w:after="0"/>
              <w:rPr>
                <w:sz w:val="16"/>
                <w:szCs w:val="16"/>
                <w:color w:val="auto"/>
              </w:rPr>
            </w:pPr>
          </w:p>
        </w:tc>
        <w:tc>
          <w:tcPr>
            <w:tcW w:w="344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rPr>
              <w:t>Owned Beneficially at</w:t>
            </w:r>
          </w:p>
        </w:tc>
        <w:tc>
          <w:tcPr>
            <w:tcW w:w="1880" w:type="dxa"/>
            <w:vAlign w:val="bottom"/>
          </w:tcPr>
          <w:p>
            <w:pPr>
              <w:jc w:val="right"/>
              <w:ind w:right="141"/>
              <w:spacing w:after="0"/>
              <w:rPr>
                <w:sz w:val="20"/>
                <w:szCs w:val="20"/>
                <w:color w:val="auto"/>
              </w:rPr>
            </w:pPr>
            <w:r>
              <w:rPr>
                <w:rFonts w:ascii="Arial" w:cs="Arial" w:eastAsia="Arial" w:hAnsi="Arial"/>
                <w:sz w:val="16"/>
                <w:szCs w:val="16"/>
                <w:b w:val="1"/>
                <w:bCs w:val="1"/>
                <w:color w:val="auto"/>
              </w:rPr>
              <w:t>Percent of Common</w:t>
            </w:r>
          </w:p>
        </w:tc>
      </w:tr>
      <w:tr>
        <w:trPr>
          <w:trHeight w:val="23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440" w:type="dxa"/>
            <w:vAlign w:val="bottom"/>
            <w:tcBorders>
              <w:bottom w:val="single" w:sz="8" w:color="auto"/>
            </w:tcBorders>
            <w:gridSpan w:val="2"/>
          </w:tcPr>
          <w:p>
            <w:pPr>
              <w:jc w:val="center"/>
              <w:ind w:left="1139"/>
              <w:spacing w:after="0" w:line="234" w:lineRule="exact"/>
              <w:rPr>
                <w:sz w:val="20"/>
                <w:szCs w:val="20"/>
                <w:color w:val="auto"/>
              </w:rPr>
            </w:pPr>
            <w:r>
              <w:rPr>
                <w:rFonts w:ascii="Arial" w:cs="Arial" w:eastAsia="Arial" w:hAnsi="Arial"/>
                <w:sz w:val="16"/>
                <w:szCs w:val="16"/>
                <w:b w:val="1"/>
                <w:bCs w:val="1"/>
                <w:color w:val="auto"/>
                <w:w w:val="98"/>
              </w:rPr>
              <w:t>October 4, 2011</w:t>
            </w:r>
            <w:r>
              <w:rPr>
                <w:rFonts w:ascii="Arial" w:cs="Arial" w:eastAsia="Arial" w:hAnsi="Arial"/>
                <w:sz w:val="21"/>
                <w:szCs w:val="21"/>
                <w:b w:val="1"/>
                <w:bCs w:val="1"/>
                <w:color w:val="auto"/>
                <w:w w:val="98"/>
                <w:vertAlign w:val="superscript"/>
              </w:rPr>
              <w:t>(1)</w:t>
            </w:r>
          </w:p>
        </w:tc>
        <w:tc>
          <w:tcPr>
            <w:tcW w:w="1880" w:type="dxa"/>
            <w:vAlign w:val="bottom"/>
            <w:tcBorders>
              <w:bottom w:val="single" w:sz="8" w:color="auto"/>
            </w:tcBorders>
          </w:tcPr>
          <w:p>
            <w:pPr>
              <w:jc w:val="right"/>
              <w:ind w:right="481"/>
              <w:spacing w:after="0" w:line="234" w:lineRule="exact"/>
              <w:rPr>
                <w:sz w:val="20"/>
                <w:szCs w:val="20"/>
                <w:color w:val="auto"/>
              </w:rPr>
            </w:pPr>
            <w:r>
              <w:rPr>
                <w:rFonts w:ascii="Arial" w:cs="Arial" w:eastAsia="Arial" w:hAnsi="Arial"/>
                <w:sz w:val="16"/>
                <w:szCs w:val="16"/>
                <w:b w:val="1"/>
                <w:bCs w:val="1"/>
                <w:color w:val="auto"/>
              </w:rPr>
              <w:t>Stock (%)</w:t>
            </w:r>
            <w:r>
              <w:rPr>
                <w:rFonts w:ascii="Arial" w:cs="Arial" w:eastAsia="Arial" w:hAnsi="Arial"/>
                <w:sz w:val="21"/>
                <w:szCs w:val="21"/>
                <w:b w:val="1"/>
                <w:bCs w:val="1"/>
                <w:color w:val="auto"/>
                <w:vertAlign w:val="superscript"/>
              </w:rPr>
              <w:t>(2)</w:t>
            </w:r>
          </w:p>
        </w:tc>
      </w:tr>
      <w:tr>
        <w:trPr>
          <w:trHeight w:val="237"/>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49,386</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2760" w:type="dxa"/>
            <w:vAlign w:val="bottom"/>
          </w:tcPr>
          <w:p>
            <w:pPr>
              <w:jc w:val="right"/>
              <w:spacing w:after="0"/>
              <w:rPr>
                <w:sz w:val="20"/>
                <w:szCs w:val="20"/>
                <w:color w:val="auto"/>
              </w:rPr>
            </w:pPr>
            <w:r>
              <w:rPr>
                <w:rFonts w:ascii="Arial" w:cs="Arial" w:eastAsia="Arial" w:hAnsi="Arial"/>
                <w:sz w:val="16"/>
                <w:szCs w:val="16"/>
                <w:color w:val="auto"/>
              </w:rPr>
              <w:t>55,376</w:t>
            </w:r>
          </w:p>
        </w:tc>
        <w:tc>
          <w:tcPr>
            <w:tcW w:w="680" w:type="dxa"/>
            <w:vAlign w:val="bottom"/>
          </w:tcPr>
          <w:p>
            <w:pPr>
              <w:ind w:left="80"/>
              <w:spacing w:after="0"/>
              <w:rPr>
                <w:sz w:val="20"/>
                <w:szCs w:val="20"/>
                <w:color w:val="auto"/>
              </w:rPr>
            </w:pPr>
            <w:r>
              <w:rPr>
                <w:rFonts w:ascii="Arial" w:cs="Arial" w:eastAsia="Arial" w:hAnsi="Arial"/>
                <w:sz w:val="11"/>
                <w:szCs w:val="11"/>
                <w:color w:val="auto"/>
              </w:rPr>
              <w:t>(3)</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M. Chiusano</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14,980</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Jerry N. Currie</w:t>
            </w:r>
          </w:p>
        </w:tc>
        <w:tc>
          <w:tcPr>
            <w:tcW w:w="2760" w:type="dxa"/>
            <w:vAlign w:val="bottom"/>
          </w:tcPr>
          <w:p>
            <w:pPr>
              <w:jc w:val="right"/>
              <w:spacing w:after="0"/>
              <w:rPr>
                <w:sz w:val="20"/>
                <w:szCs w:val="20"/>
                <w:color w:val="auto"/>
              </w:rPr>
            </w:pPr>
            <w:r>
              <w:rPr>
                <w:rFonts w:ascii="Arial" w:cs="Arial" w:eastAsia="Arial" w:hAnsi="Arial"/>
                <w:sz w:val="16"/>
                <w:szCs w:val="16"/>
                <w:color w:val="auto"/>
              </w:rPr>
              <w:t>27,500</w:t>
            </w:r>
          </w:p>
        </w:tc>
        <w:tc>
          <w:tcPr>
            <w:tcW w:w="680" w:type="dxa"/>
            <w:vAlign w:val="bottom"/>
          </w:tcPr>
          <w:p>
            <w:pPr>
              <w:ind w:left="80"/>
              <w:spacing w:after="0"/>
              <w:rPr>
                <w:sz w:val="20"/>
                <w:szCs w:val="20"/>
                <w:color w:val="auto"/>
              </w:rPr>
            </w:pPr>
            <w:r>
              <w:rPr>
                <w:rFonts w:ascii="Arial" w:cs="Arial" w:eastAsia="Arial" w:hAnsi="Arial"/>
                <w:sz w:val="11"/>
                <w:szCs w:val="11"/>
                <w:color w:val="auto"/>
              </w:rPr>
              <w:t>(3)</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Joseph W. England</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52,333</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2760" w:type="dxa"/>
            <w:vAlign w:val="bottom"/>
          </w:tcPr>
          <w:p>
            <w:pPr>
              <w:jc w:val="right"/>
              <w:spacing w:after="0"/>
              <w:rPr>
                <w:sz w:val="20"/>
                <w:szCs w:val="20"/>
                <w:color w:val="auto"/>
              </w:rPr>
            </w:pPr>
            <w:r>
              <w:rPr>
                <w:rFonts w:ascii="Arial" w:cs="Arial" w:eastAsia="Arial" w:hAnsi="Arial"/>
                <w:sz w:val="16"/>
                <w:szCs w:val="16"/>
                <w:color w:val="auto"/>
              </w:rPr>
              <w:t>40,163</w:t>
            </w:r>
          </w:p>
        </w:tc>
        <w:tc>
          <w:tcPr>
            <w:tcW w:w="680" w:type="dxa"/>
            <w:vAlign w:val="bottom"/>
          </w:tcPr>
          <w:p>
            <w:pPr>
              <w:ind w:left="80"/>
              <w:spacing w:after="0"/>
              <w:rPr>
                <w:sz w:val="20"/>
                <w:szCs w:val="20"/>
                <w:color w:val="auto"/>
              </w:rPr>
            </w:pPr>
            <w:r>
              <w:rPr>
                <w:rFonts w:ascii="Arial" w:cs="Arial" w:eastAsia="Arial" w:hAnsi="Arial"/>
                <w:sz w:val="11"/>
                <w:szCs w:val="11"/>
                <w:color w:val="auto"/>
              </w:rPr>
              <w:t>(3)(4)</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John V. Hanson</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24,760</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(3)(6)</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Gerald C. Kitch</w:t>
            </w:r>
          </w:p>
        </w:tc>
        <w:tc>
          <w:tcPr>
            <w:tcW w:w="2760" w:type="dxa"/>
            <w:vAlign w:val="bottom"/>
          </w:tcPr>
          <w:p>
            <w:pPr>
              <w:jc w:val="right"/>
              <w:spacing w:after="0"/>
              <w:rPr>
                <w:sz w:val="20"/>
                <w:szCs w:val="20"/>
                <w:color w:val="auto"/>
              </w:rPr>
            </w:pPr>
            <w:r>
              <w:rPr>
                <w:rFonts w:ascii="Arial" w:cs="Arial" w:eastAsia="Arial" w:hAnsi="Arial"/>
                <w:sz w:val="16"/>
                <w:szCs w:val="16"/>
                <w:color w:val="auto"/>
              </w:rPr>
              <w:t>67,266</w:t>
            </w:r>
          </w:p>
        </w:tc>
        <w:tc>
          <w:tcPr>
            <w:tcW w:w="680" w:type="dxa"/>
            <w:vAlign w:val="bottom"/>
          </w:tcPr>
          <w:p>
            <w:pPr>
              <w:ind w:left="80"/>
              <w:spacing w:after="0"/>
              <w:rPr>
                <w:sz w:val="20"/>
                <w:szCs w:val="20"/>
                <w:color w:val="auto"/>
              </w:rPr>
            </w:pPr>
            <w:r>
              <w:rPr>
                <w:rFonts w:ascii="Arial" w:cs="Arial" w:eastAsia="Arial" w:hAnsi="Arial"/>
                <w:sz w:val="11"/>
                <w:szCs w:val="11"/>
                <w:color w:val="auto"/>
              </w:rPr>
              <w:t>(3)(4)</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Roger W. Martin</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58,751</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2760" w:type="dxa"/>
            <w:vAlign w:val="bottom"/>
          </w:tcPr>
          <w:p>
            <w:pPr>
              <w:jc w:val="right"/>
              <w:spacing w:after="0"/>
              <w:rPr>
                <w:sz w:val="20"/>
                <w:szCs w:val="20"/>
                <w:color w:val="auto"/>
              </w:rPr>
            </w:pPr>
            <w:r>
              <w:rPr>
                <w:rFonts w:ascii="Arial" w:cs="Arial" w:eastAsia="Arial" w:hAnsi="Arial"/>
                <w:sz w:val="16"/>
                <w:szCs w:val="16"/>
                <w:color w:val="auto"/>
              </w:rPr>
              <w:t>28,944</w:t>
            </w:r>
          </w:p>
        </w:tc>
        <w:tc>
          <w:tcPr>
            <w:tcW w:w="680" w:type="dxa"/>
            <w:vAlign w:val="bottom"/>
          </w:tcPr>
          <w:p>
            <w:pPr>
              <w:ind w:left="80"/>
              <w:spacing w:after="0"/>
              <w:rPr>
                <w:sz w:val="20"/>
                <w:szCs w:val="20"/>
                <w:color w:val="auto"/>
              </w:rPr>
            </w:pPr>
            <w:r>
              <w:rPr>
                <w:rFonts w:ascii="Arial" w:cs="Arial" w:eastAsia="Arial" w:hAnsi="Arial"/>
                <w:sz w:val="11"/>
                <w:szCs w:val="11"/>
                <w:color w:val="auto"/>
              </w:rPr>
              <w:t>(3)</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63,904</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Robert J. Olson</w:t>
            </w:r>
          </w:p>
        </w:tc>
        <w:tc>
          <w:tcPr>
            <w:tcW w:w="2760" w:type="dxa"/>
            <w:vAlign w:val="bottom"/>
          </w:tcPr>
          <w:p>
            <w:pPr>
              <w:jc w:val="right"/>
              <w:spacing w:after="0"/>
              <w:rPr>
                <w:sz w:val="20"/>
                <w:szCs w:val="20"/>
                <w:color w:val="auto"/>
              </w:rPr>
            </w:pPr>
            <w:r>
              <w:rPr>
                <w:rFonts w:ascii="Arial" w:cs="Arial" w:eastAsia="Arial" w:hAnsi="Arial"/>
                <w:sz w:val="16"/>
                <w:szCs w:val="16"/>
                <w:color w:val="auto"/>
              </w:rPr>
              <w:t>96,706</w:t>
            </w:r>
          </w:p>
        </w:tc>
        <w:tc>
          <w:tcPr>
            <w:tcW w:w="680" w:type="dxa"/>
            <w:vAlign w:val="bottom"/>
          </w:tcPr>
          <w:p>
            <w:pPr>
              <w:ind w:left="80"/>
              <w:spacing w:after="0"/>
              <w:rPr>
                <w:sz w:val="20"/>
                <w:szCs w:val="20"/>
                <w:color w:val="auto"/>
              </w:rPr>
            </w:pPr>
            <w:r>
              <w:rPr>
                <w:rFonts w:ascii="Arial" w:cs="Arial" w:eastAsia="Arial" w:hAnsi="Arial"/>
                <w:sz w:val="11"/>
                <w:szCs w:val="11"/>
                <w:color w:val="auto"/>
              </w:rPr>
              <w:t>(3)</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33,715</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880" w:type="dxa"/>
            <w:vAlign w:val="bottom"/>
            <w:shd w:val="clear" w:color="auto" w:fill="CCEEFF"/>
          </w:tcPr>
          <w:p>
            <w:pPr>
              <w:jc w:val="right"/>
              <w:ind w:right="521"/>
              <w:spacing w:after="0"/>
              <w:rPr>
                <w:sz w:val="20"/>
                <w:szCs w:val="20"/>
                <w:color w:val="auto"/>
              </w:rPr>
            </w:pPr>
            <w:r>
              <w:rPr>
                <w:rFonts w:ascii="Arial" w:cs="Arial" w:eastAsia="Arial" w:hAnsi="Arial"/>
                <w:sz w:val="11"/>
                <w:szCs w:val="11"/>
                <w:color w:val="auto"/>
              </w:rPr>
              <w:t>(5)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Mark T. Schroepfer</w:t>
            </w:r>
          </w:p>
        </w:tc>
        <w:tc>
          <w:tcPr>
            <w:tcW w:w="2760" w:type="dxa"/>
            <w:vAlign w:val="bottom"/>
          </w:tcPr>
          <w:p>
            <w:pPr>
              <w:jc w:val="right"/>
              <w:spacing w:after="0"/>
              <w:rPr>
                <w:sz w:val="20"/>
                <w:szCs w:val="20"/>
                <w:color w:val="auto"/>
              </w:rPr>
            </w:pPr>
            <w:r>
              <w:rPr>
                <w:rFonts w:ascii="Arial" w:cs="Arial" w:eastAsia="Arial" w:hAnsi="Arial"/>
                <w:sz w:val="16"/>
                <w:szCs w:val="16"/>
                <w:color w:val="auto"/>
              </w:rPr>
              <w:t>3,000</w:t>
            </w:r>
          </w:p>
        </w:tc>
        <w:tc>
          <w:tcPr>
            <w:tcW w:w="680" w:type="dxa"/>
            <w:vAlign w:val="bottom"/>
          </w:tcPr>
          <w:p>
            <w:pPr>
              <w:ind w:left="80"/>
              <w:spacing w:after="0"/>
              <w:rPr>
                <w:sz w:val="20"/>
                <w:szCs w:val="20"/>
                <w:color w:val="auto"/>
              </w:rPr>
            </w:pPr>
            <w:r>
              <w:rPr>
                <w:rFonts w:ascii="Arial" w:cs="Arial" w:eastAsia="Arial" w:hAnsi="Arial"/>
                <w:sz w:val="11"/>
                <w:szCs w:val="11"/>
                <w:color w:val="auto"/>
              </w:rPr>
              <w:t>(3)</w:t>
            </w:r>
          </w:p>
        </w:tc>
        <w:tc>
          <w:tcPr>
            <w:tcW w:w="1880" w:type="dxa"/>
            <w:vAlign w:val="bottom"/>
          </w:tcPr>
          <w:p>
            <w:pPr>
              <w:jc w:val="right"/>
              <w:ind w:right="521"/>
              <w:spacing w:after="0"/>
              <w:rPr>
                <w:sz w:val="20"/>
                <w:szCs w:val="20"/>
                <w:color w:val="auto"/>
              </w:rPr>
            </w:pPr>
            <w:r>
              <w:rPr>
                <w:rFonts w:ascii="Arial" w:cs="Arial" w:eastAsia="Arial" w:hAnsi="Arial"/>
                <w:sz w:val="11"/>
                <w:szCs w:val="11"/>
                <w:color w:val="auto"/>
              </w:rPr>
              <w:t>(5)</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Directors, nominee and executive officers as a group (17 persons)</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687,180</w:t>
            </w:r>
          </w:p>
        </w:tc>
        <w:tc>
          <w:tcPr>
            <w:tcW w:w="6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8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2.32%</w:t>
            </w:r>
          </w:p>
        </w:tc>
      </w:tr>
    </w:tbl>
    <w:p>
      <w:pPr>
        <w:spacing w:after="0" w:line="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1" w:lineRule="exact"/>
        <w:rPr>
          <w:rFonts w:ascii="Arial" w:cs="Arial" w:eastAsia="Arial" w:hAnsi="Arial"/>
          <w:sz w:val="13"/>
          <w:szCs w:val="13"/>
          <w:color w:val="auto"/>
        </w:rPr>
      </w:pPr>
    </w:p>
    <w:p>
      <w:pPr>
        <w:jc w:val="both"/>
        <w:ind w:left="340" w:right="32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29,137,648 outstanding shares of Common Stock on October 4, 2011, together with shares representing the 122,128 Winnebago Stock Units held by directors under our Directors' Deferred Compensation Plan (as defined below) as of October 4, 2011 and 352,789 shares that directors, nominee and executive officers as a group have the right to acquire within 60 days of October 4, 2011 through the exercise of stock options.</w:t>
      </w:r>
    </w:p>
    <w:p>
      <w:pPr>
        <w:spacing w:after="0" w:line="1" w:lineRule="exact"/>
        <w:rPr>
          <w:rFonts w:ascii="Arial" w:cs="Arial" w:eastAsia="Arial" w:hAnsi="Arial"/>
          <w:sz w:val="13"/>
          <w:szCs w:val="13"/>
          <w:color w:val="auto"/>
        </w:rPr>
      </w:pPr>
    </w:p>
    <w:p>
      <w:pPr>
        <w:ind w:left="340" w:right="140" w:hanging="332"/>
        <w:spacing w:after="0" w:line="25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Includes the following shares in which the respective directors and executive officers, individually and as a group, have the right to acquire within 60 days of October 4, 2011 through the exercise of stock options:</w:t>
      </w:r>
    </w:p>
    <w:p>
      <w:pPr>
        <w:spacing w:after="0" w:line="122"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4"/>
                <w:szCs w:val="14"/>
                <w:b w:val="1"/>
                <w:bCs w:val="1"/>
                <w:color w:val="auto"/>
              </w:rPr>
              <w:t>Exercisable Stock</w:t>
            </w:r>
          </w:p>
        </w:tc>
      </w:tr>
      <w:tr>
        <w:trPr>
          <w:trHeight w:val="19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Director/Executive Officer</w:t>
            </w:r>
          </w:p>
        </w:tc>
        <w:tc>
          <w:tcPr>
            <w:tcW w:w="4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Options</w:t>
            </w:r>
          </w:p>
        </w:tc>
      </w:tr>
      <w:tr>
        <w:trPr>
          <w:trHeight w:val="25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Irvin E. Aal</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28,000</w:t>
            </w: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Raymond M. Beebe</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Jerry N. Currie</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w:t>
            </w: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Joseph W. England</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20,000</w:t>
            </w:r>
          </w:p>
        </w:tc>
      </w:tr>
      <w:tr>
        <w:trPr>
          <w:trHeight w:val="27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Lawrence A. Erickson</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14,000</w:t>
            </w: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John V. Hanson</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20,000</w:t>
            </w:r>
          </w:p>
        </w:tc>
      </w:tr>
      <w:tr>
        <w:trPr>
          <w:trHeight w:val="27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Gerald C. Kitch</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w:t>
            </w: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Roger W. Martin</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Sarah N. Nielsen</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w:t>
            </w: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William J. O'Leary</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40,000</w:t>
            </w:r>
          </w:p>
        </w:tc>
      </w:tr>
      <w:tr>
        <w:trPr>
          <w:trHeight w:val="27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J. Olson</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48,746</w:t>
            </w: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Randy J. Potts</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12,500</w:t>
            </w:r>
          </w:p>
        </w:tc>
      </w:tr>
      <w:tr>
        <w:trPr>
          <w:trHeight w:val="276"/>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T. Schroepfer</w:t>
            </w:r>
          </w:p>
        </w:tc>
        <w:tc>
          <w:tcPr>
            <w:tcW w:w="4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780" w:type="dxa"/>
            <w:vAlign w:val="bottom"/>
          </w:tcPr>
          <w:p>
            <w:pPr>
              <w:ind w:left="20"/>
              <w:spacing w:after="0"/>
              <w:rPr>
                <w:sz w:val="20"/>
                <w:szCs w:val="20"/>
                <w:color w:val="auto"/>
              </w:rPr>
            </w:pPr>
            <w:r>
              <w:rPr>
                <w:rFonts w:ascii="Arial" w:cs="Arial" w:eastAsia="Arial" w:hAnsi="Arial"/>
                <w:sz w:val="14"/>
                <w:szCs w:val="14"/>
                <w:color w:val="auto"/>
              </w:rPr>
              <w:t>Total directors, nominee and executive officers (as a group)</w:t>
            </w:r>
          </w:p>
        </w:tc>
        <w:tc>
          <w:tcPr>
            <w:tcW w:w="4280" w:type="dxa"/>
            <w:vAlign w:val="bottom"/>
          </w:tcPr>
          <w:p>
            <w:pPr>
              <w:jc w:val="right"/>
              <w:ind w:right="28"/>
              <w:spacing w:after="0"/>
              <w:rPr>
                <w:sz w:val="20"/>
                <w:szCs w:val="20"/>
                <w:color w:val="auto"/>
              </w:rPr>
            </w:pPr>
            <w:r>
              <w:rPr>
                <w:rFonts w:ascii="Arial" w:cs="Arial" w:eastAsia="Arial" w:hAnsi="Arial"/>
                <w:sz w:val="14"/>
                <w:szCs w:val="14"/>
                <w:color w:val="auto"/>
              </w:rPr>
              <w:t>352,789</w:t>
            </w:r>
          </w:p>
        </w:tc>
      </w:tr>
    </w:tbl>
    <w:p>
      <w:pPr>
        <w:spacing w:after="0" w:line="17" w:lineRule="exact"/>
        <w:rPr>
          <w:sz w:val="20"/>
          <w:szCs w:val="20"/>
          <w:color w:val="auto"/>
        </w:rPr>
      </w:pPr>
    </w:p>
    <w:p>
      <w:pPr>
        <w:ind w:left="340" w:right="100" w:hanging="332"/>
        <w:spacing w:after="0" w:line="241"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Includes 16,886, 12,980, 27,833, 21,663, and 42,766 Winnebago Stock Units held by Messrs. Aal, Chiusano, England, Erickson and Kitch, respectively, under our Directors' Deferred Compensation Plan as of October 4, 2011. Pursuant to an election made by each such director on December 15, 2010, the Winnebago Stock Units are accrued under the Company's Directors' Deferred Compensation Plan and are to be settled 100% in Common Stock upon the earliest of the following events: director's termination of service, death or disability or a “change of control" of the Company, as defined in said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Less than 1 percent.</w:t>
      </w:r>
    </w:p>
    <w:p>
      <w:pPr>
        <w:spacing w:after="0" w:line="1" w:lineRule="exact"/>
        <w:rPr>
          <w:rFonts w:ascii="Arial" w:cs="Arial" w:eastAsia="Arial" w:hAnsi="Arial"/>
          <w:sz w:val="13"/>
          <w:szCs w:val="13"/>
          <w:color w:val="auto"/>
        </w:rPr>
      </w:pPr>
    </w:p>
    <w:p>
      <w:pPr>
        <w:ind w:left="340" w:right="60" w:hanging="332"/>
        <w:spacing w:after="0" w:line="245"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Does not include the 9,774 shares of Common Stock owned on October 4, 2011 by Hanson Capital Partners, L.L.C. ("HCP"). HCP is a Delaware limited liability company whose members are: (i) the Luise V. Hanson Trust Under Agreement, dated February 4, 1999, for the benefit of John V. Hanson (a director on our Board) and Mary Joan Boman (the sister of John V. Hanson), which has a 45.62% membership interest in HCP; (ii) the John K. Hanson Trust Under Agreement, dated June 10, 1996, for the benefit of John V. Hanson, Mary Joan Boman and John J. Hanson (the son of John V. Hanson), which has a 21.43% membership interest in HCP; (iii) the Boman Family Trust Under Agreement, dated May 27, 2008, which has a 6.04% membership interest in HCP; and (iv) the Cameron Boman Family Trust Under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340" w:right="80"/>
        <w:spacing w:after="0" w:line="386" w:lineRule="auto"/>
        <w:rPr>
          <w:sz w:val="20"/>
          <w:szCs w:val="20"/>
          <w:color w:val="auto"/>
        </w:rPr>
      </w:pPr>
      <w:r>
        <w:rPr>
          <w:rFonts w:ascii="Arial" w:cs="Arial" w:eastAsia="Arial" w:hAnsi="Arial"/>
          <w:sz w:val="14"/>
          <w:szCs w:val="14"/>
          <w:color w:val="auto"/>
        </w:rPr>
        <w:t>Agreement, dated May 26, 2010, the Elizabeth Boman Family Trust Under Agreement, dated May 26, 2010, and the Aaron Coe Family Trust Under Agreement, dated May 26, 2010, each own a 0.94% membership interest in HCP. Additionally, John V. Hanson, Mary Joan Boman, John J. Hanson, Janet Coe (the daughter of Mary Joan Boman) and Gregory Boman (the son of Mary Joan Boman) all have individual HCP membership interests, which collectively, represent the remaining 24.11% membership interest in HCP. John V. Hanson and Mary Joan Boman are the managing members of HCP. The managing members, jointly and not individually, have sole voting power and sole dispositive power with respect to all 9,774 shares of Common Stock of which HCP is the beneficial owner.</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percent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2011, all Reporting Persons complied with all applicable filing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94" w:lineRule="exact"/>
        <w:rPr>
          <w:sz w:val="20"/>
          <w:szCs w:val="20"/>
          <w:color w:val="auto"/>
        </w:rPr>
      </w:pPr>
    </w:p>
    <w:p>
      <w:pPr>
        <w:jc w:val="both"/>
        <w:ind w:right="240"/>
        <w:spacing w:after="0" w:line="195" w:lineRule="exact"/>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 delegate to the Board of Directors the right to exercise its discretion to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or combine the offices of Chairman of the Board and CEO. This decision is based upon the Board's determination of what is in the best interests of Winnebago Industries and our shareholders, in light of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circumstances and taking into consideration succession planning, skills and experience of the individual(s) filling those positions, and other relevant factors.</w:t>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At the beginning of Fiscal 2011, upon evaluating the current facts and circumstances relating to the leadership structure of the Board, the Board believed that the interests of Winnebago Industries and its shareholders were best served by a Board leadership structure that continued to combine the roles of Chairman of the Board and CEO with Mr. Robert J. Olson filling those roles primarily because of Mr. Olson's extensive executive management and leadership experience with Winnebago Industries as the Chairman and CEO and former President, Senior Vice President-Operations and Vice President-Manufacturing; a total of 42 years of experience with Winnebago Industries; strong strategic planning, financial, operations, manufacturing and administrative skills and experience; contributions as a current Board member; demonstration of having the highest professional and personal ethics; commitment to enhancing shareholder value; and good working relationship with other Board members.</w:t>
      </w:r>
    </w:p>
    <w:p>
      <w:pPr>
        <w:spacing w:after="0" w:line="18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Subsequent to this determination by the Board, on June 21, 2011, the Nominating and Governance Committee recommended and the Board of Directors elected Randy J. Potts to the position of CEO in addition to his position of President. Mr. Potts has been our CEO and President since June 2011 and President since January 2011. Mr. Potts previously served as Senior Vice President, Strategic Planning; Vice President, Manufacturing; Director of Manufacturing, and as General Manager of Manufacturing Services - a total of 28 years with Winnebago Industries, with strategic planning, manufacturing and administrative skills and experience.</w:t>
      </w:r>
    </w:p>
    <w:p>
      <w:pPr>
        <w:spacing w:after="0" w:line="17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In connection with the election of Mr. Potts as CEO, the Board determined that the Board leadership structure that is most appropriate, given the specific characteristics and circumstances of the Company, the skills and experience of Mr. Olson and Mr. Potts and succession planning considerations, is a leadership structure based on the experienced leadership afforded by a full-time executive Chairman of the Board (currently Mr. Olson, former President and CEO of the Company) and a full-time CEO and President (currently Mr. Potts), both positions being subject to oversight and review by the Company's independent directors.</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when the Chairman of the Board is the CEO or a Winnebago Industries employee, we have a designated independent Lead Director (as defined below), selected by directors who are not Winnebago Industries employees ("Non-Employee Directors"), with clearly delineated and comprehensive duties and responsibilities as set forth in our Corporate Governance Policy; this provides us with a strong counterbalancing governance and leadership structure that is designed so that independent Directors exercise oversight of our management ("Management") and key issues related to strategy and risk. In addition, only independent Directors serve on the Audit Committee, the Human Resources Committee and the Nominating and Governance Committee of the Board; moreover, Non-Employee Directors regularly hold executive sessions of the Board outside the presence of the Chairman and CEO or any other Winnebago employee and meet regularly in private session with the CEO; the Board's independent Directors also hold executive sessions at least once each year; such executive sessions are led by the Lead Director; and we have established a Shareholder and Other Interested Party Communications Policy for all shareholders and other interested parties.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committed to reviewing this determination on an annual basis.</w:t>
      </w:r>
    </w:p>
    <w:p>
      <w:pPr>
        <w:spacing w:after="0" w:line="174" w:lineRule="exact"/>
        <w:rPr>
          <w:sz w:val="20"/>
          <w:szCs w:val="20"/>
          <w:color w:val="auto"/>
        </w:rPr>
      </w:pPr>
    </w:p>
    <w:p>
      <w:pPr>
        <w:ind w:right="60"/>
        <w:spacing w:after="0" w:line="193" w:lineRule="exact"/>
        <w:rPr>
          <w:sz w:val="20"/>
          <w:szCs w:val="20"/>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According to the Company's Corporate Governance Policy, when the Chairman of the Board is also the CEO or an employee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 Non</w:t>
      </w:r>
      <w:r>
        <w:rPr>
          <w:rFonts w:ascii="MS PGothic" w:cs="MS PGothic" w:eastAsia="MS PGothic" w:hAnsi="MS PGothic"/>
          <w:sz w:val="16"/>
          <w:szCs w:val="16"/>
          <w:color w:val="auto"/>
        </w:rPr>
        <w:t>‑</w:t>
      </w:r>
      <w:r>
        <w:rPr>
          <w:rFonts w:ascii="Arial" w:cs="Arial" w:eastAsia="Arial" w:hAnsi="Arial"/>
          <w:sz w:val="16"/>
          <w:szCs w:val="16"/>
          <w:color w:val="auto"/>
        </w:rPr>
        <w:t>Employee Directors in executive session at each Board meeting; convene and chair meetings of the independent directors in executive session no less than once each year; preside at all meetings of the Board at which the Chairman is not present, including executive sessions of the non-management directors and independent directors; solicit the Non-Employee Directors for advice on agenda items for meetings of the Board; serve as a liaison between the Chairman and CEO and the Non</w:t>
      </w:r>
      <w:r>
        <w:rPr>
          <w:rFonts w:ascii="MS PGothic" w:cs="MS PGothic" w:eastAsia="MS PGothic" w:hAnsi="MS PGothic"/>
          <w:sz w:val="16"/>
          <w:szCs w:val="16"/>
          <w:color w:val="auto"/>
        </w:rPr>
        <w:t>‑</w:t>
      </w:r>
      <w:r>
        <w:rPr>
          <w:rFonts w:ascii="Arial" w:cs="Arial" w:eastAsia="Arial" w:hAnsi="Arial"/>
          <w:sz w:val="16"/>
          <w:szCs w:val="16"/>
          <w:color w:val="auto"/>
        </w:rPr>
        <w:t>Employee Directors; collaborate with the Chairman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and CEO in developing the agenda for meetings of the Board and approve such agendas; consult with the Chairman and CEO on information that is sent to the Board; collaborate with the Chairman and the CEO and the Chairpersons of the standing committees in developing and managing the schedule of meetings of the Board and approve such schedules; and if requested by major shareholders, ensure that he or she is available for consultation and direct communication.</w:t>
      </w:r>
    </w:p>
    <w:p>
      <w:pPr>
        <w:spacing w:after="0" w:line="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w:t>
      </w:r>
    </w:p>
    <w:p>
      <w:pPr>
        <w:spacing w:after="0" w:line="14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color w:val="auto"/>
        </w:rPr>
        <w:t xml:space="preserve">Committees of the Board. </w:t>
      </w:r>
      <w:r>
        <w:rPr>
          <w:rFonts w:ascii="Arial" w:cs="Arial" w:eastAsia="Arial" w:hAnsi="Arial"/>
          <w:sz w:val="16"/>
          <w:szCs w:val="16"/>
          <w:color w:val="auto"/>
        </w:rPr>
        <w:t>The Board has established standing Audit, Human Resources and Nominating and Governance Committees to assist it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discharge of its responsibilities. Each of such committees is governed by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59055</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Committee</w:t>
            </w:r>
          </w:p>
        </w:tc>
        <w:tc>
          <w:tcPr>
            <w:tcW w:w="1880" w:type="dxa"/>
            <w:vAlign w:val="bottom"/>
            <w:tcBorders>
              <w:bottom w:val="single" w:sz="8" w:color="auto"/>
            </w:tcBorders>
          </w:tcPr>
          <w:p>
            <w:pPr>
              <w:spacing w:after="0"/>
              <w:rPr>
                <w:sz w:val="19"/>
                <w:szCs w:val="19"/>
                <w:color w:val="auto"/>
              </w:rPr>
            </w:pPr>
          </w:p>
        </w:tc>
      </w:tr>
      <w:tr>
        <w:trPr>
          <w:trHeight w:val="198"/>
        </w:trPr>
        <w:tc>
          <w:tcPr>
            <w:tcW w:w="5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Nominating and</w:t>
            </w:r>
          </w:p>
        </w:tc>
      </w:tr>
      <w:tr>
        <w:trPr>
          <w:trHeight w:val="228"/>
        </w:trPr>
        <w:tc>
          <w:tcPr>
            <w:tcW w:w="56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Audit</w:t>
            </w:r>
          </w:p>
        </w:tc>
        <w:tc>
          <w:tcPr>
            <w:tcW w:w="22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Human Resources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Irvin E. Aal </w:t>
            </w:r>
            <w:r>
              <w:rPr>
                <w:rFonts w:ascii="Arial" w:cs="Arial" w:eastAsia="Arial" w:hAnsi="Arial"/>
                <w:sz w:val="21"/>
                <w:szCs w:val="21"/>
                <w:color w:val="auto"/>
                <w:vertAlign w:val="superscript"/>
              </w:rPr>
              <w:t>(1)</w:t>
            </w:r>
          </w:p>
        </w:tc>
        <w:tc>
          <w:tcPr>
            <w:tcW w:w="16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3"/>
              </w:rPr>
              <w:t>X</w:t>
            </w:r>
          </w:p>
        </w:tc>
        <w:tc>
          <w:tcPr>
            <w:tcW w:w="2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X</w:t>
            </w:r>
          </w:p>
        </w:tc>
        <w:tc>
          <w:tcPr>
            <w:tcW w:w="1880" w:type="dxa"/>
            <w:vAlign w:val="bottom"/>
            <w:shd w:val="clear" w:color="auto" w:fill="CCEEFF"/>
          </w:tcPr>
          <w:p>
            <w:pPr>
              <w:spacing w:after="0"/>
              <w:rPr>
                <w:sz w:val="23"/>
                <w:szCs w:val="23"/>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Robert M. Chiusano </w:t>
            </w:r>
            <w:r>
              <w:rPr>
                <w:rFonts w:ascii="Arial" w:cs="Arial" w:eastAsia="Arial" w:hAnsi="Arial"/>
                <w:sz w:val="21"/>
                <w:szCs w:val="21"/>
                <w:color w:val="auto"/>
                <w:vertAlign w:val="superscript"/>
              </w:rPr>
              <w:t>(1)</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3"/>
              </w:rPr>
              <w:t>X</w:t>
            </w:r>
          </w:p>
        </w:tc>
        <w:tc>
          <w:tcPr>
            <w:tcW w:w="2240" w:type="dxa"/>
            <w:vAlign w:val="bottom"/>
          </w:tcPr>
          <w:p>
            <w:pPr>
              <w:jc w:val="center"/>
              <w:ind w:left="119"/>
              <w:spacing w:after="0"/>
              <w:rPr>
                <w:sz w:val="20"/>
                <w:szCs w:val="20"/>
                <w:color w:val="auto"/>
              </w:rPr>
            </w:pPr>
            <w:r>
              <w:rPr>
                <w:rFonts w:ascii="Arial" w:cs="Arial" w:eastAsia="Arial" w:hAnsi="Arial"/>
                <w:sz w:val="16"/>
                <w:szCs w:val="16"/>
                <w:color w:val="auto"/>
              </w:rPr>
              <w:t>X</w:t>
            </w:r>
          </w:p>
        </w:tc>
        <w:tc>
          <w:tcPr>
            <w:tcW w:w="1880" w:type="dxa"/>
            <w:vAlign w:val="bottom"/>
          </w:tcPr>
          <w:p>
            <w:pPr>
              <w:spacing w:after="0"/>
              <w:rPr>
                <w:sz w:val="23"/>
                <w:szCs w:val="23"/>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Jerry N. Currie </w:t>
            </w:r>
            <w:r>
              <w:rPr>
                <w:rFonts w:ascii="Arial" w:cs="Arial" w:eastAsia="Arial" w:hAnsi="Arial"/>
                <w:sz w:val="21"/>
                <w:szCs w:val="21"/>
                <w:color w:val="auto"/>
                <w:vertAlign w:val="superscript"/>
              </w:rPr>
              <w:t>(1)</w:t>
            </w:r>
          </w:p>
        </w:tc>
        <w:tc>
          <w:tcPr>
            <w:tcW w:w="16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Joseph W. England </w:t>
            </w:r>
            <w:r>
              <w:rPr>
                <w:rFonts w:ascii="Arial" w:cs="Arial" w:eastAsia="Arial" w:hAnsi="Arial"/>
                <w:sz w:val="21"/>
                <w:szCs w:val="21"/>
                <w:color w:val="auto"/>
                <w:vertAlign w:val="superscript"/>
              </w:rPr>
              <w:t>(1)(2)</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3"/>
              </w:rPr>
              <w:t>X</w:t>
            </w:r>
          </w:p>
        </w:tc>
        <w:tc>
          <w:tcPr>
            <w:tcW w:w="224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Lawrence A. Erickson </w:t>
            </w:r>
            <w:r>
              <w:rPr>
                <w:rFonts w:ascii="Arial" w:cs="Arial" w:eastAsia="Arial" w:hAnsi="Arial"/>
                <w:sz w:val="21"/>
                <w:szCs w:val="21"/>
                <w:color w:val="auto"/>
                <w:vertAlign w:val="superscript"/>
              </w:rPr>
              <w:t>(1)(2)</w:t>
            </w:r>
          </w:p>
        </w:tc>
        <w:tc>
          <w:tcPr>
            <w:tcW w:w="16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9"/>
              </w:rPr>
              <w:t>Chair</w:t>
            </w:r>
          </w:p>
        </w:tc>
        <w:tc>
          <w:tcPr>
            <w:tcW w:w="2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X</w:t>
            </w:r>
          </w:p>
        </w:tc>
        <w:tc>
          <w:tcPr>
            <w:tcW w:w="1880" w:type="dxa"/>
            <w:vAlign w:val="bottom"/>
            <w:shd w:val="clear" w:color="auto" w:fill="CCEEFF"/>
          </w:tcPr>
          <w:p>
            <w:pPr>
              <w:spacing w:after="0"/>
              <w:rPr>
                <w:sz w:val="23"/>
                <w:szCs w:val="23"/>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John V. Hanson </w:t>
            </w:r>
            <w:r>
              <w:rPr>
                <w:rFonts w:ascii="Arial" w:cs="Arial" w:eastAsia="Arial" w:hAnsi="Arial"/>
                <w:sz w:val="21"/>
                <w:szCs w:val="21"/>
                <w:color w:val="auto"/>
                <w:vertAlign w:val="superscript"/>
              </w:rPr>
              <w:t>(1)</w:t>
            </w:r>
          </w:p>
        </w:tc>
        <w:tc>
          <w:tcPr>
            <w:tcW w:w="16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Gerald C. Kitch, (Lead Director) </w:t>
            </w:r>
            <w:r>
              <w:rPr>
                <w:rFonts w:ascii="Arial" w:cs="Arial" w:eastAsia="Arial" w:hAnsi="Arial"/>
                <w:sz w:val="21"/>
                <w:szCs w:val="21"/>
                <w:color w:val="auto"/>
                <w:vertAlign w:val="superscript"/>
              </w:rPr>
              <w:t>(1)</w:t>
            </w:r>
          </w:p>
        </w:tc>
        <w:tc>
          <w:tcPr>
            <w:tcW w:w="1680" w:type="dxa"/>
            <w:vAlign w:val="bottom"/>
            <w:shd w:val="clear" w:color="auto" w:fill="CCEEFF"/>
          </w:tcPr>
          <w:p>
            <w:pPr>
              <w:spacing w:after="0"/>
              <w:rPr>
                <w:sz w:val="23"/>
                <w:szCs w:val="23"/>
                <w:color w:val="auto"/>
              </w:rPr>
            </w:pPr>
          </w:p>
        </w:tc>
        <w:tc>
          <w:tcPr>
            <w:tcW w:w="22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Chair</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Robert J. Olson</w:t>
            </w:r>
          </w:p>
        </w:tc>
        <w:tc>
          <w:tcPr>
            <w:tcW w:w="16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Number of meetings in 2011</w:t>
            </w:r>
          </w:p>
        </w:tc>
        <w:tc>
          <w:tcPr>
            <w:tcW w:w="16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6</w:t>
            </w:r>
          </w:p>
        </w:tc>
        <w:tc>
          <w:tcPr>
            <w:tcW w:w="224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w w:val="89"/>
              </w:rPr>
              <w:t>4</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3"/>
              </w:rPr>
              <w:t>X</w:t>
            </w:r>
          </w:p>
        </w:tc>
        <w:tc>
          <w:tcPr>
            <w:tcW w:w="2240" w:type="dxa"/>
            <w:vAlign w:val="bottom"/>
          </w:tcPr>
          <w:p>
            <w:pPr>
              <w:jc w:val="center"/>
              <w:ind w:left="119"/>
              <w:spacing w:after="0"/>
              <w:rPr>
                <w:sz w:val="20"/>
                <w:szCs w:val="20"/>
                <w:color w:val="auto"/>
              </w:rPr>
            </w:pPr>
            <w:r>
              <w:rPr>
                <w:rFonts w:ascii="Arial" w:cs="Arial" w:eastAsia="Arial" w:hAnsi="Arial"/>
                <w:sz w:val="16"/>
                <w:szCs w:val="16"/>
                <w:color w:val="auto"/>
              </w:rPr>
              <w:t>X</w:t>
            </w:r>
          </w:p>
        </w:tc>
        <w:tc>
          <w:tcPr>
            <w:tcW w:w="1880" w:type="dxa"/>
            <w:vAlign w:val="bottom"/>
          </w:tcPr>
          <w:p>
            <w:pPr>
              <w:jc w:val="center"/>
              <w:spacing w:after="0"/>
              <w:rPr>
                <w:sz w:val="20"/>
                <w:szCs w:val="20"/>
                <w:color w:val="auto"/>
              </w:rPr>
            </w:pPr>
            <w:r>
              <w:rPr>
                <w:rFonts w:ascii="Arial" w:cs="Arial" w:eastAsia="Arial" w:hAnsi="Arial"/>
                <w:sz w:val="16"/>
                <w:szCs w:val="16"/>
                <w:color w:val="auto"/>
                <w:w w:val="93"/>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174" w:lineRule="exact"/>
        <w:rPr>
          <w:sz w:val="20"/>
          <w:szCs w:val="20"/>
          <w:color w:val="auto"/>
        </w:rPr>
      </w:pPr>
    </w:p>
    <w:p>
      <w:pPr>
        <w:ind w:left="340" w:right="40" w:hanging="332"/>
        <w:spacing w:after="0" w:line="25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Each year, the committee appoints independent registered public accountants to examine our financial statements. It reviews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independent registered public accountants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Others in regular attendance at the Audit Committee meeting typically include: the Chairman; the CEO; the CFO; the Vice President, General Counsel and Secretary; the Treasurer; and the Internal Audit Manager. The Audit Committee meets at least annually with the CFO, the internal auditors and the independent auditors in separate executive sessions. The Audit Committee is also prepared to meet privately at any time at the request of the independent registered public accountants or members of our Management to review any special situation arising on any of the above subjects. The Audit Committee also performs other duties as set forth in its written charter which is available for review on our Web Site at http://www.winnebagoind.com/governance.html. The Audit Committee annually reviews its written charter and recommends to the Board such changes as it deems necessary. Reference is also made to the “Report of the Audit Committee” herein.</w:t>
      </w:r>
    </w:p>
    <w:p>
      <w:pPr>
        <w:spacing w:after="0" w:line="155"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Human Resources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any executive employment agreements, severance agreements, and change in control agreements and determining policy with respect to Section 162(m) of the Internal Revenue Code of 1986 (the “IRC”); (5) from time to time, reviewing the list of peer group of companies to which we compare ourself for compensation purposes; (6) reviewing and recommending to the Board retainer fees, attendance fees, and other compensation, if any, to be paid to Non-Employee Directors; (7) reviewing and discussing with Management the Compensation Discussion and Analysis section of our Form 10-K and proxy statement; and (8) preparing an annual report on executive compensation for our Form 10-K and proxy statement.</w:t>
      </w:r>
    </w:p>
    <w:p>
      <w:pPr>
        <w:spacing w:after="0" w:line="160" w:lineRule="exact"/>
        <w:rPr>
          <w:rFonts w:ascii="Arial" w:cs="Arial" w:eastAsia="Arial" w:hAnsi="Arial"/>
          <w:sz w:val="16"/>
          <w:szCs w:val="16"/>
          <w:color w:val="auto"/>
        </w:rPr>
      </w:pPr>
    </w:p>
    <w:p>
      <w:pPr>
        <w:ind w:left="340" w:right="60"/>
        <w:spacing w:after="0" w:line="259"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2011, the Human Resources Committee delegated authority to designated members of Management to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compensation packages for certain employees, not including the Named Executive Officers (as defined below), under certain circumstances. Prior to and during Fiscal 2011, Mr. Olson, as Chairman, CEO and President, recommended to the committee proposals for base salary, target short-term incentive levels, actual short-term incentive payouts and long-term incentive grants for the other Named Executive Officers for Fiscal 2011. The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separately considers, discusses, modifies as appropriate, and takes action on such proposals and the compensation of the Chairman, CEO and President.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“Compensation Discussion and Analysis-Role of Executive Officers in Compensation Decisions” below for further detail.</w:t>
      </w:r>
    </w:p>
    <w:p>
      <w:pPr>
        <w:spacing w:after="0" w:line="174" w:lineRule="exact"/>
        <w:rPr>
          <w:sz w:val="20"/>
          <w:szCs w:val="20"/>
          <w:color w:val="auto"/>
        </w:rPr>
      </w:pPr>
    </w:p>
    <w:p>
      <w:pPr>
        <w:ind w:left="340" w:right="80"/>
        <w:spacing w:after="0" w:line="254" w:lineRule="auto"/>
        <w:rPr>
          <w:sz w:val="20"/>
          <w:szCs w:val="20"/>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 periodically utilized an outside compensation consultant for matters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executive compensation. In Fiscal 2011, the committee retained a compensation consultant, Towers Watson, to conduct a new study on executive compensation for Fiscal 2012 that was reviewed by the committee in June 2011. No executive compensation decisions for Fiscal 2011 for Named Executive Officers were made in reliance on this June 2011 Towers Watson study. As described in "Compensation Discussion and Analysis - Competitive Benchmarking" below, compensation decisions made prior to June 2011 relied in part upon a Towers Watson (formerly Towers Perrin) consultants study conducted in 2007 for executive compensation matters beginning in Fiscal 2007.</w:t>
      </w:r>
    </w:p>
    <w:p>
      <w:pPr>
        <w:spacing w:after="0" w:line="155" w:lineRule="exact"/>
        <w:rPr>
          <w:sz w:val="20"/>
          <w:szCs w:val="20"/>
          <w:color w:val="auto"/>
        </w:rPr>
      </w:pPr>
    </w:p>
    <w:p>
      <w:pPr>
        <w:ind w:left="340" w:right="120" w:hanging="332"/>
        <w:spacing w:after="0" w:line="25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Nominating and Governance Committee. </w:t>
      </w:r>
      <w:r>
        <w:rPr>
          <w:rFonts w:ascii="Arial" w:cs="Arial" w:eastAsia="Arial" w:hAnsi="Arial"/>
          <w:sz w:val="16"/>
          <w:szCs w:val="16"/>
          <w:color w:val="auto"/>
        </w:rPr>
        <w:t>The Nominating and Governance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 and (4) developing and recommending to the Board a Corporate Governance Policy applicable to the Company. The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2012 Shareholder Proposals" below for a summary of the procedures that shareholders must follow.</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Board of Directors held five meetings during Fiscal 2011. Actions taken by any committee of the Board are reported to the Board of Directors, usually at its next meeting. During Fiscal 2011, all of the directors attended more than 75 percent of the aggregate of Board of Directors' meetings and meetings of committees of the Board on which they served. Our Corporate Governance Policy, discussed below, encourages, but does not require, Board members to attend the Annual Meeting. At the last annual meeting, six of eight directors were in attendance.</w:t>
      </w:r>
    </w:p>
    <w:p>
      <w:pPr>
        <w:spacing w:after="0" w:line="156"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meet privately in executive sessions to consider such matters as they deem</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without Management being present, as a routinely scheduled agenda item for every Board meeting. An executive session including only independent directors, as defined in the NYSE listing standards and the Director Nomination Policy (as defined below), is held at least once a year. During Fiscal 2011, all Non-Employee Directors were independent. See "Director Independence" below. Director Gerald C. Kitch was chosen as Lead Director to preside at such executive sessions.</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has adopted the Corporate Governance Policy which incorporates the corporate governance principles by which we operate. The Nominating and Governance Committee annually reviews the Corporate Governance Policy and recommends any changes to the Board. A copy of our Corporate Governance Policy is available on our Web Site at http://www.winnebagoind.com/governance.html.</w:t>
      </w:r>
    </w:p>
    <w:p>
      <w:pPr>
        <w:spacing w:after="0" w:line="15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has adopted a Director Nomination Policy (attached as Appendix A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(the "Director Nomination Policy") to assist it in fulfilling its duties and responsibilities in consideration of director nominations.</w:t>
      </w:r>
    </w:p>
    <w:p>
      <w:pPr>
        <w:spacing w:after="0" w:line="14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75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76" w:lineRule="exact"/>
        <w:rPr>
          <w:sz w:val="20"/>
          <w:szCs w:val="20"/>
          <w:color w:val="auto"/>
        </w:rPr>
      </w:pPr>
    </w:p>
    <w:p>
      <w:pPr>
        <w:ind w:right="40"/>
        <w:spacing w:after="0" w:line="190" w:lineRule="exact"/>
        <w:rPr>
          <w:sz w:val="20"/>
          <w:szCs w:val="20"/>
          <w:color w:val="auto"/>
        </w:rPr>
      </w:pPr>
      <w:r>
        <w:rPr>
          <w:rFonts w:ascii="Arial" w:cs="Arial" w:eastAsia="Arial" w:hAnsi="Arial"/>
          <w:sz w:val="16"/>
          <w:szCs w:val="16"/>
          <w:color w:val="auto"/>
        </w:rPr>
        <w:t>In considering a potential nominee for the Board, candidates also will be assessed in the context of the then</w:t>
      </w:r>
      <w:r>
        <w:rPr>
          <w:rFonts w:ascii="MS PGothic" w:cs="MS PGothic" w:eastAsia="MS PGothic" w:hAnsi="MS PGothic"/>
          <w:sz w:val="16"/>
          <w:szCs w:val="16"/>
          <w:color w:val="auto"/>
        </w:rPr>
        <w:t>‑</w:t>
      </w:r>
      <w:r>
        <w:rPr>
          <w:rFonts w:ascii="Arial" w:cs="Arial" w:eastAsia="Arial" w:hAnsi="Arial"/>
          <w:sz w:val="16"/>
          <w:szCs w:val="16"/>
          <w:color w:val="auto"/>
        </w:rPr>
        <w:t>current composition of the Board, the operating requirements of the Company and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needs of the Board and the Company, and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or appointment of directors. The Nominating and Governance Committee considers and assesses the implementation and effectiveness of this process in connection with Board nominations annually to assure that it contains an effective mix of individuals to best further the Company's long-term business interests.</w:t>
      </w:r>
    </w:p>
    <w:p>
      <w:pPr>
        <w:spacing w:after="0" w:line="169"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as an "audit committee financial expert" as defined by SEC rules.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Policy and Procedures With Respect to Related Person Transactions. </w:t>
      </w:r>
      <w:r>
        <w:rPr>
          <w:rFonts w:ascii="Arial" w:cs="Arial" w:eastAsia="Arial" w:hAnsi="Arial"/>
          <w:sz w:val="16"/>
          <w:szCs w:val="16"/>
          <w:color w:val="auto"/>
        </w:rPr>
        <w:t>The Board of Directors adopted the Winnebago Industries, Inc. Related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7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4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spacing w:after="0" w:line="5"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ind w:left="340" w:right="1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ind w:left="660" w:right="160" w:hanging="328"/>
        <w:spacing w:after="0" w:line="246"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ind w:left="660" w:right="60" w:hanging="328"/>
        <w:spacing w:after="0" w:line="246"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“named executive officer,”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2"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“Related Person” is defined as (1) each director, director nominee and executive officer, (2) 5 percent or greater beneficial owners, (3) immediate family members of the foregoing persons and (4) any entity in which any of the foregoing persons is a general partner or principal or in a similar position or in which such person and all other related persons to such person has a 10 percent or greater beneficial interest.</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policy recognizes that certain Related Person Transactions are in our best interests and of our shareholders. Each of the following Related Person Transactions are deemed to be pre-approved by the Nominating and Governance Committee pursuant to the policy, even if the aggregate amount involved will exceed $120,000:</w:t>
      </w:r>
    </w:p>
    <w:p>
      <w:pPr>
        <w:spacing w:after="0" w:line="158" w:lineRule="exact"/>
        <w:rPr>
          <w:sz w:val="20"/>
          <w:szCs w:val="20"/>
          <w:color w:val="auto"/>
        </w:rPr>
      </w:pPr>
    </w:p>
    <w:p>
      <w:pPr>
        <w:ind w:left="340" w:right="2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 company at which a Related Person's only relationship is as an employee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an executive officer), director or beneficial owner of less than 10 percent of that company's shares, if the aggregate amount involved does not exceed the greater of $1,000,000, or 2 percent of that company's total annual revenues.</w:t>
      </w:r>
    </w:p>
    <w:p>
      <w:pPr>
        <w:spacing w:after="0" w:line="1"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Certain Company charitable contributions. </w:t>
      </w:r>
      <w:r>
        <w:rPr>
          <w:rFonts w:ascii="Arial" w:cs="Arial" w:eastAsia="Arial" w:hAnsi="Arial"/>
          <w:sz w:val="16"/>
          <w:szCs w:val="16"/>
          <w:color w:val="auto"/>
        </w:rPr>
        <w:t>Any charitable contribution, grant or endowment by Winnebago Industries or the Winnebago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to a charitable organization, foundation or university at which a Related Person's only relationship is as an employee (other than an officer), if the aggregate amount involved does not exceed $100,000.</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41" w:right="25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require disclosure under applicable SEC rules and regulations, NYSE listing requirements and our policies.</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policy provides for the annual pre-approval by the Nominating and Governance Committee of certain Related Person Transactions that are identified in the policy, as the policy may be supplemented and amended. For Fiscal 2011, the Nominating and Governance Committee approved, in accordance with the policy, our banking relations on customary terms with Manufacturers Bank &amp; Trust Company (the “Bank”), Forest City, Iowa. The Bank is a wholly owned subsidiary of MBT Corp. John V. Hanson, a Company Director, owns approximately 33-1/3 percent of MBT Corp.'s outstanding stock. Mr. Hanson is also Chairman of the Board of the Bank and MBT Corp.</w:t>
      </w:r>
    </w:p>
    <w:p>
      <w:pPr>
        <w:spacing w:after="0" w:line="156"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b w:val="1"/>
          <w:bCs w:val="1"/>
          <w:color w:val="auto"/>
        </w:rPr>
        <w:t xml:space="preserve">Corporate Governance Policies and Codes of Conduct. </w:t>
      </w:r>
      <w:r>
        <w:rPr>
          <w:rFonts w:ascii="Arial" w:cs="Arial" w:eastAsia="Arial" w:hAnsi="Arial"/>
          <w:sz w:val="16"/>
          <w:szCs w:val="16"/>
          <w:color w:val="auto"/>
        </w:rPr>
        <w:t>The Board of Directors has adopted a Corporate Governance Policy, a Director Nomination Policy,</w:t>
      </w:r>
      <w:r>
        <w:rPr>
          <w:rFonts w:ascii="Arial" w:cs="Arial" w:eastAsia="Arial" w:hAnsi="Arial"/>
          <w:sz w:val="16"/>
          <w:szCs w:val="16"/>
          <w:b w:val="1"/>
          <w:bCs w:val="1"/>
          <w:color w:val="auto"/>
        </w:rPr>
        <w:t xml:space="preserve"> </w:t>
      </w:r>
      <w:r>
        <w:rPr>
          <w:rFonts w:ascii="Arial" w:cs="Arial" w:eastAsia="Arial" w:hAnsi="Arial"/>
          <w:sz w:val="16"/>
          <w:szCs w:val="16"/>
          <w:color w:val="auto"/>
        </w:rPr>
        <w:t>a Shareholder and Other Interested Party Communications Policy and written charters for its Audit Committee, Human Resources Committee and Nominating and Governance Committee.</w:t>
      </w:r>
    </w:p>
    <w:p>
      <w:pPr>
        <w:spacing w:after="0" w:line="16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of Directors also has adopted a Code of Ethics applicable to all of our directors, officers and employees and the Code of Ethics for CEO and Senior Financial Officers (including the CFO and the Treasurer). These policies, charters, codes and other items relating to our governance are available on our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securities filings.</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our Corporate Governance Policy and NYSE rules, the Board must have a majority of directors who meet the standards for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independence under our Director Nomination Policy and applicable NYSE rules, respectively. The Board must determine, based on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all of the relevant facts and circumstances, including a review of all transactions and relationships between each director and director nominee or any member of his immediate family and the Company and its subsidiaries and affiliates.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that were inconsistent with a determination that the director or nominee is independent. As a result of this review, the Board, at its meeting in October 2011, affirmatively determined that Mr. Aal (Class I director), Mr. Chiusano (Class II director), Mr. Currie (Class II director), Mr. England (Class I director), Mr. Erickson (Class II director), Mr. Hanson (Class III director), Mr. Kitch (Class III director), and Mr. Mark T. Schroepfer (nominee for Class III director), are independent as defined by the relevant provisions of applicable law, the NYSE listing standards and our Director Nomination Policy and that each independent director has no material relationship with Winnebago Industries.</w:t>
      </w:r>
    </w:p>
    <w:p>
      <w:pPr>
        <w:spacing w:after="0" w:line="18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As a result, all members of the Audit Committee, Human Resources Committee and Nominating and Governance Committee are independent under these standards.</w:t>
      </w:r>
    </w:p>
    <w:p>
      <w:pPr>
        <w:spacing w:after="0" w:line="16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Mr. Olson (Class III director and nominee for re-election) is not considered independent because of his employment as Chairman of the Company. Mr. Potts (nominee for Class III director) is not considered independent because of his employment as CEO and President of the Company.</w:t>
      </w:r>
    </w:p>
    <w:p>
      <w:pPr>
        <w:spacing w:after="0" w:line="14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auto"/>
        </w:rPr>
        <w:t>Shareholder and Other Interested Party Communications with Directors</w:t>
      </w:r>
      <w:r>
        <w:rPr>
          <w:rFonts w:ascii="Arial" w:cs="Arial" w:eastAsia="Arial" w:hAnsi="Arial"/>
          <w:sz w:val="16"/>
          <w:szCs w:val="16"/>
          <w:color w:val="auto"/>
        </w:rPr>
        <w:t>. 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rbeebe@winnebagoind.com.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Lead Director or applicable Board member or members as expeditiously as reasonably practicable.</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Risk Management Oversight Process. </w:t>
      </w:r>
      <w:r>
        <w:rPr>
          <w:rFonts w:ascii="Arial" w:cs="Arial" w:eastAsia="Arial" w:hAnsi="Arial"/>
          <w:sz w:val="16"/>
          <w:szCs w:val="16"/>
          <w:color w:val="auto"/>
        </w:rPr>
        <w:t>We face a number of material risks, including financial and operational risks. Given the importance of monitoring these</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the Board has charged its Audit Committee with oversight responsibility of the Company's overall risk management practices and policies, which includes the review with Management of policies and analyses with respect to financial risk and fraud risk assessment and related risk management. The Audit Committee meets on a regular basis to review the business risk management practices, at which time applicable members of senior management, including our Chairman, CEO, and CFO, provide reports to the Audit Committee. While the Audit Committee retains this oversight responsibility, it coordinates this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oversight with other committees of the Board having primary oversight responsibility for specific risks (see “Committees of the Board” above). Each of the Board's standing committees, in turn, receives regular reports from members of senior management concerning Management's assessment of Company risks within the purview of such committee.</w:t>
      </w:r>
    </w:p>
    <w:p>
      <w:pPr>
        <w:spacing w:after="0" w:line="17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Notwithstanding the Board's oversight delegation to the Audit Committee, the entire Board is actively involved in risk oversight. The Audit Committee annually reviews for the Board which committees maintain oversight responsibilities described above and the overall effectiveness of the policies and programs. In addition, at each of its meetings, the Board receives a report from the Chair of the Audit Committee, as well as from the Chair of each of the Board's other standing committees, each of which is chaired by an independent director. The Board then discusses and deliberates on the Company's risk management policies and practices. Through the process outlined above, the Board believes that the leadership structure of the Board supports effective oversight of the Company's risk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3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Employee directors receive no additional compensation for serving on the Board or its committees. In Fiscal 2009, as a result of economic conditions affecting the broader U.S. economy and our financial performance, the Board reduced the annual retainer paid to Non-Employee Directors by 20 percent from $25,000 to $20,000 per annum beginning March 25, 2009 (paid in monthly installments). These reductions in the annual board retainer remained in place through Fiscal 2010 and continued through the second fiscal quarter of Fiscal 2011. The Board of Directors reversed the annual retainer reduction beginning in March 2011. During Fiscal 2011, all Non-Employee Directors also received a $1,000 per day attendance fee for Board and committee meetings and a $500 fee for participation in Board or committee meetings held telephonically. During Fiscal 2011, the Audit Committee Chairman received an annual retainer of $5,000 (paid in monthly installments) and the Chairmen of other Board Committees received an annual retainer of $4,000 (paid in monthly installments).</w:t>
      </w:r>
    </w:p>
    <w:p>
      <w:pPr>
        <w:spacing w:after="0" w:line="1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Commencing in Fiscal 2007, each Non-Employee Director received an annual restricted stock grant of 1,000 shares pursuant to the Winnebago Industries, Inc. 2004 Incentive Compensation Plan, as amended (the “2004 Plan”). These restricted shares may not be sold until the Non-Employee Director retires from the Board. This annual grant of restricted stock was increased to 1,500 shares in Fiscal 2008. In Fiscal 2009 and Fiscal 2010, as part of our cost reduction measures, no awards of restricted stock or stock options were made to Non-Employee Directors. On March 23, 2011, the Board of Directors approved a restricted stock grant of 2,000 shares to each Non-Employee Director pursuant to the 2004 Plan.</w:t>
      </w:r>
    </w:p>
    <w:p>
      <w:pPr>
        <w:spacing w:after="0" w:line="9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Upon the review of a June 2011 Towers Watson study relating to director compensation, the Human Resources Committee recommended, and the Board of Directors approved, certain changes to Board compensation to take place at the beginning of Fiscal 2012. The adjustments, which were effective beginning September 2011, are intended to provide Non-Employee Directors with a competitive compensation package to continue to attract and retain well qualified Board members. Those adjustments provide for the following changes: annual retainer to increase from $25,000 to $30,000 (paid in monthly installments), Audit Committee Chairman receives an annual retainer increase from $5,000 to $10,000 (paid in monthly installments), the Chairmen of the other Board committees receive an annual retainer increase from $4,000 to $5,000 (paid in monthly installments), meeting fees to increase from $1,000 to $1,200 per day (regardless of the number of meetings attended in that day). Compensation for participation in Board or committee meetings telephonically remains at $500.</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2011, other than reimbursement for travel expenses: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Change in</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Pension Value</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and</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Non-qualified</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Fees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Deferred</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rPr>
              <w:t>Earned or</w:t>
            </w:r>
          </w:p>
        </w:tc>
        <w:tc>
          <w:tcPr>
            <w:tcW w:w="28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Stock</w:t>
            </w:r>
          </w:p>
        </w:tc>
        <w:tc>
          <w:tcPr>
            <w:tcW w:w="400" w:type="dxa"/>
            <w:vAlign w:val="bottom"/>
          </w:tcPr>
          <w:p>
            <w:pPr>
              <w:spacing w:after="0"/>
              <w:rPr>
                <w:sz w:val="16"/>
                <w:szCs w:val="16"/>
                <w:color w:val="auto"/>
              </w:rPr>
            </w:pPr>
          </w:p>
        </w:tc>
        <w:tc>
          <w:tcPr>
            <w:tcW w:w="1160" w:type="dxa"/>
            <w:vAlign w:val="bottom"/>
          </w:tcPr>
          <w:p>
            <w:pPr>
              <w:ind w:left="160"/>
              <w:spacing w:after="0"/>
              <w:rPr>
                <w:sz w:val="20"/>
                <w:szCs w:val="20"/>
                <w:color w:val="auto"/>
              </w:rPr>
            </w:pPr>
            <w:r>
              <w:rPr>
                <w:rFonts w:ascii="Arial" w:cs="Arial" w:eastAsia="Arial" w:hAnsi="Arial"/>
                <w:sz w:val="16"/>
                <w:szCs w:val="16"/>
                <w:b w:val="1"/>
                <w:bCs w:val="1"/>
                <w:color w:val="auto"/>
              </w:rPr>
              <w:t>Option</w:t>
            </w:r>
          </w:p>
        </w:tc>
        <w:tc>
          <w:tcPr>
            <w:tcW w:w="3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Compensation</w:t>
            </w:r>
          </w:p>
        </w:tc>
        <w:tc>
          <w:tcPr>
            <w:tcW w:w="220" w:type="dxa"/>
            <w:vAlign w:val="bottom"/>
          </w:tcPr>
          <w:p>
            <w:pPr>
              <w:spacing w:after="0"/>
              <w:rPr>
                <w:sz w:val="16"/>
                <w:szCs w:val="16"/>
                <w:color w:val="auto"/>
              </w:rPr>
            </w:pPr>
          </w:p>
        </w:tc>
        <w:tc>
          <w:tcPr>
            <w:tcW w:w="1540" w:type="dxa"/>
            <w:vAlign w:val="bottom"/>
          </w:tcPr>
          <w:p>
            <w:pPr>
              <w:jc w:val="right"/>
              <w:ind w:right="419"/>
              <w:spacing w:after="0"/>
              <w:rPr>
                <w:sz w:val="20"/>
                <w:szCs w:val="20"/>
                <w:color w:val="auto"/>
              </w:rPr>
            </w:pPr>
            <w:r>
              <w:rPr>
                <w:rFonts w:ascii="Arial" w:cs="Arial" w:eastAsia="Arial" w:hAnsi="Arial"/>
                <w:sz w:val="16"/>
                <w:szCs w:val="16"/>
                <w:b w:val="1"/>
                <w:bCs w:val="1"/>
                <w:color w:val="auto"/>
              </w:rPr>
              <w:t>All Other</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Paid in Cash</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9"/>
              <w:spacing w:after="0" w:line="234"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(1)</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(2)</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Earnings</w:t>
            </w:r>
            <w:r>
              <w:rPr>
                <w:rFonts w:ascii="Arial" w:cs="Arial" w:eastAsia="Arial" w:hAnsi="Arial"/>
                <w:sz w:val="21"/>
                <w:szCs w:val="21"/>
                <w:b w:val="1"/>
                <w:bCs w:val="1"/>
                <w:color w:val="auto"/>
                <w:w w:val="95"/>
                <w:vertAlign w:val="superscript"/>
              </w:rPr>
              <w:t>(3)</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
              <w:spacing w:after="0" w:line="234" w:lineRule="exact"/>
              <w:rPr>
                <w:sz w:val="20"/>
                <w:szCs w:val="20"/>
                <w:color w:val="auto"/>
              </w:rPr>
            </w:pPr>
            <w:r>
              <w:rPr>
                <w:rFonts w:ascii="Arial" w:cs="Arial" w:eastAsia="Arial" w:hAnsi="Arial"/>
                <w:sz w:val="16"/>
                <w:szCs w:val="16"/>
                <w:b w:val="1"/>
                <w:bCs w:val="1"/>
                <w:color w:val="auto"/>
                <w:w w:val="94"/>
              </w:rPr>
              <w:t>Compensation</w:t>
            </w:r>
            <w:r>
              <w:rPr>
                <w:rFonts w:ascii="Arial" w:cs="Arial" w:eastAsia="Arial" w:hAnsi="Arial"/>
                <w:sz w:val="21"/>
                <w:szCs w:val="21"/>
                <w:b w:val="1"/>
                <w:bCs w:val="1"/>
                <w:color w:val="auto"/>
                <w:w w:val="94"/>
                <w:vertAlign w:val="superscript"/>
              </w:rPr>
              <w:t>(4)(5)</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37"/>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67,480</w:t>
            </w:r>
          </w:p>
        </w:tc>
      </w:tr>
      <w:tr>
        <w:trPr>
          <w:trHeight w:val="233"/>
        </w:trPr>
        <w:tc>
          <w:tcPr>
            <w:tcW w:w="182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32,000</w:t>
            </w:r>
          </w:p>
        </w:tc>
        <w:tc>
          <w:tcPr>
            <w:tcW w:w="280" w:type="dxa"/>
            <w:vAlign w:val="bottom"/>
          </w:tcPr>
          <w:p>
            <w:pPr>
              <w:spacing w:after="0"/>
              <w:rPr>
                <w:sz w:val="20"/>
                <w:szCs w:val="20"/>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tcPr>
          <w:p>
            <w:pPr>
              <w:spacing w:after="0"/>
              <w:rPr>
                <w:sz w:val="20"/>
                <w:szCs w:val="20"/>
                <w:color w:val="auto"/>
              </w:rPr>
            </w:pPr>
          </w:p>
        </w:tc>
        <w:tc>
          <w:tcPr>
            <w:tcW w:w="1160" w:type="dxa"/>
            <w:vAlign w:val="bottom"/>
          </w:tcPr>
          <w:p>
            <w:pPr>
              <w:ind w:left="7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8,000</w:t>
            </w:r>
          </w:p>
        </w:tc>
        <w:tc>
          <w:tcPr>
            <w:tcW w:w="4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66,980</w:t>
            </w:r>
          </w:p>
        </w:tc>
      </w:tr>
      <w:tr>
        <w:trPr>
          <w:trHeight w:val="253"/>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31,000</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57,980</w:t>
            </w:r>
          </w:p>
        </w:tc>
      </w:tr>
      <w:tr>
        <w:trPr>
          <w:trHeight w:val="233"/>
        </w:trPr>
        <w:tc>
          <w:tcPr>
            <w:tcW w:w="1820" w:type="dxa"/>
            <w:vAlign w:val="bottom"/>
          </w:tcPr>
          <w:p>
            <w:pPr>
              <w:ind w:left="40"/>
              <w:spacing w:after="0"/>
              <w:rPr>
                <w:sz w:val="20"/>
                <w:szCs w:val="20"/>
                <w:color w:val="auto"/>
              </w:rPr>
            </w:pPr>
            <w:r>
              <w:rPr>
                <w:rFonts w:ascii="Arial" w:cs="Arial" w:eastAsia="Arial" w:hAnsi="Arial"/>
                <w:sz w:val="16"/>
                <w:szCs w:val="16"/>
                <w:color w:val="auto"/>
              </w:rPr>
              <w:t>Joseph W. England</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29,000</w:t>
            </w:r>
          </w:p>
        </w:tc>
        <w:tc>
          <w:tcPr>
            <w:tcW w:w="280" w:type="dxa"/>
            <w:vAlign w:val="bottom"/>
          </w:tcPr>
          <w:p>
            <w:pPr>
              <w:spacing w:after="0"/>
              <w:rPr>
                <w:sz w:val="20"/>
                <w:szCs w:val="20"/>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tcPr>
          <w:p>
            <w:pPr>
              <w:spacing w:after="0"/>
              <w:rPr>
                <w:sz w:val="20"/>
                <w:szCs w:val="20"/>
                <w:color w:val="auto"/>
              </w:rPr>
            </w:pPr>
          </w:p>
        </w:tc>
        <w:tc>
          <w:tcPr>
            <w:tcW w:w="1160" w:type="dxa"/>
            <w:vAlign w:val="bottom"/>
          </w:tcPr>
          <w:p>
            <w:pPr>
              <w:ind w:left="7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7,250</w:t>
            </w:r>
          </w:p>
        </w:tc>
        <w:tc>
          <w:tcPr>
            <w:tcW w:w="4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63,230</w:t>
            </w:r>
          </w:p>
        </w:tc>
      </w:tr>
      <w:tr>
        <w:trPr>
          <w:trHeight w:val="253"/>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37,000</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9,250</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73,230</w:t>
            </w:r>
          </w:p>
        </w:tc>
      </w:tr>
      <w:tr>
        <w:trPr>
          <w:trHeight w:val="233"/>
        </w:trPr>
        <w:tc>
          <w:tcPr>
            <w:tcW w:w="1820" w:type="dxa"/>
            <w:vAlign w:val="bottom"/>
          </w:tcPr>
          <w:p>
            <w:pPr>
              <w:ind w:left="40"/>
              <w:spacing w:after="0"/>
              <w:rPr>
                <w:sz w:val="20"/>
                <w:szCs w:val="20"/>
                <w:color w:val="auto"/>
              </w:rPr>
            </w:pPr>
            <w:r>
              <w:rPr>
                <w:rFonts w:ascii="Arial" w:cs="Arial" w:eastAsia="Arial" w:hAnsi="Arial"/>
                <w:sz w:val="16"/>
                <w:szCs w:val="16"/>
                <w:color w:val="auto"/>
              </w:rPr>
              <w:t>John V. Hanson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33,500</w:t>
            </w:r>
          </w:p>
        </w:tc>
        <w:tc>
          <w:tcPr>
            <w:tcW w:w="280" w:type="dxa"/>
            <w:vAlign w:val="bottom"/>
          </w:tcPr>
          <w:p>
            <w:pPr>
              <w:spacing w:after="0"/>
              <w:rPr>
                <w:sz w:val="20"/>
                <w:szCs w:val="20"/>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tcPr>
          <w:p>
            <w:pPr>
              <w:spacing w:after="0"/>
              <w:rPr>
                <w:sz w:val="20"/>
                <w:szCs w:val="20"/>
                <w:color w:val="auto"/>
              </w:rPr>
            </w:pPr>
          </w:p>
        </w:tc>
        <w:tc>
          <w:tcPr>
            <w:tcW w:w="1160" w:type="dxa"/>
            <w:vAlign w:val="bottom"/>
          </w:tcPr>
          <w:p>
            <w:pPr>
              <w:ind w:left="7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60,480</w:t>
            </w:r>
          </w:p>
        </w:tc>
      </w:tr>
      <w:tr>
        <w:trPr>
          <w:trHeight w:val="253"/>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Gerald C. Kitch</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26,980</w:t>
            </w: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8,750</w:t>
            </w: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70,730</w:t>
            </w:r>
          </w:p>
        </w:tc>
      </w:tr>
    </w:tbl>
    <w:p>
      <w:pPr>
        <w:spacing w:after="0" w:line="5" w:lineRule="exact"/>
        <w:rPr>
          <w:sz w:val="20"/>
          <w:szCs w:val="20"/>
          <w:color w:val="auto"/>
        </w:rPr>
      </w:pPr>
    </w:p>
    <w:p>
      <w:pPr>
        <w:ind w:left="340" w:right="100" w:hanging="332"/>
        <w:spacing w:after="0" w:line="241"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4"/>
          <w:szCs w:val="14"/>
          <w:color w:val="auto"/>
        </w:rPr>
        <w:t>This amount represents 2,000 shares of the Company's Common Stock that were granted to each Non-Employee Director pursuant to the 2004 Plan on March 23, 2011 at a price of $13.49 per share, the closing market price of the Company's Common Stock as quoted on the NYSE.</w:t>
      </w:r>
    </w:p>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4"/>
          <w:szCs w:val="14"/>
          <w:color w:val="auto"/>
        </w:rPr>
        <w:t>No awards of options, stock appreciation rights or similar equity-based compensation instruments that have option-like features were made in Fiscal 2011.</w:t>
      </w:r>
    </w:p>
    <w:p>
      <w:pPr>
        <w:spacing w:after="0" w:line="163"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NON-EMPLOYEE DIRECTOR HOLDINGS AS OF OCTOBER 4, 2011</w:t>
      </w:r>
    </w:p>
    <w:p>
      <w:pPr>
        <w:spacing w:after="0" w:line="109"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As of October 4, 2011, the aggregate number of restricted stock awards, stock option awards and Winnebago Stock Units held by each Non-Employee Director was:</w:t>
      </w:r>
    </w:p>
    <w:p>
      <w:pPr>
        <w:spacing w:after="0" w:line="140"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4100" w:type="dxa"/>
            <w:vAlign w:val="bottom"/>
          </w:tcPr>
          <w:p>
            <w:pPr>
              <w:jc w:val="right"/>
              <w:ind w:right="506"/>
              <w:spacing w:after="0"/>
              <w:rPr>
                <w:sz w:val="20"/>
                <w:szCs w:val="20"/>
                <w:color w:val="auto"/>
              </w:rPr>
            </w:pPr>
            <w:r>
              <w:rPr>
                <w:rFonts w:ascii="Arial" w:cs="Arial" w:eastAsia="Arial" w:hAnsi="Arial"/>
                <w:sz w:val="16"/>
                <w:szCs w:val="16"/>
                <w:b w:val="1"/>
                <w:bCs w:val="1"/>
                <w:color w:val="auto"/>
              </w:rPr>
              <w:t>Restricted</w:t>
            </w:r>
          </w:p>
        </w:tc>
        <w:tc>
          <w:tcPr>
            <w:tcW w:w="1520" w:type="dxa"/>
            <w:vAlign w:val="bottom"/>
          </w:tcPr>
          <w:p>
            <w:pPr>
              <w:jc w:val="right"/>
              <w:ind w:right="606"/>
              <w:spacing w:after="0"/>
              <w:rPr>
                <w:sz w:val="20"/>
                <w:szCs w:val="20"/>
                <w:color w:val="auto"/>
              </w:rPr>
            </w:pPr>
            <w:r>
              <w:rPr>
                <w:rFonts w:ascii="Arial" w:cs="Arial" w:eastAsia="Arial" w:hAnsi="Arial"/>
                <w:sz w:val="16"/>
                <w:szCs w:val="16"/>
                <w:b w:val="1"/>
                <w:bCs w:val="1"/>
                <w:color w:val="auto"/>
              </w:rPr>
              <w:t>Stock</w:t>
            </w:r>
          </w:p>
        </w:tc>
        <w:tc>
          <w:tcPr>
            <w:tcW w:w="1460" w:type="dxa"/>
            <w:vAlign w:val="bottom"/>
          </w:tcPr>
          <w:p>
            <w:pPr>
              <w:jc w:val="right"/>
              <w:ind w:right="286"/>
              <w:spacing w:after="0"/>
              <w:rPr>
                <w:sz w:val="20"/>
                <w:szCs w:val="20"/>
                <w:color w:val="auto"/>
              </w:rPr>
            </w:pPr>
            <w:r>
              <w:rPr>
                <w:rFonts w:ascii="Arial" w:cs="Arial" w:eastAsia="Arial" w:hAnsi="Arial"/>
                <w:sz w:val="16"/>
                <w:szCs w:val="16"/>
                <w:b w:val="1"/>
                <w:bCs w:val="1"/>
                <w:color w:val="auto"/>
              </w:rPr>
              <w:t>Winnebago</w:t>
            </w:r>
          </w:p>
        </w:tc>
      </w:tr>
      <w:tr>
        <w:trPr>
          <w:trHeight w:val="22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Director</w:t>
            </w:r>
          </w:p>
        </w:tc>
        <w:tc>
          <w:tcPr>
            <w:tcW w:w="410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Stock Awards</w:t>
            </w:r>
          </w:p>
        </w:tc>
        <w:tc>
          <w:tcPr>
            <w:tcW w:w="1520" w:type="dxa"/>
            <w:vAlign w:val="bottom"/>
            <w:tcBorders>
              <w:bottom w:val="single" w:sz="8" w:color="auto"/>
            </w:tcBorders>
          </w:tcPr>
          <w:p>
            <w:pPr>
              <w:jc w:val="right"/>
              <w:ind w:right="526"/>
              <w:spacing w:after="0"/>
              <w:rPr>
                <w:sz w:val="20"/>
                <w:szCs w:val="20"/>
                <w:color w:val="auto"/>
              </w:rPr>
            </w:pPr>
            <w:r>
              <w:rPr>
                <w:rFonts w:ascii="Arial" w:cs="Arial" w:eastAsia="Arial" w:hAnsi="Arial"/>
                <w:sz w:val="16"/>
                <w:szCs w:val="16"/>
                <w:b w:val="1"/>
                <w:bCs w:val="1"/>
                <w:color w:val="auto"/>
              </w:rPr>
              <w:t>Options</w:t>
            </w:r>
          </w:p>
        </w:tc>
        <w:tc>
          <w:tcPr>
            <w:tcW w:w="146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Stock Units</w:t>
            </w: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Irvin E. Aal</w:t>
            </w:r>
          </w:p>
        </w:tc>
        <w:tc>
          <w:tcPr>
            <w:tcW w:w="410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rPr>
              <w:t>4,500</w:t>
            </w:r>
          </w:p>
        </w:tc>
        <w:tc>
          <w:tcPr>
            <w:tcW w:w="152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28,000</w:t>
            </w:r>
          </w:p>
        </w:tc>
        <w:tc>
          <w:tcPr>
            <w:tcW w:w="14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16,886</w:t>
            </w:r>
          </w:p>
        </w:tc>
      </w:tr>
      <w:tr>
        <w:trPr>
          <w:trHeight w:val="264"/>
        </w:trPr>
        <w:tc>
          <w:tcPr>
            <w:tcW w:w="3980" w:type="dxa"/>
            <w:vAlign w:val="bottom"/>
          </w:tcPr>
          <w:p>
            <w:pPr>
              <w:ind w:left="20"/>
              <w:spacing w:after="0"/>
              <w:rPr>
                <w:sz w:val="20"/>
                <w:szCs w:val="20"/>
                <w:color w:val="auto"/>
              </w:rPr>
            </w:pPr>
            <w:r>
              <w:rPr>
                <w:rFonts w:ascii="Arial" w:cs="Arial" w:eastAsia="Arial" w:hAnsi="Arial"/>
                <w:sz w:val="14"/>
                <w:szCs w:val="14"/>
                <w:color w:val="auto"/>
              </w:rPr>
              <w:t>Robert M. Chiusano</w:t>
            </w:r>
          </w:p>
        </w:tc>
        <w:tc>
          <w:tcPr>
            <w:tcW w:w="4100" w:type="dxa"/>
            <w:vAlign w:val="bottom"/>
          </w:tcPr>
          <w:p>
            <w:pPr>
              <w:jc w:val="right"/>
              <w:ind w:right="226"/>
              <w:spacing w:after="0"/>
              <w:rPr>
                <w:sz w:val="20"/>
                <w:szCs w:val="20"/>
                <w:color w:val="auto"/>
              </w:rPr>
            </w:pPr>
            <w:r>
              <w:rPr>
                <w:rFonts w:ascii="Arial" w:cs="Arial" w:eastAsia="Arial" w:hAnsi="Arial"/>
                <w:sz w:val="14"/>
                <w:szCs w:val="14"/>
                <w:color w:val="auto"/>
              </w:rPr>
              <w:t>2,000</w:t>
            </w:r>
          </w:p>
        </w:tc>
        <w:tc>
          <w:tcPr>
            <w:tcW w:w="1520" w:type="dxa"/>
            <w:vAlign w:val="bottom"/>
          </w:tcPr>
          <w:p>
            <w:pPr>
              <w:jc w:val="right"/>
              <w:ind w:right="146"/>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6"/>
              <w:spacing w:after="0"/>
              <w:rPr>
                <w:sz w:val="20"/>
                <w:szCs w:val="20"/>
                <w:color w:val="auto"/>
              </w:rPr>
            </w:pPr>
            <w:r>
              <w:rPr>
                <w:rFonts w:ascii="Arial" w:cs="Arial" w:eastAsia="Arial" w:hAnsi="Arial"/>
                <w:sz w:val="14"/>
                <w:szCs w:val="14"/>
                <w:color w:val="auto"/>
              </w:rPr>
              <w:t>12,980</w:t>
            </w:r>
          </w:p>
        </w:tc>
      </w:tr>
      <w:tr>
        <w:trPr>
          <w:trHeight w:val="27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Jerry N. Currie</w:t>
            </w:r>
          </w:p>
        </w:tc>
        <w:tc>
          <w:tcPr>
            <w:tcW w:w="410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rPr>
              <w:t>7,500</w:t>
            </w:r>
          </w:p>
        </w:tc>
        <w:tc>
          <w:tcPr>
            <w:tcW w:w="152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20,000</w:t>
            </w:r>
          </w:p>
        </w:tc>
        <w:tc>
          <w:tcPr>
            <w:tcW w:w="14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r>
      <w:tr>
        <w:trPr>
          <w:trHeight w:val="264"/>
        </w:trPr>
        <w:tc>
          <w:tcPr>
            <w:tcW w:w="3980" w:type="dxa"/>
            <w:vAlign w:val="bottom"/>
          </w:tcPr>
          <w:p>
            <w:pPr>
              <w:ind w:left="20"/>
              <w:spacing w:after="0"/>
              <w:rPr>
                <w:sz w:val="20"/>
                <w:szCs w:val="20"/>
                <w:color w:val="auto"/>
              </w:rPr>
            </w:pPr>
            <w:r>
              <w:rPr>
                <w:rFonts w:ascii="Arial" w:cs="Arial" w:eastAsia="Arial" w:hAnsi="Arial"/>
                <w:sz w:val="14"/>
                <w:szCs w:val="14"/>
                <w:color w:val="auto"/>
              </w:rPr>
              <w:t>Joseph W. England</w:t>
            </w:r>
          </w:p>
        </w:tc>
        <w:tc>
          <w:tcPr>
            <w:tcW w:w="4100" w:type="dxa"/>
            <w:vAlign w:val="bottom"/>
          </w:tcPr>
          <w:p>
            <w:pPr>
              <w:jc w:val="right"/>
              <w:ind w:right="226"/>
              <w:spacing w:after="0"/>
              <w:rPr>
                <w:sz w:val="20"/>
                <w:szCs w:val="20"/>
                <w:color w:val="auto"/>
              </w:rPr>
            </w:pPr>
            <w:r>
              <w:rPr>
                <w:rFonts w:ascii="Arial" w:cs="Arial" w:eastAsia="Arial" w:hAnsi="Arial"/>
                <w:sz w:val="14"/>
                <w:szCs w:val="14"/>
                <w:color w:val="auto"/>
              </w:rPr>
              <w:t>4,500</w:t>
            </w:r>
          </w:p>
        </w:tc>
        <w:tc>
          <w:tcPr>
            <w:tcW w:w="1520" w:type="dxa"/>
            <w:vAlign w:val="bottom"/>
          </w:tcPr>
          <w:p>
            <w:pPr>
              <w:jc w:val="right"/>
              <w:ind w:right="146"/>
              <w:spacing w:after="0"/>
              <w:rPr>
                <w:sz w:val="20"/>
                <w:szCs w:val="20"/>
                <w:color w:val="auto"/>
              </w:rPr>
            </w:pPr>
            <w:r>
              <w:rPr>
                <w:rFonts w:ascii="Arial" w:cs="Arial" w:eastAsia="Arial" w:hAnsi="Arial"/>
                <w:sz w:val="14"/>
                <w:szCs w:val="14"/>
                <w:color w:val="auto"/>
              </w:rPr>
              <w:t>20,000</w:t>
            </w:r>
          </w:p>
        </w:tc>
        <w:tc>
          <w:tcPr>
            <w:tcW w:w="1460" w:type="dxa"/>
            <w:vAlign w:val="bottom"/>
          </w:tcPr>
          <w:p>
            <w:pPr>
              <w:jc w:val="right"/>
              <w:ind w:right="26"/>
              <w:spacing w:after="0"/>
              <w:rPr>
                <w:sz w:val="20"/>
                <w:szCs w:val="20"/>
                <w:color w:val="auto"/>
              </w:rPr>
            </w:pPr>
            <w:r>
              <w:rPr>
                <w:rFonts w:ascii="Arial" w:cs="Arial" w:eastAsia="Arial" w:hAnsi="Arial"/>
                <w:sz w:val="14"/>
                <w:szCs w:val="14"/>
                <w:color w:val="auto"/>
              </w:rPr>
              <w:t>27,833</w:t>
            </w:r>
          </w:p>
        </w:tc>
      </w:tr>
      <w:tr>
        <w:trPr>
          <w:trHeight w:val="27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Lawrence A. Erickson</w:t>
            </w:r>
          </w:p>
        </w:tc>
        <w:tc>
          <w:tcPr>
            <w:tcW w:w="410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rPr>
              <w:t>4,500</w:t>
            </w:r>
          </w:p>
        </w:tc>
        <w:tc>
          <w:tcPr>
            <w:tcW w:w="152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14,000</w:t>
            </w:r>
          </w:p>
        </w:tc>
        <w:tc>
          <w:tcPr>
            <w:tcW w:w="14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21,663</w:t>
            </w:r>
          </w:p>
        </w:tc>
      </w:tr>
      <w:tr>
        <w:trPr>
          <w:trHeight w:val="264"/>
        </w:trPr>
        <w:tc>
          <w:tcPr>
            <w:tcW w:w="3980" w:type="dxa"/>
            <w:vAlign w:val="bottom"/>
          </w:tcPr>
          <w:p>
            <w:pPr>
              <w:ind w:left="20"/>
              <w:spacing w:after="0"/>
              <w:rPr>
                <w:sz w:val="20"/>
                <w:szCs w:val="20"/>
                <w:color w:val="auto"/>
              </w:rPr>
            </w:pPr>
            <w:r>
              <w:rPr>
                <w:rFonts w:ascii="Arial" w:cs="Arial" w:eastAsia="Arial" w:hAnsi="Arial"/>
                <w:sz w:val="14"/>
                <w:szCs w:val="14"/>
                <w:color w:val="auto"/>
              </w:rPr>
              <w:t>John V. Hanson</w:t>
            </w:r>
          </w:p>
        </w:tc>
        <w:tc>
          <w:tcPr>
            <w:tcW w:w="4100" w:type="dxa"/>
            <w:vAlign w:val="bottom"/>
          </w:tcPr>
          <w:p>
            <w:pPr>
              <w:jc w:val="right"/>
              <w:ind w:right="226"/>
              <w:spacing w:after="0"/>
              <w:rPr>
                <w:sz w:val="20"/>
                <w:szCs w:val="20"/>
                <w:color w:val="auto"/>
              </w:rPr>
            </w:pPr>
            <w:r>
              <w:rPr>
                <w:rFonts w:ascii="Arial" w:cs="Arial" w:eastAsia="Arial" w:hAnsi="Arial"/>
                <w:sz w:val="14"/>
                <w:szCs w:val="14"/>
                <w:color w:val="auto"/>
              </w:rPr>
              <w:t>4,760</w:t>
            </w:r>
          </w:p>
        </w:tc>
        <w:tc>
          <w:tcPr>
            <w:tcW w:w="1520" w:type="dxa"/>
            <w:vAlign w:val="bottom"/>
          </w:tcPr>
          <w:p>
            <w:pPr>
              <w:jc w:val="right"/>
              <w:ind w:right="146"/>
              <w:spacing w:after="0"/>
              <w:rPr>
                <w:sz w:val="20"/>
                <w:szCs w:val="20"/>
                <w:color w:val="auto"/>
              </w:rPr>
            </w:pPr>
            <w:r>
              <w:rPr>
                <w:rFonts w:ascii="Arial" w:cs="Arial" w:eastAsia="Arial" w:hAnsi="Arial"/>
                <w:sz w:val="14"/>
                <w:szCs w:val="14"/>
                <w:color w:val="auto"/>
              </w:rPr>
              <w:t>20,000</w:t>
            </w:r>
          </w:p>
        </w:tc>
        <w:tc>
          <w:tcPr>
            <w:tcW w:w="146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7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Gerald C. Kitch</w:t>
            </w:r>
          </w:p>
        </w:tc>
        <w:tc>
          <w:tcPr>
            <w:tcW w:w="410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rPr>
              <w:t>4,500</w:t>
            </w:r>
          </w:p>
        </w:tc>
        <w:tc>
          <w:tcPr>
            <w:tcW w:w="152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20,000</w:t>
            </w:r>
          </w:p>
        </w:tc>
        <w:tc>
          <w:tcPr>
            <w:tcW w:w="14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42,766</w:t>
            </w:r>
          </w:p>
        </w:tc>
      </w:tr>
    </w:tbl>
    <w:p>
      <w:pPr>
        <w:spacing w:after="0" w:line="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No interest was paid in excess of 120% of the applicable federal long-term rates in effect during Fiscal 2011 under the Directors' Deferred Compensation Plan.</w:t>
      </w:r>
    </w:p>
    <w:p>
      <w:pPr>
        <w:spacing w:after="0" w:line="1" w:lineRule="exact"/>
        <w:rPr>
          <w:rFonts w:ascii="Arial" w:cs="Arial" w:eastAsia="Arial" w:hAnsi="Arial"/>
          <w:sz w:val="13"/>
          <w:szCs w:val="13"/>
          <w:color w:val="auto"/>
        </w:rPr>
      </w:pPr>
    </w:p>
    <w:p>
      <w:pPr>
        <w:ind w:left="340" w:right="40" w:hanging="332"/>
        <w:spacing w:after="0" w:line="24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This amount includes a matching Company contribution equal to 25% of the cash retainer and fees that are deferred in Winnebago Stock Units at the election of directors Aal, Chiusano, England, Erickson and Kitch and are accrued under the Directors' Deferred Compensation Plan. The Winnebago Stock Units are to be settled 100% in Common Stock upon the earliest of the following events: director's termination of service, death or disability or a “change of control" the Company, as defined in said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None of the directors received perquisites and other personal benefits in an aggregate amount of $10,000 or more.</w:t>
      </w:r>
    </w:p>
    <w:p>
      <w:pPr>
        <w:spacing w:after="0" w:line="21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either 50 or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from the Company equal to 25 percent of the Deferred Compensation so invested, which will be credited to the Participant's account and invested in Winnebago Stock Units.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matching contribution to a Participant's Winnebago Stock Unit account will vest on a graduated basis at the rate of 33-1/3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2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percent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 The directors, however, do not have any rights in or against any shares of Common Stock credited to their account.</w:t>
      </w:r>
    </w:p>
    <w:p>
      <w:pPr>
        <w:spacing w:after="0" w:line="7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Unless terminated earlier by the Board of Directors, the Directors' Deferred Compensation Plan terminates on June 30, 2013.</w:t>
      </w:r>
    </w:p>
    <w:p>
      <w:pPr>
        <w:spacing w:after="0" w:line="8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2004 Plan provides that Non-Employee Directors may receive “Stock Awards,” “Performance Awards” or “Non-qualified Stock Options” each as defined under the 2004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2004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5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i w:val="1"/>
          <w:iCs w:val="1"/>
          <w:color w:val="auto"/>
        </w:rPr>
        <w:t xml:space="preserve">Director Stock Ownership Guidelines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Corporate Governance Policy states that Non-Employee Directors have guidelines encouraging ownership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Stock Units or other equity equivalents equal in aggregate value to 250 percent of their annual director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III directors (Messrs. John V. Hanson, Gerald C. Kitch, and Robert J. Olson) will expire, and three persons will be elected to serve in that class until the annual meeting following our Fiscal Year 2014 or until their respective successors is elected. The terms of office of the Class I and Class II directors will expire at the annual meetings following our Fiscal Years 2012 and 2013, respectively. Each of our directors and director nominees currently serves as a director or executive officer of the Company, except for Mr. Mark T. Schroepfer, who was recommended for nomination by a non-Management member of the Board.</w:t>
      </w:r>
    </w:p>
    <w:p>
      <w:pPr>
        <w:spacing w:after="0" w:line="17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At a meeting of the Board of Directors held on June 21, 2011, John V. Hanson and Gerald C. Kitch each notified the Company of his respective decision not to stand for re-election as a Class III director and to retire from the Board, effective as of the date of the Annual Meeting. Subsequently, on October 12, 2011, Joseph W. England submitted his resignation from the Board due to health reasons, to be effective on December 14, 2011. The Board has expressed its intention to appoint Mr. Kitch and Mr. Kitch has agreed to complete the unexpired portion of Mr. England's term as a Class I director beginning at its meeting on December 14, 2011. We thank Mr. Hanson and Mr. England for their service, contributions and leadership throughout their tenure as directors and, in the case of Mr. Hanson, for his many years of prior service as an officer of the Company.</w:t>
      </w:r>
    </w:p>
    <w:p>
      <w:pPr>
        <w:spacing w:after="0" w:line="15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Mr. Hanson, 69, has been a director since 1996, and also served as a director from 1967 to 1979 and from 1985 to 1989. Mr. Hanson is a former Deputy Chairman of the Board of Directors of Winnebago Industries and previously held numerous executive and management positions within the Company over many years. Based primarily upon Mr. Hanson's long-term experience and knowledge of Winnebago Industries, its business operations and work culture, his contributions to and insights of the recreational vehicle industry as a whole, his extensive executive management and leadership experience as the former Deputy Chairman of the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Board of Directors of the Company, and his tenure and contributions as a current Board and Board committee member, the Board concluded that Mr. Hanson should serve as a director of Winnebago Industries at the time this Proxy Statement is filed with the SEC.</w:t>
      </w:r>
    </w:p>
    <w:p>
      <w:pPr>
        <w:spacing w:after="0" w:line="142"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Mr. Kitch, 73, has been a director since 1996. Mr. Kitch is a former Executive Vice President of Pentair, Inc., a diversified operating company. He currently serves as our Lead Director as selected by the Non-Employee Directors. Based primarily upon Mr. Kitch's significant experiences gained in executive management positions and his specific skills and knowledge of acquisitions, diversification and operational management, his leadership experiences as a former Executive Vice President of a diversified manufacturing company, and his tenure and contributions as a current Board and Board committee member, the Board concluded that Mr. Kitch should serve as a director of Winnebago Industries at the time this Proxy Statement is filed with the SEC.</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III Directors to be Elected to Serve Until the Annual Meeting Following Fiscal Year 2014:</w:t>
      </w:r>
    </w:p>
    <w:p>
      <w:pPr>
        <w:spacing w:after="0" w:line="194" w:lineRule="exact"/>
        <w:rPr>
          <w:sz w:val="20"/>
          <w:szCs w:val="20"/>
          <w:color w:val="auto"/>
        </w:rPr>
      </w:pPr>
    </w:p>
    <w:p>
      <w:pPr>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Robert J. Olson</w:t>
      </w:r>
      <w:r>
        <w:rPr>
          <w:rFonts w:ascii="Arial" w:cs="Arial" w:eastAsia="Arial" w:hAnsi="Arial"/>
          <w:sz w:val="16"/>
          <w:szCs w:val="16"/>
          <w:color w:val="auto"/>
        </w:rPr>
        <w:t>, 60, has been a director since 2008. Mr. Olson currently serves as Chairman of the Board of Winnebago Industries and has served in that</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since May 2008. Previously he served as CEO (from May 2008 to June 2011), President (from May 2007 to January 2011), Vice President - Manufacturing (from August 1996 to January 2006) and numerous other positions within Winnebago Industries since his initial employment commenced in 1969. Based primarily upon Mr. Olson's extensive knowledge of Winnebago Industries and experiences gained as a result of his over 36 years in various management positions at Winnebago Industries, his specific skills in strategic planning, financial operations, manufacturing and administration, his industry-wide contributions as a member of the Executive Committee of the Recreation Vehicle Industry Association Board of Directors and Co-Chairman of the Go RVing coalition, and his tenure and contributions as a current Board member and as current Chairman, the Board concluded that Mr. Olson should serve as a director of Winnebago Industries at the time this Proxy Statement is filed with the SEC.</w:t>
      </w:r>
    </w:p>
    <w:p>
      <w:pPr>
        <w:spacing w:after="0" w:line="156" w:lineRule="exact"/>
        <w:rPr>
          <w:rFonts w:ascii="Arial" w:cs="Arial" w:eastAsia="Arial" w:hAnsi="Arial"/>
          <w:sz w:val="16"/>
          <w:szCs w:val="16"/>
          <w:color w:val="auto"/>
        </w:rPr>
      </w:pPr>
    </w:p>
    <w:p>
      <w:pPr>
        <w:ind w:left="340" w:right="120" w:hanging="332"/>
        <w:spacing w:after="0" w:line="254"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Randy J. Potts</w:t>
      </w:r>
      <w:r>
        <w:rPr>
          <w:rFonts w:ascii="Arial" w:cs="Arial" w:eastAsia="Arial" w:hAnsi="Arial"/>
          <w:sz w:val="16"/>
          <w:szCs w:val="16"/>
          <w:color w:val="auto"/>
        </w:rPr>
        <w:t>, 52, CEO (since June 2011) and President (since January 2011) of Winnebago Industries, has not previously served as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 served as Senior Vice President - Strategic Planning (from November 2009 to January 2011), Vice President - Manufacturing (from 2006 to 2009), and various engineering and management positions within Winnebago Industries since his initial employment commenced in 1983. Based on Mr. Potts' extensive knowledge of Winnebago Industries and experiences gained as a result of his over 25 years in various management positions at Winnebago Industries, his specific skills in strategic planning, financial operations, engineering, manufacturing and administration, the Board concluded that Mr. Potts should serve as a director of Winnebago Industries at the time this Proxy Statement is filed with the SEC.</w:t>
      </w:r>
    </w:p>
    <w:p>
      <w:pPr>
        <w:spacing w:after="0" w:line="155" w:lineRule="exact"/>
        <w:rPr>
          <w:rFonts w:ascii="Arial" w:cs="Arial" w:eastAsia="Arial" w:hAnsi="Arial"/>
          <w:sz w:val="16"/>
          <w:szCs w:val="16"/>
          <w:color w:val="auto"/>
        </w:rPr>
      </w:pPr>
    </w:p>
    <w:p>
      <w:pPr>
        <w:ind w:left="340" w:right="20" w:hanging="332"/>
        <w:spacing w:after="0" w:line="25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Mark T. Schroepfer</w:t>
      </w:r>
      <w:r>
        <w:rPr>
          <w:rFonts w:ascii="Arial" w:cs="Arial" w:eastAsia="Arial" w:hAnsi="Arial"/>
          <w:sz w:val="16"/>
          <w:szCs w:val="16"/>
          <w:color w:val="auto"/>
        </w:rPr>
        <w:t>, 64, has not previously served as a director. Mr. Schroepfer served as President, CEO, and Chairman of Lincoln Industrial Corp, a</w:t>
      </w:r>
      <w:r>
        <w:rPr>
          <w:rFonts w:ascii="Arial" w:cs="Arial" w:eastAsia="Arial" w:hAnsi="Arial"/>
          <w:sz w:val="16"/>
          <w:szCs w:val="16"/>
          <w:b w:val="1"/>
          <w:bCs w:val="1"/>
          <w:color w:val="auto"/>
        </w:rPr>
        <w:t xml:space="preserve"> </w:t>
      </w:r>
      <w:r>
        <w:rPr>
          <w:rFonts w:ascii="Arial" w:cs="Arial" w:eastAsia="Arial" w:hAnsi="Arial"/>
          <w:sz w:val="16"/>
          <w:szCs w:val="16"/>
          <w:color w:val="auto"/>
        </w:rPr>
        <w:t>world leading designer and supplier of highly engineered lubrication systems from 1996 to 2005. From 1987 to 1995, Mr. Schroepfer served as Vice President of Finance and MIS, Corporate Controller, and President of Penwald Insurance Company. Based upon Mr. Schroepfer's significant skills and experience in manufacturing and financial operations and his leadership experience, the Board concluded that Mr. Schroepfer should serve as a director of Winnebago Industries at the time this Proxy Statement is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Governance Committee recommended, and the Board approved, the nomination of each person above.</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III director nominees (Messrs. Olson, Potts or Schroepfer) who, for any reason currently unknown, cannot be a candidate for election. The shares represented by proxy will be voted for the election as directors of these Class III directors named above if no direction is made otherwise. Please refer to “Voting Securities and Principal Holders Thereof” herein with respect to beneficial ownership of our Common Stock for each of our directors and nominees for director.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Whose Terms Expire at the Annual Meeting Following Fiscal Year 2012:</w:t>
      </w:r>
    </w:p>
    <w:p>
      <w:pPr>
        <w:spacing w:after="0" w:line="194" w:lineRule="exact"/>
        <w:rPr>
          <w:sz w:val="20"/>
          <w:szCs w:val="20"/>
          <w:color w:val="auto"/>
        </w:rPr>
      </w:pPr>
    </w:p>
    <w:p>
      <w:pPr>
        <w:ind w:left="340" w:right="120" w:hanging="332"/>
        <w:spacing w:after="0" w:line="254"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Irvin E. Aal</w:t>
      </w:r>
      <w:r>
        <w:rPr>
          <w:rFonts w:ascii="Arial" w:cs="Arial" w:eastAsia="Arial" w:hAnsi="Arial"/>
          <w:sz w:val="16"/>
          <w:szCs w:val="16"/>
          <w:color w:val="auto"/>
        </w:rPr>
        <w:t>, 72, has been a director since 2004. Mr. Aal is a former General Manager of the Case Tyler Business of CNH Global and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manufacturer of banded application business equipment. He is also the previous President and CEO of Tyler Industries, a privately owned specialized agricultural equipment manufacturing company. Based primarily upon Mr. Aal's significant skills and experience in manufacturing operations, sales and marketing, his leadership experience as a former President and Chief Executive Officer of an agricultural equipment manufacturer and General Manager of a global business equipment manufacturer, and his tenure and contributions as a current Board and Board committee member, the Board concluded that Mr. Aal should serve as a director of Winnebago Industries at the time this Proxy Statement is filed with the SEC.</w:t>
      </w:r>
    </w:p>
    <w:p>
      <w:pPr>
        <w:spacing w:after="0" w:line="155" w:lineRule="exact"/>
        <w:rPr>
          <w:rFonts w:ascii="Arial" w:cs="Arial" w:eastAsia="Arial" w:hAnsi="Arial"/>
          <w:sz w:val="16"/>
          <w:szCs w:val="16"/>
          <w:color w:val="auto"/>
        </w:rPr>
      </w:pPr>
    </w:p>
    <w:p>
      <w:pPr>
        <w:ind w:left="340" w:right="160" w:hanging="332"/>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Joseph W. England</w:t>
      </w:r>
      <w:r>
        <w:rPr>
          <w:rFonts w:ascii="Arial" w:cs="Arial" w:eastAsia="Arial" w:hAnsi="Arial"/>
          <w:sz w:val="16"/>
          <w:szCs w:val="16"/>
          <w:color w:val="auto"/>
        </w:rPr>
        <w:t>, 71, has been a director since 2001. Mr. England is a former Senior Vice President - Accounting - Control of Deere and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mobile power equipment manufacturer. In addition, Mr. England has served as a director of First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160"/>
        <w:spacing w:after="0" w:line="339" w:lineRule="auto"/>
        <w:rPr>
          <w:sz w:val="20"/>
          <w:szCs w:val="20"/>
          <w:color w:val="auto"/>
        </w:rPr>
      </w:pPr>
      <w:r>
        <w:rPr>
          <w:rFonts w:ascii="Arial" w:cs="Arial" w:eastAsia="Arial" w:hAnsi="Arial"/>
          <w:sz w:val="16"/>
          <w:szCs w:val="16"/>
          <w:color w:val="auto"/>
        </w:rPr>
        <w:t>Midwest Bancorp, Inc. since 1986. Based primarily upon Mr. England's significant experience in the areas of finance, accounting and public company audits, his leadership experience as a former Vice President-Accounting-Control at a mobile power equipment manufacturer, his experience as a director at another public company, and his tenure and contributions as a current Board and Board committee member, the Board concluded that Mr. England should serve as a director of Winnebago Industries at the time this Proxy Statement is filed with the SEC.</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described above, Mr. England has resigned from the Board effective December 14, 2011. The Board has expressed its intention to appoint Mr. Kitch to serve the remainder of Mr. England's term as a Class I director.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Whose Terms Expire at the Annual Meeting Following Fiscal Year 2013:</w:t>
      </w:r>
    </w:p>
    <w:p>
      <w:pPr>
        <w:spacing w:after="0" w:line="194" w:lineRule="exact"/>
        <w:rPr>
          <w:sz w:val="20"/>
          <w:szCs w:val="20"/>
          <w:color w:val="auto"/>
        </w:rPr>
      </w:pPr>
    </w:p>
    <w:p>
      <w:pPr>
        <w:ind w:left="340" w:right="60" w:hanging="332"/>
        <w:spacing w:after="0" w:line="25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60, has been a director since 2008. Mr. Chiusano is currently a principal of RMC Consulting, a company focused on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operational excellence. Additionally, Mr. Chiusano is a former Executive Vice President and Special Assistant to the CEO and a former Executive Vice President and Chief Operating Officer - Commercial Systems of Rockwell Collins, Inc., a provider of communication and aviation electronic solutions for commercial and military applications.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serve as a director of Winnebago Industries at the time this Proxy Statement is filed with the SEC.</w:t>
      </w:r>
    </w:p>
    <w:p>
      <w:pPr>
        <w:spacing w:after="0" w:line="156" w:lineRule="exact"/>
        <w:rPr>
          <w:rFonts w:ascii="Arial" w:cs="Arial" w:eastAsia="Arial" w:hAnsi="Arial"/>
          <w:sz w:val="16"/>
          <w:szCs w:val="16"/>
          <w:color w:val="auto"/>
        </w:rPr>
      </w:pPr>
    </w:p>
    <w:p>
      <w:pPr>
        <w:ind w:left="340" w:right="40" w:hanging="332"/>
        <w:spacing w:after="0" w:line="25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Jerry N. Currie</w:t>
      </w:r>
      <w:r>
        <w:rPr>
          <w:rFonts w:ascii="Arial" w:cs="Arial" w:eastAsia="Arial" w:hAnsi="Arial"/>
          <w:sz w:val="16"/>
          <w:szCs w:val="16"/>
          <w:color w:val="auto"/>
        </w:rPr>
        <w:t>, 66, has been a director since 1996. Mr. Currie is currently President and CEO of CURRIES Company, a manufacturer of steel doors and</w:t>
      </w:r>
      <w:r>
        <w:rPr>
          <w:rFonts w:ascii="Arial" w:cs="Arial" w:eastAsia="Arial" w:hAnsi="Arial"/>
          <w:sz w:val="16"/>
          <w:szCs w:val="16"/>
          <w:b w:val="1"/>
          <w:bCs w:val="1"/>
          <w:color w:val="auto"/>
        </w:rPr>
        <w:t xml:space="preserve"> </w:t>
      </w:r>
      <w:r>
        <w:rPr>
          <w:rFonts w:ascii="Arial" w:cs="Arial" w:eastAsia="Arial" w:hAnsi="Arial"/>
          <w:sz w:val="16"/>
          <w:szCs w:val="16"/>
          <w:color w:val="auto"/>
        </w:rPr>
        <w:t>frames for the nonresidential construction industry. CURRIES Company is owned by ASSA ABLOY, a global leader in door opening solutions. Based primarily upon Mr. Currie's significant experiences gained in manufacturing management and operations, his leadership experiences as the current President and CEO at manufacturing companies, and his tenure and contributions as a current Board and Board committee member, the Board concluded that Mr. Currie should serve as a director of Winnebago Industries at the time this Proxy Statement is filed with the SEC.</w:t>
      </w:r>
    </w:p>
    <w:p>
      <w:pPr>
        <w:spacing w:after="0" w:line="153" w:lineRule="exact"/>
        <w:rPr>
          <w:rFonts w:ascii="Arial" w:cs="Arial" w:eastAsia="Arial" w:hAnsi="Arial"/>
          <w:sz w:val="16"/>
          <w:szCs w:val="16"/>
          <w:color w:val="auto"/>
        </w:rPr>
      </w:pPr>
    </w:p>
    <w:p>
      <w:pPr>
        <w:ind w:left="340" w:right="60" w:hanging="332"/>
        <w:spacing w:after="0" w:line="25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Lawrence A. Erickson</w:t>
      </w:r>
      <w:r>
        <w:rPr>
          <w:rFonts w:ascii="Arial" w:cs="Arial" w:eastAsia="Arial" w:hAnsi="Arial"/>
          <w:sz w:val="16"/>
          <w:szCs w:val="16"/>
          <w:color w:val="auto"/>
        </w:rPr>
        <w:t>, 62, has been a director since 2005. Mr. Erickson is a former Senior Vice President and CFO of Rockwell Collins, Inc. Based</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upon Mr. Erickson's significant experience in the areas of finance, accounting and auditing with public companies, his leadership experiences as a former Senior Vice President and CFO at a communications and aviation electronics manufacturer, and his tenure and contributions as a current Board and Board committee member, the Board concluded that Mr. Erickson should serve as a director of Winnebago Industries at the time this Proxy Statement is filed with the SEC.</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success has been and will be dependent on, among other things, our ability to attract, retain, motivate and reward the best talent available to us, including the employees identified in this Proxy Statement. The following provides an overview of the more detailed disclosure set forth in this section.</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 Annual and long-term operational and strategic goals identified by Management and approved by the Human Resources Committee of the Board of Directors (the “Committee”) are the foundation for the performance measurements used to determine annual and long-term incentive payouts to our executive officers.</w:t>
      </w:r>
    </w:p>
    <w:p>
      <w:pPr>
        <w:spacing w:after="0" w:line="17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Beginning in Fiscal 2009, we experienced economic conditions that were unprecedented within the history of the recreational vehicle industry. The decline in the U.S. economy during this period resulted in the demand for recreational vehicles reaching historically low levels. The recreational vehicle industry, and specifically the motor home market, has continued to be challenged, demonstrating only slight improvement during Fiscal 2010 and in Fiscal 2011. In direct response to the negative economic conditions affecting the broader U.S. economy and our economic performance during Fiscal 2009 and 2010, we initiated numerous cost reductions which were substantially continued through Fiscal 2011, including certain actions directly related to executive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compensation. These compensation-related cost reductions, as more fully discussed in the “Compensation Discussion and Analysis” section below, include:</w:t>
      </w:r>
    </w:p>
    <w:p>
      <w:pPr>
        <w:spacing w:after="0" w:line="19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elimination of annual merit-based salary increases for all salaried employees including executive officers;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substantial reduction of the base salary payable to executive officers, effective March 2009 continued through the first half of Fiscal 2011;</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reduced level of 401(k) company matching contributions for all participants, including executive officers;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payments made under our annual and long-term incentive compensation plans.</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However, in order to effectively retain, incentivize and further align the interests of Management and the shareholders, we restored the base salary levels of all salaried employees, including executive officers, effective February 28, 2011, to the base salary levels that were in effect prior to March 2009. Certain additional base salary adjustments for Named Executive Officers were also made during Fiscal 2011 as a result of increased responsibility and promotion. In addition, restricted stock awards were granted to our key employees on March 23, 2011. No restricted stock awards had been granted since October 2007.</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2011. Although we remain subject to the economic environment negatively affecting the recreational vehicle industry, we are determined to provide adequate compensation programs necessary to retain and motivate our executives to implement strategic initiatives we believe are necessary to increase shareholder value and maintain consistent profitability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Named Executive Officers. The following individuals are our Named Executive Officers for Fiscal 2011:</w:t>
      </w:r>
    </w:p>
    <w:p>
      <w:pPr>
        <w:spacing w:after="0" w:line="16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Robert J. Olson, Chairman of the Board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Randy J. Potts, CEO and President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Raymond M. Beebe, Vice President, General Counsel and Secretary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Roger W. Martin, Vice President, Sales and Marketing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Sarah N. Nielsen, Vice President, CFO</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William J. O'Leary, Vice President, Product Development</w:t>
      </w:r>
    </w:p>
    <w:p>
      <w:pPr>
        <w:spacing w:after="0" w:line="14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 discharging the Board's responsibilities relating to the compensation of the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for approving and evaluating all compensation of Named Executive Officers, including salaries, bonuses, compensation plans and policies, and other incentive programs. The Committee members are all independent directors.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invited to attend the Committee meetings. In addition, others in regular attendance at the Committee meeting typically include the Chairman, the CEO and the Vice President, Administration.</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The Committee believes that the most effective compensation program is one that is designed to reward the achievement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Named Executive Officers, should include both cash and stock-based compensation that reward performance as measured against established goals.</w:t>
      </w:r>
    </w:p>
    <w:p>
      <w:pPr>
        <w:spacing w:after="0" w:line="128"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 design the current executive compensation programs, following the belief that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should reflect the value created for the shareholders while furthering our strategic goals. In doing so, we instituted our compensation programs to achieve the following goals:</w:t>
      </w:r>
    </w:p>
    <w:p>
      <w:pPr>
        <w:spacing w:after="0" w:line="13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6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These objectives emphasize pay for performance by providing an incentive opportunity for at or above average performance. In accordance with these compensation objectives, the Named Executive Officers received no incentive compensation as a result of our economic performance in Fiscal 2011.</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141" w:right="27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 Committee, at times, compares certain elements of total compensation against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publicly traded and privately held companies in the same or related industry as ours, described below as the “Consultant Industry Group” and the “Proxy Industry Group” (collectively, the “Compensation Peers”).</w:t>
      </w:r>
    </w:p>
    <w:p>
      <w:pPr>
        <w:spacing w:after="0" w:line="16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Committee has the sole authority to retain or terminate any compensation consultant used in the evaluation of compensation packages and has the sole authority to approve the consultant's fees. In Fiscal 2007, the Committee engaged an outside compensation consultant, Towers Watson (formerly Towers Perrin) (the “Consultant”), to conduct an analysis of the total compensation paid to our key executives, compared to companies of two comparative groups to which we may compete for talent (hereinafter, the “2007 Compensation Analysis”). The Consultant was retained by the Board and has not performed any services for Management.</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Consultant maintains a proprietary executive compensation database that contains information on the various compensation elements of over 500 publicly traded and privately held companies across several industries (the “General Consultant Database”). The Committee reviewed compensation information contained in the General Consultant Database and, in Fiscal 2007, additionally requested the Consultant to prepare compensation data from two comparator groups of companies that the Committee believed are more reflective of the market in which we compete for executive talent.</w:t>
      </w:r>
    </w:p>
    <w:p>
      <w:pPr>
        <w:spacing w:after="0" w:line="18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First, after examining the list of companies in the General Consultant Database, the Committee and Consultant formulated a group of companies found in the General Consultant Database that consisted of public and private companies generally considered to be in the same or related industry as ours, to include the following (the “Consultant Industry Group”):</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880" w:type="dxa"/>
            <w:vAlign w:val="bottom"/>
          </w:tcPr>
          <w:p>
            <w:pPr>
              <w:spacing w:after="0"/>
              <w:rPr>
                <w:sz w:val="20"/>
                <w:szCs w:val="20"/>
                <w:color w:val="auto"/>
              </w:rPr>
            </w:pPr>
            <w:r>
              <w:rPr>
                <w:rFonts w:ascii="Arial" w:cs="Arial" w:eastAsia="Arial" w:hAnsi="Arial"/>
                <w:sz w:val="16"/>
                <w:szCs w:val="16"/>
                <w:color w:val="auto"/>
              </w:rPr>
              <w:t>American Transmission Co.</w:t>
            </w:r>
          </w:p>
        </w:tc>
        <w:tc>
          <w:tcPr>
            <w:tcW w:w="3500" w:type="dxa"/>
            <w:vAlign w:val="bottom"/>
          </w:tcPr>
          <w:p>
            <w:pPr>
              <w:ind w:left="540"/>
              <w:spacing w:after="0"/>
              <w:rPr>
                <w:sz w:val="20"/>
                <w:szCs w:val="20"/>
                <w:color w:val="auto"/>
              </w:rPr>
            </w:pPr>
            <w:r>
              <w:rPr>
                <w:rFonts w:ascii="Arial" w:cs="Arial" w:eastAsia="Arial" w:hAnsi="Arial"/>
                <w:sz w:val="16"/>
                <w:szCs w:val="16"/>
                <w:color w:val="auto"/>
              </w:rPr>
              <w:t>Freightliner, LLC</w:t>
            </w:r>
          </w:p>
        </w:tc>
        <w:tc>
          <w:tcPr>
            <w:tcW w:w="2440" w:type="dxa"/>
            <w:vAlign w:val="bottom"/>
          </w:tcPr>
          <w:p>
            <w:pPr>
              <w:ind w:left="460"/>
              <w:spacing w:after="0"/>
              <w:rPr>
                <w:sz w:val="20"/>
                <w:szCs w:val="20"/>
                <w:color w:val="auto"/>
              </w:rPr>
            </w:pPr>
            <w:r>
              <w:rPr>
                <w:rFonts w:ascii="Arial" w:cs="Arial" w:eastAsia="Arial" w:hAnsi="Arial"/>
                <w:sz w:val="16"/>
                <w:szCs w:val="16"/>
                <w:color w:val="auto"/>
              </w:rPr>
              <w:t>Milacron Inc.</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AMETEK, Inc.</w:t>
            </w:r>
          </w:p>
        </w:tc>
        <w:tc>
          <w:tcPr>
            <w:tcW w:w="3500" w:type="dxa"/>
            <w:vAlign w:val="bottom"/>
          </w:tcPr>
          <w:p>
            <w:pPr>
              <w:ind w:left="540"/>
              <w:spacing w:after="0"/>
              <w:rPr>
                <w:sz w:val="20"/>
                <w:szCs w:val="20"/>
                <w:color w:val="auto"/>
              </w:rPr>
            </w:pPr>
            <w:r>
              <w:rPr>
                <w:rFonts w:ascii="Arial" w:cs="Arial" w:eastAsia="Arial" w:hAnsi="Arial"/>
                <w:sz w:val="16"/>
                <w:szCs w:val="16"/>
                <w:color w:val="auto"/>
              </w:rPr>
              <w:t>Harley-Davidson, Inc.</w:t>
            </w:r>
          </w:p>
        </w:tc>
        <w:tc>
          <w:tcPr>
            <w:tcW w:w="2440" w:type="dxa"/>
            <w:vAlign w:val="bottom"/>
          </w:tcPr>
          <w:p>
            <w:pPr>
              <w:ind w:left="460"/>
              <w:spacing w:after="0"/>
              <w:rPr>
                <w:sz w:val="20"/>
                <w:szCs w:val="20"/>
                <w:color w:val="auto"/>
              </w:rPr>
            </w:pPr>
            <w:r>
              <w:rPr>
                <w:rFonts w:ascii="Arial" w:cs="Arial" w:eastAsia="Arial" w:hAnsi="Arial"/>
                <w:sz w:val="16"/>
                <w:szCs w:val="16"/>
                <w:color w:val="auto"/>
              </w:rPr>
              <w:t>Modine Manufacturing Co.</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Arctic Cat, Inc.</w:t>
            </w:r>
          </w:p>
        </w:tc>
        <w:tc>
          <w:tcPr>
            <w:tcW w:w="3500" w:type="dxa"/>
            <w:vAlign w:val="bottom"/>
          </w:tcPr>
          <w:p>
            <w:pPr>
              <w:ind w:left="540"/>
              <w:spacing w:after="0"/>
              <w:rPr>
                <w:sz w:val="20"/>
                <w:szCs w:val="20"/>
                <w:color w:val="auto"/>
              </w:rPr>
            </w:pPr>
            <w:r>
              <w:rPr>
                <w:rFonts w:ascii="Arial" w:cs="Arial" w:eastAsia="Arial" w:hAnsi="Arial"/>
                <w:sz w:val="16"/>
                <w:szCs w:val="16"/>
                <w:color w:val="auto"/>
              </w:rPr>
              <w:t>Harsco Corporation</w:t>
            </w:r>
          </w:p>
        </w:tc>
        <w:tc>
          <w:tcPr>
            <w:tcW w:w="2440" w:type="dxa"/>
            <w:vAlign w:val="bottom"/>
          </w:tcPr>
          <w:p>
            <w:pPr>
              <w:ind w:left="460"/>
              <w:spacing w:after="0"/>
              <w:rPr>
                <w:sz w:val="20"/>
                <w:szCs w:val="20"/>
                <w:color w:val="auto"/>
              </w:rPr>
            </w:pPr>
            <w:r>
              <w:rPr>
                <w:rFonts w:ascii="Arial" w:cs="Arial" w:eastAsia="Arial" w:hAnsi="Arial"/>
                <w:sz w:val="16"/>
                <w:szCs w:val="16"/>
                <w:color w:val="auto"/>
              </w:rPr>
              <w:t>Molex Incorporated</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ArvinMeritor, Inc.</w:t>
            </w:r>
          </w:p>
        </w:tc>
        <w:tc>
          <w:tcPr>
            <w:tcW w:w="3500" w:type="dxa"/>
            <w:vAlign w:val="bottom"/>
          </w:tcPr>
          <w:p>
            <w:pPr>
              <w:ind w:left="540"/>
              <w:spacing w:after="0"/>
              <w:rPr>
                <w:sz w:val="20"/>
                <w:szCs w:val="20"/>
                <w:color w:val="auto"/>
              </w:rPr>
            </w:pPr>
            <w:r>
              <w:rPr>
                <w:rFonts w:ascii="Arial" w:cs="Arial" w:eastAsia="Arial" w:hAnsi="Arial"/>
                <w:sz w:val="16"/>
                <w:szCs w:val="16"/>
                <w:color w:val="auto"/>
              </w:rPr>
              <w:t>Herman Miller, Inc.</w:t>
            </w:r>
          </w:p>
        </w:tc>
        <w:tc>
          <w:tcPr>
            <w:tcW w:w="2440" w:type="dxa"/>
            <w:vAlign w:val="bottom"/>
          </w:tcPr>
          <w:p>
            <w:pPr>
              <w:ind w:left="460"/>
              <w:spacing w:after="0"/>
              <w:rPr>
                <w:sz w:val="20"/>
                <w:szCs w:val="20"/>
                <w:color w:val="auto"/>
              </w:rPr>
            </w:pPr>
            <w:r>
              <w:rPr>
                <w:rFonts w:ascii="Arial" w:cs="Arial" w:eastAsia="Arial" w:hAnsi="Arial"/>
                <w:sz w:val="16"/>
                <w:szCs w:val="16"/>
                <w:color w:val="auto"/>
              </w:rPr>
              <w:t>Monaco Coach Corporation</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AutoZone, Inc.</w:t>
            </w:r>
          </w:p>
        </w:tc>
        <w:tc>
          <w:tcPr>
            <w:tcW w:w="3500" w:type="dxa"/>
            <w:vAlign w:val="bottom"/>
          </w:tcPr>
          <w:p>
            <w:pPr>
              <w:ind w:left="540"/>
              <w:spacing w:after="0"/>
              <w:rPr>
                <w:sz w:val="20"/>
                <w:szCs w:val="20"/>
                <w:color w:val="auto"/>
              </w:rPr>
            </w:pPr>
            <w:r>
              <w:rPr>
                <w:rFonts w:ascii="Arial" w:cs="Arial" w:eastAsia="Arial" w:hAnsi="Arial"/>
                <w:sz w:val="16"/>
                <w:szCs w:val="16"/>
                <w:color w:val="auto"/>
              </w:rPr>
              <w:t>HNI Corporation</w:t>
            </w:r>
          </w:p>
        </w:tc>
        <w:tc>
          <w:tcPr>
            <w:tcW w:w="2440" w:type="dxa"/>
            <w:vAlign w:val="bottom"/>
          </w:tcPr>
          <w:p>
            <w:pPr>
              <w:ind w:left="460"/>
              <w:spacing w:after="0"/>
              <w:rPr>
                <w:sz w:val="20"/>
                <w:szCs w:val="20"/>
                <w:color w:val="auto"/>
              </w:rPr>
            </w:pPr>
            <w:r>
              <w:rPr>
                <w:rFonts w:ascii="Arial" w:cs="Arial" w:eastAsia="Arial" w:hAnsi="Arial"/>
                <w:sz w:val="16"/>
                <w:szCs w:val="16"/>
                <w:color w:val="auto"/>
              </w:rPr>
              <w:t>Regal-Beloit Corporation</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Barnes Group, Inc.</w:t>
            </w:r>
          </w:p>
        </w:tc>
        <w:tc>
          <w:tcPr>
            <w:tcW w:w="3500" w:type="dxa"/>
            <w:vAlign w:val="bottom"/>
          </w:tcPr>
          <w:p>
            <w:pPr>
              <w:ind w:left="540"/>
              <w:spacing w:after="0"/>
              <w:rPr>
                <w:sz w:val="20"/>
                <w:szCs w:val="20"/>
                <w:color w:val="auto"/>
              </w:rPr>
            </w:pPr>
            <w:r>
              <w:rPr>
                <w:rFonts w:ascii="Arial" w:cs="Arial" w:eastAsia="Arial" w:hAnsi="Arial"/>
                <w:sz w:val="16"/>
                <w:szCs w:val="16"/>
                <w:color w:val="auto"/>
              </w:rPr>
              <w:t>IDEX Corporation</w:t>
            </w:r>
          </w:p>
        </w:tc>
        <w:tc>
          <w:tcPr>
            <w:tcW w:w="2440" w:type="dxa"/>
            <w:vAlign w:val="bottom"/>
          </w:tcPr>
          <w:p>
            <w:pPr>
              <w:ind w:left="460"/>
              <w:spacing w:after="0"/>
              <w:rPr>
                <w:sz w:val="20"/>
                <w:szCs w:val="20"/>
                <w:color w:val="auto"/>
              </w:rPr>
            </w:pPr>
            <w:r>
              <w:rPr>
                <w:rFonts w:ascii="Arial" w:cs="Arial" w:eastAsia="Arial" w:hAnsi="Arial"/>
                <w:sz w:val="16"/>
                <w:szCs w:val="16"/>
                <w:color w:val="auto"/>
              </w:rPr>
              <w:t>Robert Bosch GmbH</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Black &amp; Decker Corporation</w:t>
            </w:r>
          </w:p>
        </w:tc>
        <w:tc>
          <w:tcPr>
            <w:tcW w:w="3500" w:type="dxa"/>
            <w:vAlign w:val="bottom"/>
          </w:tcPr>
          <w:p>
            <w:pPr>
              <w:ind w:left="540"/>
              <w:spacing w:after="0"/>
              <w:rPr>
                <w:sz w:val="20"/>
                <w:szCs w:val="20"/>
                <w:color w:val="auto"/>
              </w:rPr>
            </w:pPr>
            <w:r>
              <w:rPr>
                <w:rFonts w:ascii="Arial" w:cs="Arial" w:eastAsia="Arial" w:hAnsi="Arial"/>
                <w:sz w:val="16"/>
                <w:szCs w:val="16"/>
                <w:color w:val="auto"/>
              </w:rPr>
              <w:t>International Truck &amp; Engine Corp.</w:t>
            </w:r>
          </w:p>
        </w:tc>
        <w:tc>
          <w:tcPr>
            <w:tcW w:w="2440" w:type="dxa"/>
            <w:vAlign w:val="bottom"/>
          </w:tcPr>
          <w:p>
            <w:pPr>
              <w:ind w:left="460"/>
              <w:spacing w:after="0"/>
              <w:rPr>
                <w:sz w:val="20"/>
                <w:szCs w:val="20"/>
                <w:color w:val="auto"/>
              </w:rPr>
            </w:pPr>
            <w:r>
              <w:rPr>
                <w:rFonts w:ascii="Arial" w:cs="Arial" w:eastAsia="Arial" w:hAnsi="Arial"/>
                <w:sz w:val="16"/>
                <w:szCs w:val="16"/>
                <w:color w:val="auto"/>
              </w:rPr>
              <w:t>Rockwell Collins, Inc.</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Brady Corporation</w:t>
            </w:r>
          </w:p>
        </w:tc>
        <w:tc>
          <w:tcPr>
            <w:tcW w:w="3500" w:type="dxa"/>
            <w:vAlign w:val="bottom"/>
          </w:tcPr>
          <w:p>
            <w:pPr>
              <w:ind w:left="540"/>
              <w:spacing w:after="0"/>
              <w:rPr>
                <w:sz w:val="20"/>
                <w:szCs w:val="20"/>
                <w:color w:val="auto"/>
              </w:rPr>
            </w:pPr>
            <w:r>
              <w:rPr>
                <w:rFonts w:ascii="Arial" w:cs="Arial" w:eastAsia="Arial" w:hAnsi="Arial"/>
                <w:sz w:val="16"/>
                <w:szCs w:val="16"/>
                <w:color w:val="auto"/>
              </w:rPr>
              <w:t>Jostens, Inc.</w:t>
            </w:r>
          </w:p>
        </w:tc>
        <w:tc>
          <w:tcPr>
            <w:tcW w:w="2440" w:type="dxa"/>
            <w:vAlign w:val="bottom"/>
          </w:tcPr>
          <w:p>
            <w:pPr>
              <w:ind w:left="460"/>
              <w:spacing w:after="0"/>
              <w:rPr>
                <w:sz w:val="20"/>
                <w:szCs w:val="20"/>
                <w:color w:val="auto"/>
              </w:rPr>
            </w:pPr>
            <w:r>
              <w:rPr>
                <w:rFonts w:ascii="Arial" w:cs="Arial" w:eastAsia="Arial" w:hAnsi="Arial"/>
                <w:sz w:val="16"/>
                <w:szCs w:val="16"/>
                <w:color w:val="auto"/>
              </w:rPr>
              <w:t>SENCORP Inc.</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Corn Products International, Inc.</w:t>
            </w:r>
          </w:p>
        </w:tc>
        <w:tc>
          <w:tcPr>
            <w:tcW w:w="3500" w:type="dxa"/>
            <w:vAlign w:val="bottom"/>
          </w:tcPr>
          <w:p>
            <w:pPr>
              <w:ind w:left="540"/>
              <w:spacing w:after="0"/>
              <w:rPr>
                <w:sz w:val="20"/>
                <w:szCs w:val="20"/>
                <w:color w:val="auto"/>
              </w:rPr>
            </w:pPr>
            <w:r>
              <w:rPr>
                <w:rFonts w:ascii="Arial" w:cs="Arial" w:eastAsia="Arial" w:hAnsi="Arial"/>
                <w:sz w:val="16"/>
                <w:szCs w:val="16"/>
                <w:color w:val="auto"/>
              </w:rPr>
              <w:t>Kennametal, Inc.</w:t>
            </w:r>
          </w:p>
        </w:tc>
        <w:tc>
          <w:tcPr>
            <w:tcW w:w="2440" w:type="dxa"/>
            <w:vAlign w:val="bottom"/>
          </w:tcPr>
          <w:p>
            <w:pPr>
              <w:ind w:left="460"/>
              <w:spacing w:after="0"/>
              <w:rPr>
                <w:sz w:val="20"/>
                <w:szCs w:val="20"/>
                <w:color w:val="auto"/>
              </w:rPr>
            </w:pPr>
            <w:r>
              <w:rPr>
                <w:rFonts w:ascii="Arial" w:cs="Arial" w:eastAsia="Arial" w:hAnsi="Arial"/>
                <w:sz w:val="16"/>
                <w:szCs w:val="16"/>
                <w:color w:val="auto"/>
              </w:rPr>
              <w:t>Steelcase Inc.</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Donaldson Company, Inc.</w:t>
            </w:r>
          </w:p>
        </w:tc>
        <w:tc>
          <w:tcPr>
            <w:tcW w:w="3500" w:type="dxa"/>
            <w:vAlign w:val="bottom"/>
          </w:tcPr>
          <w:p>
            <w:pPr>
              <w:ind w:left="540"/>
              <w:spacing w:after="0"/>
              <w:rPr>
                <w:sz w:val="20"/>
                <w:szCs w:val="20"/>
                <w:color w:val="auto"/>
              </w:rPr>
            </w:pPr>
            <w:r>
              <w:rPr>
                <w:rFonts w:ascii="Arial" w:cs="Arial" w:eastAsia="Arial" w:hAnsi="Arial"/>
                <w:sz w:val="16"/>
                <w:szCs w:val="16"/>
                <w:color w:val="auto"/>
              </w:rPr>
              <w:t>Kohler Co.</w:t>
            </w:r>
          </w:p>
        </w:tc>
        <w:tc>
          <w:tcPr>
            <w:tcW w:w="2440" w:type="dxa"/>
            <w:vAlign w:val="bottom"/>
          </w:tcPr>
          <w:p>
            <w:pPr>
              <w:ind w:left="460"/>
              <w:spacing w:after="0"/>
              <w:rPr>
                <w:sz w:val="20"/>
                <w:szCs w:val="20"/>
                <w:color w:val="auto"/>
              </w:rPr>
            </w:pPr>
            <w:r>
              <w:rPr>
                <w:rFonts w:ascii="Arial" w:cs="Arial" w:eastAsia="Arial" w:hAnsi="Arial"/>
                <w:sz w:val="16"/>
                <w:szCs w:val="16"/>
                <w:color w:val="auto"/>
              </w:rPr>
              <w:t>Terex Corporation</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Eaton Corporation</w:t>
            </w:r>
          </w:p>
        </w:tc>
        <w:tc>
          <w:tcPr>
            <w:tcW w:w="3500" w:type="dxa"/>
            <w:vAlign w:val="bottom"/>
          </w:tcPr>
          <w:p>
            <w:pPr>
              <w:ind w:left="540"/>
              <w:spacing w:after="0"/>
              <w:rPr>
                <w:sz w:val="20"/>
                <w:szCs w:val="20"/>
                <w:color w:val="auto"/>
              </w:rPr>
            </w:pPr>
            <w:r>
              <w:rPr>
                <w:rFonts w:ascii="Arial" w:cs="Arial" w:eastAsia="Arial" w:hAnsi="Arial"/>
                <w:sz w:val="16"/>
                <w:szCs w:val="16"/>
                <w:color w:val="auto"/>
              </w:rPr>
              <w:t>Makino, Inc.</w:t>
            </w:r>
          </w:p>
        </w:tc>
        <w:tc>
          <w:tcPr>
            <w:tcW w:w="2440" w:type="dxa"/>
            <w:vAlign w:val="bottom"/>
          </w:tcPr>
          <w:p>
            <w:pPr>
              <w:ind w:left="460"/>
              <w:spacing w:after="0"/>
              <w:rPr>
                <w:sz w:val="20"/>
                <w:szCs w:val="20"/>
                <w:color w:val="auto"/>
              </w:rPr>
            </w:pPr>
            <w:r>
              <w:rPr>
                <w:rFonts w:ascii="Arial" w:cs="Arial" w:eastAsia="Arial" w:hAnsi="Arial"/>
                <w:sz w:val="16"/>
                <w:szCs w:val="16"/>
                <w:color w:val="auto"/>
              </w:rPr>
              <w:t>The Timken Company</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Federal-Mogul Corporation</w:t>
            </w:r>
          </w:p>
        </w:tc>
        <w:tc>
          <w:tcPr>
            <w:tcW w:w="3500" w:type="dxa"/>
            <w:vAlign w:val="bottom"/>
          </w:tcPr>
          <w:p>
            <w:pPr>
              <w:ind w:left="540"/>
              <w:spacing w:after="0"/>
              <w:rPr>
                <w:sz w:val="20"/>
                <w:szCs w:val="20"/>
                <w:color w:val="auto"/>
              </w:rPr>
            </w:pPr>
            <w:r>
              <w:rPr>
                <w:rFonts w:ascii="Arial" w:cs="Arial" w:eastAsia="Arial" w:hAnsi="Arial"/>
                <w:sz w:val="16"/>
                <w:szCs w:val="16"/>
                <w:color w:val="auto"/>
              </w:rPr>
              <w:t>McDermott International, Inc.</w:t>
            </w:r>
          </w:p>
        </w:tc>
        <w:tc>
          <w:tcPr>
            <w:tcW w:w="2440" w:type="dxa"/>
            <w:vAlign w:val="bottom"/>
          </w:tcPr>
          <w:p>
            <w:pPr>
              <w:ind w:left="460"/>
              <w:spacing w:after="0"/>
              <w:rPr>
                <w:sz w:val="20"/>
                <w:szCs w:val="20"/>
                <w:color w:val="auto"/>
              </w:rPr>
            </w:pPr>
            <w:r>
              <w:rPr>
                <w:rFonts w:ascii="Arial" w:cs="Arial" w:eastAsia="Arial" w:hAnsi="Arial"/>
                <w:sz w:val="16"/>
                <w:szCs w:val="16"/>
                <w:color w:val="auto"/>
              </w:rPr>
              <w:t>The Toro Company</w:t>
            </w:r>
          </w:p>
        </w:tc>
      </w:tr>
      <w:tr>
        <w:trPr>
          <w:trHeight w:val="270"/>
        </w:trPr>
        <w:tc>
          <w:tcPr>
            <w:tcW w:w="2880" w:type="dxa"/>
            <w:vAlign w:val="bottom"/>
          </w:tcPr>
          <w:p>
            <w:pPr>
              <w:spacing w:after="0"/>
              <w:rPr>
                <w:sz w:val="20"/>
                <w:szCs w:val="20"/>
                <w:color w:val="auto"/>
              </w:rPr>
            </w:pPr>
            <w:r>
              <w:rPr>
                <w:rFonts w:ascii="Arial" w:cs="Arial" w:eastAsia="Arial" w:hAnsi="Arial"/>
                <w:sz w:val="16"/>
                <w:szCs w:val="16"/>
                <w:color w:val="auto"/>
              </w:rPr>
              <w:t>Fleetwood Enterprises, Inc.</w:t>
            </w:r>
          </w:p>
        </w:tc>
        <w:tc>
          <w:tcPr>
            <w:tcW w:w="3500" w:type="dxa"/>
            <w:vAlign w:val="bottom"/>
          </w:tcPr>
          <w:p>
            <w:pPr>
              <w:ind w:left="540"/>
              <w:spacing w:after="0"/>
              <w:rPr>
                <w:sz w:val="20"/>
                <w:szCs w:val="20"/>
                <w:color w:val="auto"/>
              </w:rPr>
            </w:pPr>
            <w:r>
              <w:rPr>
                <w:rFonts w:ascii="Arial" w:cs="Arial" w:eastAsia="Arial" w:hAnsi="Arial"/>
                <w:sz w:val="16"/>
                <w:szCs w:val="16"/>
                <w:color w:val="auto"/>
              </w:rPr>
              <w:t>Metaldyne Corporation</w:t>
            </w:r>
          </w:p>
        </w:tc>
        <w:tc>
          <w:tcPr>
            <w:tcW w:w="2440" w:type="dxa"/>
            <w:vAlign w:val="bottom"/>
          </w:tcPr>
          <w:p>
            <w:pPr>
              <w:ind w:left="460"/>
              <w:spacing w:after="0"/>
              <w:rPr>
                <w:sz w:val="20"/>
                <w:szCs w:val="20"/>
                <w:color w:val="auto"/>
              </w:rPr>
            </w:pPr>
            <w:r>
              <w:rPr>
                <w:rFonts w:ascii="Arial" w:cs="Arial" w:eastAsia="Arial" w:hAnsi="Arial"/>
                <w:sz w:val="16"/>
                <w:szCs w:val="16"/>
                <w:color w:val="auto"/>
              </w:rPr>
              <w:t>Tower Automotive LLC</w:t>
            </w:r>
          </w:p>
        </w:tc>
      </w:tr>
    </w:tbl>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 and the Consultant separately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Actuant Corp.</w:t>
            </w:r>
          </w:p>
        </w:tc>
        <w:tc>
          <w:tcPr>
            <w:tcW w:w="3440" w:type="dxa"/>
            <w:vAlign w:val="bottom"/>
          </w:tcPr>
          <w:p>
            <w:pPr>
              <w:ind w:left="740"/>
              <w:spacing w:after="0"/>
              <w:rPr>
                <w:sz w:val="20"/>
                <w:szCs w:val="20"/>
                <w:color w:val="auto"/>
              </w:rPr>
            </w:pPr>
            <w:r>
              <w:rPr>
                <w:rFonts w:ascii="Arial" w:cs="Arial" w:eastAsia="Arial" w:hAnsi="Arial"/>
                <w:sz w:val="16"/>
                <w:szCs w:val="16"/>
                <w:color w:val="auto"/>
              </w:rPr>
              <w:t>GenTek Inc.</w:t>
            </w:r>
          </w:p>
        </w:tc>
        <w:tc>
          <w:tcPr>
            <w:tcW w:w="3200" w:type="dxa"/>
            <w:vAlign w:val="bottom"/>
          </w:tcPr>
          <w:p>
            <w:pPr>
              <w:ind w:left="720"/>
              <w:spacing w:after="0"/>
              <w:rPr>
                <w:sz w:val="20"/>
                <w:szCs w:val="20"/>
                <w:color w:val="auto"/>
              </w:rPr>
            </w:pPr>
            <w:r>
              <w:rPr>
                <w:rFonts w:ascii="Arial" w:cs="Arial" w:eastAsia="Arial" w:hAnsi="Arial"/>
                <w:sz w:val="16"/>
                <w:szCs w:val="16"/>
                <w:color w:val="auto"/>
              </w:rPr>
              <w:t>Polaris Industries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ATC Technology Corp.</w:t>
            </w:r>
          </w:p>
        </w:tc>
        <w:tc>
          <w:tcPr>
            <w:tcW w:w="3440" w:type="dxa"/>
            <w:vAlign w:val="bottom"/>
          </w:tcPr>
          <w:p>
            <w:pPr>
              <w:ind w:left="740"/>
              <w:spacing w:after="0"/>
              <w:rPr>
                <w:sz w:val="20"/>
                <w:szCs w:val="20"/>
                <w:color w:val="auto"/>
              </w:rPr>
            </w:pPr>
            <w:r>
              <w:rPr>
                <w:rFonts w:ascii="Arial" w:cs="Arial" w:eastAsia="Arial" w:hAnsi="Arial"/>
                <w:sz w:val="16"/>
                <w:szCs w:val="16"/>
                <w:color w:val="auto"/>
              </w:rPr>
              <w:t>Graco Inc.</w:t>
            </w:r>
          </w:p>
        </w:tc>
        <w:tc>
          <w:tcPr>
            <w:tcW w:w="3200" w:type="dxa"/>
            <w:vAlign w:val="bottom"/>
          </w:tcPr>
          <w:p>
            <w:pPr>
              <w:ind w:left="720"/>
              <w:spacing w:after="0"/>
              <w:rPr>
                <w:sz w:val="20"/>
                <w:szCs w:val="20"/>
                <w:color w:val="auto"/>
              </w:rPr>
            </w:pPr>
            <w:r>
              <w:rPr>
                <w:rFonts w:ascii="Arial" w:cs="Arial" w:eastAsia="Arial" w:hAnsi="Arial"/>
                <w:sz w:val="16"/>
                <w:szCs w:val="16"/>
                <w:color w:val="auto"/>
              </w:rPr>
              <w:t>Regal-Beloit Corporation</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Arctic Cat, Inc.</w:t>
            </w:r>
          </w:p>
        </w:tc>
        <w:tc>
          <w:tcPr>
            <w:tcW w:w="3440" w:type="dxa"/>
            <w:vAlign w:val="bottom"/>
          </w:tcPr>
          <w:p>
            <w:pPr>
              <w:ind w:left="740"/>
              <w:spacing w:after="0"/>
              <w:rPr>
                <w:sz w:val="20"/>
                <w:szCs w:val="20"/>
                <w:color w:val="auto"/>
              </w:rPr>
            </w:pPr>
            <w:r>
              <w:rPr>
                <w:rFonts w:ascii="Arial" w:cs="Arial" w:eastAsia="Arial" w:hAnsi="Arial"/>
                <w:sz w:val="16"/>
                <w:szCs w:val="16"/>
                <w:color w:val="auto"/>
              </w:rPr>
              <w:t>Harsco Corp.</w:t>
            </w:r>
          </w:p>
        </w:tc>
        <w:tc>
          <w:tcPr>
            <w:tcW w:w="3200" w:type="dxa"/>
            <w:vAlign w:val="bottom"/>
          </w:tcPr>
          <w:p>
            <w:pPr>
              <w:ind w:left="720"/>
              <w:spacing w:after="0"/>
              <w:rPr>
                <w:sz w:val="20"/>
                <w:szCs w:val="20"/>
                <w:color w:val="auto"/>
              </w:rPr>
            </w:pPr>
            <w:r>
              <w:rPr>
                <w:rFonts w:ascii="Arial" w:cs="Arial" w:eastAsia="Arial" w:hAnsi="Arial"/>
                <w:sz w:val="16"/>
                <w:szCs w:val="16"/>
                <w:color w:val="auto"/>
              </w:rPr>
              <w:t>Snap-On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BorgWarner Inc.</w:t>
            </w:r>
          </w:p>
        </w:tc>
        <w:tc>
          <w:tcPr>
            <w:tcW w:w="3440" w:type="dxa"/>
            <w:vAlign w:val="bottom"/>
          </w:tcPr>
          <w:p>
            <w:pPr>
              <w:ind w:left="740"/>
              <w:spacing w:after="0"/>
              <w:rPr>
                <w:sz w:val="20"/>
                <w:szCs w:val="20"/>
                <w:color w:val="auto"/>
              </w:rPr>
            </w:pPr>
            <w:r>
              <w:rPr>
                <w:rFonts w:ascii="Arial" w:cs="Arial" w:eastAsia="Arial" w:hAnsi="Arial"/>
                <w:sz w:val="16"/>
                <w:szCs w:val="16"/>
                <w:color w:val="auto"/>
              </w:rPr>
              <w:t>Idex Corp.</w:t>
            </w:r>
          </w:p>
        </w:tc>
        <w:tc>
          <w:tcPr>
            <w:tcW w:w="3200" w:type="dxa"/>
            <w:vAlign w:val="bottom"/>
          </w:tcPr>
          <w:p>
            <w:pPr>
              <w:ind w:left="720"/>
              <w:spacing w:after="0"/>
              <w:rPr>
                <w:sz w:val="20"/>
                <w:szCs w:val="20"/>
                <w:color w:val="auto"/>
              </w:rPr>
            </w:pPr>
            <w:r>
              <w:rPr>
                <w:rFonts w:ascii="Arial" w:cs="Arial" w:eastAsia="Arial" w:hAnsi="Arial"/>
                <w:sz w:val="16"/>
                <w:szCs w:val="16"/>
                <w:color w:val="auto"/>
              </w:rPr>
              <w:t>Standard Motor Products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Briggs &amp; Stratton Corp.</w:t>
            </w:r>
          </w:p>
        </w:tc>
        <w:tc>
          <w:tcPr>
            <w:tcW w:w="3440" w:type="dxa"/>
            <w:vAlign w:val="bottom"/>
          </w:tcPr>
          <w:p>
            <w:pPr>
              <w:ind w:left="740"/>
              <w:spacing w:after="0"/>
              <w:rPr>
                <w:sz w:val="20"/>
                <w:szCs w:val="20"/>
                <w:color w:val="auto"/>
              </w:rPr>
            </w:pPr>
            <w:r>
              <w:rPr>
                <w:rFonts w:ascii="Arial" w:cs="Arial" w:eastAsia="Arial" w:hAnsi="Arial"/>
                <w:sz w:val="16"/>
                <w:szCs w:val="16"/>
                <w:color w:val="auto"/>
              </w:rPr>
              <w:t>Kennametal, Inc.</w:t>
            </w:r>
          </w:p>
        </w:tc>
        <w:tc>
          <w:tcPr>
            <w:tcW w:w="3200" w:type="dxa"/>
            <w:vAlign w:val="bottom"/>
          </w:tcPr>
          <w:p>
            <w:pPr>
              <w:ind w:left="720"/>
              <w:spacing w:after="0"/>
              <w:rPr>
                <w:sz w:val="20"/>
                <w:szCs w:val="20"/>
                <w:color w:val="auto"/>
              </w:rPr>
            </w:pPr>
            <w:r>
              <w:rPr>
                <w:rFonts w:ascii="Arial" w:cs="Arial" w:eastAsia="Arial" w:hAnsi="Arial"/>
                <w:sz w:val="16"/>
                <w:szCs w:val="16"/>
                <w:color w:val="auto"/>
              </w:rPr>
              <w:t>Standex International Corp.</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Carlisle Companies Inc.</w:t>
            </w:r>
          </w:p>
        </w:tc>
        <w:tc>
          <w:tcPr>
            <w:tcW w:w="3440" w:type="dxa"/>
            <w:vAlign w:val="bottom"/>
          </w:tcPr>
          <w:p>
            <w:pPr>
              <w:ind w:left="740"/>
              <w:spacing w:after="0"/>
              <w:rPr>
                <w:sz w:val="20"/>
                <w:szCs w:val="20"/>
                <w:color w:val="auto"/>
              </w:rPr>
            </w:pPr>
            <w:r>
              <w:rPr>
                <w:rFonts w:ascii="Arial" w:cs="Arial" w:eastAsia="Arial" w:hAnsi="Arial"/>
                <w:sz w:val="16"/>
                <w:szCs w:val="16"/>
                <w:color w:val="auto"/>
              </w:rPr>
              <w:t>Milacron Inc.</w:t>
            </w:r>
          </w:p>
        </w:tc>
        <w:tc>
          <w:tcPr>
            <w:tcW w:w="3200" w:type="dxa"/>
            <w:vAlign w:val="bottom"/>
          </w:tcPr>
          <w:p>
            <w:pPr>
              <w:ind w:left="720"/>
              <w:spacing w:after="0"/>
              <w:rPr>
                <w:sz w:val="20"/>
                <w:szCs w:val="20"/>
                <w:color w:val="auto"/>
              </w:rPr>
            </w:pPr>
            <w:r>
              <w:rPr>
                <w:rFonts w:ascii="Arial" w:cs="Arial" w:eastAsia="Arial" w:hAnsi="Arial"/>
                <w:sz w:val="16"/>
                <w:szCs w:val="16"/>
                <w:color w:val="auto"/>
              </w:rPr>
              <w:t>Stewart &amp; Stevenson Services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Clarcor Inc.</w:t>
            </w:r>
          </w:p>
        </w:tc>
        <w:tc>
          <w:tcPr>
            <w:tcW w:w="3440" w:type="dxa"/>
            <w:vAlign w:val="bottom"/>
          </w:tcPr>
          <w:p>
            <w:pPr>
              <w:ind w:left="740"/>
              <w:spacing w:after="0"/>
              <w:rPr>
                <w:sz w:val="20"/>
                <w:szCs w:val="20"/>
                <w:color w:val="auto"/>
              </w:rPr>
            </w:pPr>
            <w:r>
              <w:rPr>
                <w:rFonts w:ascii="Arial" w:cs="Arial" w:eastAsia="Arial" w:hAnsi="Arial"/>
                <w:sz w:val="16"/>
                <w:szCs w:val="16"/>
                <w:color w:val="auto"/>
              </w:rPr>
              <w:t>Modine Manufacturing Co.</w:t>
            </w:r>
          </w:p>
        </w:tc>
        <w:tc>
          <w:tcPr>
            <w:tcW w:w="3200" w:type="dxa"/>
            <w:vAlign w:val="bottom"/>
          </w:tcPr>
          <w:p>
            <w:pPr>
              <w:ind w:left="720"/>
              <w:spacing w:after="0"/>
              <w:rPr>
                <w:sz w:val="20"/>
                <w:szCs w:val="20"/>
                <w:color w:val="auto"/>
              </w:rPr>
            </w:pPr>
            <w:r>
              <w:rPr>
                <w:rFonts w:ascii="Arial" w:cs="Arial" w:eastAsia="Arial" w:hAnsi="Arial"/>
                <w:sz w:val="16"/>
                <w:szCs w:val="16"/>
                <w:color w:val="auto"/>
              </w:rPr>
              <w:t>Tennant Co.</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Coachmen Industries Inc.</w:t>
            </w:r>
          </w:p>
        </w:tc>
        <w:tc>
          <w:tcPr>
            <w:tcW w:w="3440" w:type="dxa"/>
            <w:vAlign w:val="bottom"/>
          </w:tcPr>
          <w:p>
            <w:pPr>
              <w:ind w:left="740"/>
              <w:spacing w:after="0"/>
              <w:rPr>
                <w:sz w:val="20"/>
                <w:szCs w:val="20"/>
                <w:color w:val="auto"/>
              </w:rPr>
            </w:pPr>
            <w:r>
              <w:rPr>
                <w:rFonts w:ascii="Arial" w:cs="Arial" w:eastAsia="Arial" w:hAnsi="Arial"/>
                <w:sz w:val="16"/>
                <w:szCs w:val="16"/>
                <w:color w:val="auto"/>
              </w:rPr>
              <w:t>Monaco Coach Corporation</w:t>
            </w:r>
          </w:p>
        </w:tc>
        <w:tc>
          <w:tcPr>
            <w:tcW w:w="3200" w:type="dxa"/>
            <w:vAlign w:val="bottom"/>
          </w:tcPr>
          <w:p>
            <w:pPr>
              <w:ind w:left="720"/>
              <w:spacing w:after="0"/>
              <w:rPr>
                <w:sz w:val="20"/>
                <w:szCs w:val="20"/>
                <w:color w:val="auto"/>
              </w:rPr>
            </w:pPr>
            <w:r>
              <w:rPr>
                <w:rFonts w:ascii="Arial" w:cs="Arial" w:eastAsia="Arial" w:hAnsi="Arial"/>
                <w:sz w:val="16"/>
                <w:szCs w:val="16"/>
                <w:color w:val="auto"/>
              </w:rPr>
              <w:t>Thor Industries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Crane Co.</w:t>
            </w:r>
          </w:p>
        </w:tc>
        <w:tc>
          <w:tcPr>
            <w:tcW w:w="3440" w:type="dxa"/>
            <w:vAlign w:val="bottom"/>
          </w:tcPr>
          <w:p>
            <w:pPr>
              <w:ind w:left="740"/>
              <w:spacing w:after="0"/>
              <w:rPr>
                <w:sz w:val="20"/>
                <w:szCs w:val="20"/>
                <w:color w:val="auto"/>
              </w:rPr>
            </w:pPr>
            <w:r>
              <w:rPr>
                <w:rFonts w:ascii="Arial" w:cs="Arial" w:eastAsia="Arial" w:hAnsi="Arial"/>
                <w:sz w:val="16"/>
                <w:szCs w:val="16"/>
                <w:color w:val="auto"/>
              </w:rPr>
              <w:t>National RV Holdings Inc.</w:t>
            </w:r>
          </w:p>
        </w:tc>
        <w:tc>
          <w:tcPr>
            <w:tcW w:w="3200" w:type="dxa"/>
            <w:vAlign w:val="bottom"/>
          </w:tcPr>
          <w:p>
            <w:pPr>
              <w:ind w:left="720"/>
              <w:spacing w:after="0"/>
              <w:rPr>
                <w:sz w:val="20"/>
                <w:szCs w:val="20"/>
                <w:color w:val="auto"/>
              </w:rPr>
            </w:pPr>
            <w:r>
              <w:rPr>
                <w:rFonts w:ascii="Arial" w:cs="Arial" w:eastAsia="Arial" w:hAnsi="Arial"/>
                <w:sz w:val="16"/>
                <w:szCs w:val="16"/>
                <w:color w:val="auto"/>
              </w:rPr>
              <w:t>The Toro Company</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Donaldson Co. Inc.</w:t>
            </w:r>
          </w:p>
        </w:tc>
        <w:tc>
          <w:tcPr>
            <w:tcW w:w="3440" w:type="dxa"/>
            <w:vAlign w:val="bottom"/>
          </w:tcPr>
          <w:p>
            <w:pPr>
              <w:ind w:left="740"/>
              <w:spacing w:after="0"/>
              <w:rPr>
                <w:sz w:val="20"/>
                <w:szCs w:val="20"/>
                <w:color w:val="auto"/>
              </w:rPr>
            </w:pPr>
            <w:r>
              <w:rPr>
                <w:rFonts w:ascii="Arial" w:cs="Arial" w:eastAsia="Arial" w:hAnsi="Arial"/>
                <w:sz w:val="16"/>
                <w:szCs w:val="16"/>
                <w:color w:val="auto"/>
              </w:rPr>
              <w:t>Nordson Corp.</w:t>
            </w:r>
          </w:p>
        </w:tc>
        <w:tc>
          <w:tcPr>
            <w:tcW w:w="3200" w:type="dxa"/>
            <w:vAlign w:val="bottom"/>
          </w:tcPr>
          <w:p>
            <w:pPr>
              <w:ind w:left="720"/>
              <w:spacing w:after="0"/>
              <w:rPr>
                <w:sz w:val="20"/>
                <w:szCs w:val="20"/>
                <w:color w:val="auto"/>
              </w:rPr>
            </w:pPr>
            <w:r>
              <w:rPr>
                <w:rFonts w:ascii="Arial" w:cs="Arial" w:eastAsia="Arial" w:hAnsi="Arial"/>
                <w:sz w:val="16"/>
                <w:szCs w:val="16"/>
                <w:color w:val="auto"/>
              </w:rPr>
              <w:t>Tower Automotive LLC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Federal Signal Corp.</w:t>
            </w:r>
          </w:p>
        </w:tc>
        <w:tc>
          <w:tcPr>
            <w:tcW w:w="3440" w:type="dxa"/>
            <w:vAlign w:val="bottom"/>
          </w:tcPr>
          <w:p>
            <w:pPr>
              <w:ind w:left="740"/>
              <w:spacing w:after="0"/>
              <w:rPr>
                <w:sz w:val="20"/>
                <w:szCs w:val="20"/>
                <w:color w:val="auto"/>
              </w:rPr>
            </w:pPr>
            <w:r>
              <w:rPr>
                <w:rFonts w:ascii="Arial" w:cs="Arial" w:eastAsia="Arial" w:hAnsi="Arial"/>
                <w:sz w:val="16"/>
                <w:szCs w:val="16"/>
                <w:color w:val="auto"/>
              </w:rPr>
              <w:t>Oshkosh Corp.</w:t>
            </w:r>
          </w:p>
        </w:tc>
        <w:tc>
          <w:tcPr>
            <w:tcW w:w="3200" w:type="dxa"/>
            <w:vAlign w:val="bottom"/>
          </w:tcPr>
          <w:p>
            <w:pPr>
              <w:ind w:left="720"/>
              <w:spacing w:after="0"/>
              <w:rPr>
                <w:sz w:val="20"/>
                <w:szCs w:val="20"/>
                <w:color w:val="auto"/>
              </w:rPr>
            </w:pPr>
            <w:r>
              <w:rPr>
                <w:rFonts w:ascii="Arial" w:cs="Arial" w:eastAsia="Arial" w:hAnsi="Arial"/>
                <w:sz w:val="16"/>
                <w:szCs w:val="16"/>
                <w:color w:val="auto"/>
              </w:rPr>
              <w:t>Wabash National Corp.</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Fleetwood Enterprises Inc.</w:t>
            </w:r>
          </w:p>
        </w:tc>
        <w:tc>
          <w:tcPr>
            <w:tcW w:w="3440" w:type="dxa"/>
            <w:vAlign w:val="bottom"/>
          </w:tcPr>
          <w:p>
            <w:pPr>
              <w:ind w:left="740"/>
              <w:spacing w:after="0"/>
              <w:rPr>
                <w:sz w:val="20"/>
                <w:szCs w:val="20"/>
                <w:color w:val="auto"/>
              </w:rPr>
            </w:pPr>
            <w:r>
              <w:rPr>
                <w:rFonts w:ascii="Arial" w:cs="Arial" w:eastAsia="Arial" w:hAnsi="Arial"/>
                <w:sz w:val="16"/>
                <w:szCs w:val="16"/>
                <w:color w:val="auto"/>
              </w:rPr>
              <w:t>Pall Corp.</w:t>
            </w:r>
          </w:p>
        </w:tc>
        <w:tc>
          <w:tcPr>
            <w:tcW w:w="3200" w:type="dxa"/>
            <w:vAlign w:val="bottom"/>
          </w:tcPr>
          <w:p>
            <w:pPr>
              <w:ind w:left="720"/>
              <w:spacing w:after="0"/>
              <w:rPr>
                <w:sz w:val="20"/>
                <w:szCs w:val="20"/>
                <w:color w:val="auto"/>
              </w:rPr>
            </w:pPr>
            <w:r>
              <w:rPr>
                <w:rFonts w:ascii="Arial" w:cs="Arial" w:eastAsia="Arial" w:hAnsi="Arial"/>
                <w:sz w:val="16"/>
                <w:szCs w:val="16"/>
                <w:color w:val="auto"/>
              </w:rPr>
              <w:t>Watts Water Technologies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Flowserve Corp.</w:t>
            </w:r>
          </w:p>
        </w:tc>
        <w:tc>
          <w:tcPr>
            <w:tcW w:w="3440" w:type="dxa"/>
            <w:vAlign w:val="bottom"/>
          </w:tcPr>
          <w:p>
            <w:pPr>
              <w:ind w:left="740"/>
              <w:spacing w:after="0"/>
              <w:rPr>
                <w:sz w:val="20"/>
                <w:szCs w:val="20"/>
                <w:color w:val="auto"/>
              </w:rPr>
            </w:pPr>
            <w:r>
              <w:rPr>
                <w:rFonts w:ascii="Arial" w:cs="Arial" w:eastAsia="Arial" w:hAnsi="Arial"/>
                <w:sz w:val="16"/>
                <w:szCs w:val="16"/>
                <w:color w:val="auto"/>
              </w:rPr>
              <w:t>Pentair Inc.</w:t>
            </w:r>
          </w:p>
        </w:tc>
        <w:tc>
          <w:tcPr>
            <w:tcW w:w="3200" w:type="dxa"/>
            <w:vAlign w:val="bottom"/>
          </w:tcPr>
          <w:p>
            <w:pPr>
              <w:spacing w:after="0"/>
              <w:rPr>
                <w:sz w:val="23"/>
                <w:szCs w:val="23"/>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revenue size in comparison with ours;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As part of the 2007 Compensation Analysis, the Committee and Consultant compared data from each of the Consultant Industry Group and Proxy Industry Group to data contained in the General Consultant Database and utilized, among other information, observations relating to data pertaining to specific job categories and industry trends. Market data in the General Consultant Database was adjusted according to these observations and regressed to our revenue size. The market analysis included data on fixed pay (base pay), and variable compensation (annual and long-term incentives).</w:t>
      </w:r>
    </w:p>
    <w:p>
      <w:pPr>
        <w:sectPr>
          <w:pgSz w:w="11900" w:h="16838" w:orient="portrait"/>
          <w:cols w:equalWidth="0" w:num="1">
            <w:col w:w="11360"/>
          </w:cols>
          <w:pgMar w:left="240" w:top="141" w:right="299" w:bottom="1440" w:gutter="0" w:footer="0" w:header="0"/>
        </w:sect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41" w:right="29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light of the economic conditions facing the Company, no annual base salary adjustments for Named Executive Officers were recommended by the Committee, except for the restoration of base salary levels effective February 28, 2011 to the base salary levels that were in effect prior to March 2009 or for adjustments made as a result of increased responsibility and promotion. See "Base Salary" below. As a result, the Committee did not engage the Consultant to update the 2007 Compensation Analysis or to conduct a new benchmarking analysis for the purposes of making decisions for compensation payable in Fiscal 2011. Instead, the Committee relied, in part, on certain benchmark information derived from the Fiscal 2007 Consultant Industry Group and the Proxy Industry Group as a basis for such decisions.</w:t>
      </w:r>
    </w:p>
    <w:p>
      <w:pPr>
        <w:spacing w:after="0" w:line="178"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auto"/>
        </w:rPr>
        <w:t>In addition, for Fiscal 2011, for the purpose of determining certain performance metrics used for the Officer Incentive Compensation Plan Fiscal Period 2011 and for the Long-Term Incentive Plan Fiscal 2011-2013, the Committee compared return on equity ("ROE") and return on invested capital ("ROIC") data with approximately 50 companies within the same transportation Standard Industrial Classification Code that were operationally profitable on a trailing 12 month basis at the time of determination. Those companies include the following (the "Transportation Group"):</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3100" w:type="dxa"/>
            <w:vAlign w:val="bottom"/>
          </w:tcPr>
          <w:p>
            <w:pPr>
              <w:spacing w:after="0"/>
              <w:rPr>
                <w:sz w:val="20"/>
                <w:szCs w:val="20"/>
                <w:color w:val="auto"/>
              </w:rPr>
            </w:pPr>
            <w:r>
              <w:rPr>
                <w:rFonts w:ascii="Arial" w:cs="Arial" w:eastAsia="Arial" w:hAnsi="Arial"/>
                <w:sz w:val="16"/>
                <w:szCs w:val="16"/>
                <w:color w:val="auto"/>
              </w:rPr>
              <w:t>AAR Corp.</w:t>
            </w:r>
          </w:p>
        </w:tc>
        <w:tc>
          <w:tcPr>
            <w:tcW w:w="3260" w:type="dxa"/>
            <w:vAlign w:val="bottom"/>
          </w:tcPr>
          <w:p>
            <w:pPr>
              <w:ind w:left="560"/>
              <w:spacing w:after="0"/>
              <w:rPr>
                <w:sz w:val="20"/>
                <w:szCs w:val="20"/>
                <w:color w:val="auto"/>
              </w:rPr>
            </w:pPr>
            <w:r>
              <w:rPr>
                <w:rFonts w:ascii="Arial" w:cs="Arial" w:eastAsia="Arial" w:hAnsi="Arial"/>
                <w:sz w:val="16"/>
                <w:szCs w:val="16"/>
                <w:color w:val="auto"/>
              </w:rPr>
              <w:t>Fuel Systems Solutions Inc.</w:t>
            </w:r>
          </w:p>
        </w:tc>
        <w:tc>
          <w:tcPr>
            <w:tcW w:w="3540" w:type="dxa"/>
            <w:vAlign w:val="bottom"/>
          </w:tcPr>
          <w:p>
            <w:pPr>
              <w:ind w:left="720"/>
              <w:spacing w:after="0"/>
              <w:rPr>
                <w:sz w:val="20"/>
                <w:szCs w:val="20"/>
                <w:color w:val="auto"/>
              </w:rPr>
            </w:pPr>
            <w:r>
              <w:rPr>
                <w:rFonts w:ascii="Arial" w:cs="Arial" w:eastAsia="Arial" w:hAnsi="Arial"/>
                <w:sz w:val="16"/>
                <w:szCs w:val="16"/>
                <w:color w:val="auto"/>
              </w:rPr>
              <w:t>Spirit AeroSystems Holdings Inc. (CI A)</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AeroVironment Inc.</w:t>
            </w:r>
          </w:p>
        </w:tc>
        <w:tc>
          <w:tcPr>
            <w:tcW w:w="3260" w:type="dxa"/>
            <w:vAlign w:val="bottom"/>
          </w:tcPr>
          <w:p>
            <w:pPr>
              <w:ind w:left="560"/>
              <w:spacing w:after="0"/>
              <w:rPr>
                <w:sz w:val="20"/>
                <w:szCs w:val="20"/>
                <w:color w:val="auto"/>
              </w:rPr>
            </w:pPr>
            <w:r>
              <w:rPr>
                <w:rFonts w:ascii="Arial" w:cs="Arial" w:eastAsia="Arial" w:hAnsi="Arial"/>
                <w:sz w:val="16"/>
                <w:szCs w:val="16"/>
                <w:color w:val="auto"/>
              </w:rPr>
              <w:t>GenCorp Inc.</w:t>
            </w:r>
          </w:p>
        </w:tc>
        <w:tc>
          <w:tcPr>
            <w:tcW w:w="3540" w:type="dxa"/>
            <w:vAlign w:val="bottom"/>
          </w:tcPr>
          <w:p>
            <w:pPr>
              <w:ind w:left="720"/>
              <w:spacing w:after="0"/>
              <w:rPr>
                <w:sz w:val="20"/>
                <w:szCs w:val="20"/>
                <w:color w:val="auto"/>
              </w:rPr>
            </w:pPr>
            <w:r>
              <w:rPr>
                <w:rFonts w:ascii="Arial" w:cs="Arial" w:eastAsia="Arial" w:hAnsi="Arial"/>
                <w:sz w:val="16"/>
                <w:szCs w:val="16"/>
                <w:color w:val="auto"/>
              </w:rPr>
              <w:t>Stoneridge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American Axle &amp; Mfg. Holdings Inc.</w:t>
            </w:r>
          </w:p>
        </w:tc>
        <w:tc>
          <w:tcPr>
            <w:tcW w:w="3260" w:type="dxa"/>
            <w:vAlign w:val="bottom"/>
          </w:tcPr>
          <w:p>
            <w:pPr>
              <w:ind w:left="560"/>
              <w:spacing w:after="0"/>
              <w:rPr>
                <w:sz w:val="20"/>
                <w:szCs w:val="20"/>
                <w:color w:val="auto"/>
              </w:rPr>
            </w:pPr>
            <w:r>
              <w:rPr>
                <w:rFonts w:ascii="Arial" w:cs="Arial" w:eastAsia="Arial" w:hAnsi="Arial"/>
                <w:sz w:val="16"/>
                <w:szCs w:val="16"/>
                <w:color w:val="auto"/>
              </w:rPr>
              <w:t>Gentex Corp.</w:t>
            </w:r>
          </w:p>
        </w:tc>
        <w:tc>
          <w:tcPr>
            <w:tcW w:w="3540" w:type="dxa"/>
            <w:vAlign w:val="bottom"/>
          </w:tcPr>
          <w:p>
            <w:pPr>
              <w:ind w:left="720"/>
              <w:spacing w:after="0"/>
              <w:rPr>
                <w:sz w:val="20"/>
                <w:szCs w:val="20"/>
                <w:color w:val="auto"/>
              </w:rPr>
            </w:pPr>
            <w:r>
              <w:rPr>
                <w:rFonts w:ascii="Arial" w:cs="Arial" w:eastAsia="Arial" w:hAnsi="Arial"/>
                <w:sz w:val="16"/>
                <w:szCs w:val="16"/>
                <w:color w:val="auto"/>
              </w:rPr>
              <w:t>Strattec Security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Amerigon Inc.</w:t>
            </w:r>
          </w:p>
        </w:tc>
        <w:tc>
          <w:tcPr>
            <w:tcW w:w="3260" w:type="dxa"/>
            <w:vAlign w:val="bottom"/>
          </w:tcPr>
          <w:p>
            <w:pPr>
              <w:ind w:left="560"/>
              <w:spacing w:after="0"/>
              <w:rPr>
                <w:sz w:val="20"/>
                <w:szCs w:val="20"/>
                <w:color w:val="auto"/>
              </w:rPr>
            </w:pPr>
            <w:r>
              <w:rPr>
                <w:rFonts w:ascii="Arial" w:cs="Arial" w:eastAsia="Arial" w:hAnsi="Arial"/>
                <w:sz w:val="16"/>
                <w:szCs w:val="16"/>
                <w:color w:val="auto"/>
              </w:rPr>
              <w:t>Goodrich Corp.</w:t>
            </w:r>
          </w:p>
        </w:tc>
        <w:tc>
          <w:tcPr>
            <w:tcW w:w="3540" w:type="dxa"/>
            <w:vAlign w:val="bottom"/>
          </w:tcPr>
          <w:p>
            <w:pPr>
              <w:ind w:left="720"/>
              <w:spacing w:after="0"/>
              <w:rPr>
                <w:sz w:val="20"/>
                <w:szCs w:val="20"/>
                <w:color w:val="auto"/>
              </w:rPr>
            </w:pPr>
            <w:r>
              <w:rPr>
                <w:rFonts w:ascii="Arial" w:cs="Arial" w:eastAsia="Arial" w:hAnsi="Arial"/>
                <w:sz w:val="16"/>
                <w:szCs w:val="16"/>
                <w:color w:val="auto"/>
              </w:rPr>
              <w:t>Superior Industries International</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Arctic Cat Inc.</w:t>
            </w:r>
          </w:p>
        </w:tc>
        <w:tc>
          <w:tcPr>
            <w:tcW w:w="3260" w:type="dxa"/>
            <w:vAlign w:val="bottom"/>
          </w:tcPr>
          <w:p>
            <w:pPr>
              <w:ind w:left="560"/>
              <w:spacing w:after="0"/>
              <w:rPr>
                <w:sz w:val="20"/>
                <w:szCs w:val="20"/>
                <w:color w:val="auto"/>
              </w:rPr>
            </w:pPr>
            <w:r>
              <w:rPr>
                <w:rFonts w:ascii="Arial" w:cs="Arial" w:eastAsia="Arial" w:hAnsi="Arial"/>
                <w:sz w:val="16"/>
                <w:szCs w:val="16"/>
                <w:color w:val="auto"/>
              </w:rPr>
              <w:t>Harley-Davidson Inc.</w:t>
            </w:r>
          </w:p>
        </w:tc>
        <w:tc>
          <w:tcPr>
            <w:tcW w:w="3540" w:type="dxa"/>
            <w:vAlign w:val="bottom"/>
          </w:tcPr>
          <w:p>
            <w:pPr>
              <w:ind w:left="720"/>
              <w:spacing w:after="0"/>
              <w:rPr>
                <w:sz w:val="20"/>
                <w:szCs w:val="20"/>
                <w:color w:val="auto"/>
              </w:rPr>
            </w:pPr>
            <w:r>
              <w:rPr>
                <w:rFonts w:ascii="Arial" w:cs="Arial" w:eastAsia="Arial" w:hAnsi="Arial"/>
                <w:sz w:val="16"/>
                <w:szCs w:val="16"/>
                <w:color w:val="auto"/>
              </w:rPr>
              <w:t>Teleflex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Autoliv Inc.</w:t>
            </w:r>
          </w:p>
        </w:tc>
        <w:tc>
          <w:tcPr>
            <w:tcW w:w="3260" w:type="dxa"/>
            <w:vAlign w:val="bottom"/>
          </w:tcPr>
          <w:p>
            <w:pPr>
              <w:ind w:left="560"/>
              <w:spacing w:after="0"/>
              <w:rPr>
                <w:sz w:val="20"/>
                <w:szCs w:val="20"/>
                <w:color w:val="auto"/>
              </w:rPr>
            </w:pPr>
            <w:r>
              <w:rPr>
                <w:rFonts w:ascii="Arial" w:cs="Arial" w:eastAsia="Arial" w:hAnsi="Arial"/>
                <w:sz w:val="16"/>
                <w:szCs w:val="16"/>
                <w:color w:val="auto"/>
              </w:rPr>
              <w:t>Heico Corp.</w:t>
            </w:r>
          </w:p>
        </w:tc>
        <w:tc>
          <w:tcPr>
            <w:tcW w:w="3540" w:type="dxa"/>
            <w:vAlign w:val="bottom"/>
          </w:tcPr>
          <w:p>
            <w:pPr>
              <w:ind w:left="720"/>
              <w:spacing w:after="0"/>
              <w:rPr>
                <w:sz w:val="20"/>
                <w:szCs w:val="20"/>
                <w:color w:val="auto"/>
              </w:rPr>
            </w:pPr>
            <w:r>
              <w:rPr>
                <w:rFonts w:ascii="Arial" w:cs="Arial" w:eastAsia="Arial" w:hAnsi="Arial"/>
                <w:sz w:val="16"/>
                <w:szCs w:val="16"/>
                <w:color w:val="auto"/>
              </w:rPr>
              <w:t>Tenneco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BE Aerospace Inc.</w:t>
            </w:r>
          </w:p>
        </w:tc>
        <w:tc>
          <w:tcPr>
            <w:tcW w:w="3260" w:type="dxa"/>
            <w:vAlign w:val="bottom"/>
          </w:tcPr>
          <w:p>
            <w:pPr>
              <w:ind w:left="560"/>
              <w:spacing w:after="0"/>
              <w:rPr>
                <w:sz w:val="20"/>
                <w:szCs w:val="20"/>
                <w:color w:val="auto"/>
              </w:rPr>
            </w:pPr>
            <w:r>
              <w:rPr>
                <w:rFonts w:ascii="Arial" w:cs="Arial" w:eastAsia="Arial" w:hAnsi="Arial"/>
                <w:sz w:val="16"/>
                <w:szCs w:val="16"/>
                <w:color w:val="auto"/>
              </w:rPr>
              <w:t>Heroux-Devtek Inc.</w:t>
            </w:r>
          </w:p>
        </w:tc>
        <w:tc>
          <w:tcPr>
            <w:tcW w:w="3540" w:type="dxa"/>
            <w:vAlign w:val="bottom"/>
          </w:tcPr>
          <w:p>
            <w:pPr>
              <w:ind w:left="720"/>
              <w:spacing w:after="0"/>
              <w:rPr>
                <w:sz w:val="20"/>
                <w:szCs w:val="20"/>
                <w:color w:val="auto"/>
              </w:rPr>
            </w:pPr>
            <w:r>
              <w:rPr>
                <w:rFonts w:ascii="Arial" w:cs="Arial" w:eastAsia="Arial" w:hAnsi="Arial"/>
                <w:sz w:val="16"/>
                <w:szCs w:val="16"/>
                <w:color w:val="auto"/>
              </w:rPr>
              <w:t>Textron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BMW AG</w:t>
            </w:r>
          </w:p>
        </w:tc>
        <w:tc>
          <w:tcPr>
            <w:tcW w:w="3260" w:type="dxa"/>
            <w:vAlign w:val="bottom"/>
          </w:tcPr>
          <w:p>
            <w:pPr>
              <w:ind w:left="560"/>
              <w:spacing w:after="0"/>
              <w:rPr>
                <w:sz w:val="20"/>
                <w:szCs w:val="20"/>
                <w:color w:val="auto"/>
              </w:rPr>
            </w:pPr>
            <w:r>
              <w:rPr>
                <w:rFonts w:ascii="Arial" w:cs="Arial" w:eastAsia="Arial" w:hAnsi="Arial"/>
                <w:sz w:val="16"/>
                <w:szCs w:val="16"/>
                <w:color w:val="auto"/>
              </w:rPr>
              <w:t>Honeywell International Inc.</w:t>
            </w:r>
          </w:p>
        </w:tc>
        <w:tc>
          <w:tcPr>
            <w:tcW w:w="3540" w:type="dxa"/>
            <w:vAlign w:val="bottom"/>
          </w:tcPr>
          <w:p>
            <w:pPr>
              <w:ind w:left="720"/>
              <w:spacing w:after="0"/>
              <w:rPr>
                <w:sz w:val="20"/>
                <w:szCs w:val="20"/>
                <w:color w:val="auto"/>
              </w:rPr>
            </w:pPr>
            <w:r>
              <w:rPr>
                <w:rFonts w:ascii="Arial" w:cs="Arial" w:eastAsia="Arial" w:hAnsi="Arial"/>
                <w:sz w:val="16"/>
                <w:szCs w:val="16"/>
                <w:color w:val="auto"/>
              </w:rPr>
              <w:t>Thor Industries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Boeing Co.</w:t>
            </w:r>
          </w:p>
        </w:tc>
        <w:tc>
          <w:tcPr>
            <w:tcW w:w="3260" w:type="dxa"/>
            <w:vAlign w:val="bottom"/>
          </w:tcPr>
          <w:p>
            <w:pPr>
              <w:ind w:left="560"/>
              <w:spacing w:after="0"/>
              <w:rPr>
                <w:sz w:val="20"/>
                <w:szCs w:val="20"/>
                <w:color w:val="auto"/>
              </w:rPr>
            </w:pPr>
            <w:r>
              <w:rPr>
                <w:rFonts w:ascii="Arial" w:cs="Arial" w:eastAsia="Arial" w:hAnsi="Arial"/>
                <w:sz w:val="16"/>
                <w:szCs w:val="16"/>
                <w:color w:val="auto"/>
              </w:rPr>
              <w:t>Ladish Co. Inc.</w:t>
            </w:r>
          </w:p>
        </w:tc>
        <w:tc>
          <w:tcPr>
            <w:tcW w:w="3540" w:type="dxa"/>
            <w:vAlign w:val="bottom"/>
          </w:tcPr>
          <w:p>
            <w:pPr>
              <w:ind w:left="720"/>
              <w:spacing w:after="0"/>
              <w:rPr>
                <w:sz w:val="20"/>
                <w:szCs w:val="20"/>
                <w:color w:val="auto"/>
              </w:rPr>
            </w:pPr>
            <w:r>
              <w:rPr>
                <w:rFonts w:ascii="Arial" w:cs="Arial" w:eastAsia="Arial" w:hAnsi="Arial"/>
                <w:sz w:val="16"/>
                <w:szCs w:val="16"/>
                <w:color w:val="auto"/>
              </w:rPr>
              <w:t>Todd Shipyards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Bombardier Inc.</w:t>
            </w:r>
          </w:p>
        </w:tc>
        <w:tc>
          <w:tcPr>
            <w:tcW w:w="3260" w:type="dxa"/>
            <w:vAlign w:val="bottom"/>
          </w:tcPr>
          <w:p>
            <w:pPr>
              <w:ind w:left="560"/>
              <w:spacing w:after="0"/>
              <w:rPr>
                <w:sz w:val="20"/>
                <w:szCs w:val="20"/>
                <w:color w:val="auto"/>
              </w:rPr>
            </w:pPr>
            <w:r>
              <w:rPr>
                <w:rFonts w:ascii="Arial" w:cs="Arial" w:eastAsia="Arial" w:hAnsi="Arial"/>
                <w:sz w:val="16"/>
                <w:szCs w:val="16"/>
                <w:color w:val="auto"/>
              </w:rPr>
              <w:t>Lockheed Martin Corp.</w:t>
            </w:r>
          </w:p>
        </w:tc>
        <w:tc>
          <w:tcPr>
            <w:tcW w:w="3540" w:type="dxa"/>
            <w:vAlign w:val="bottom"/>
          </w:tcPr>
          <w:p>
            <w:pPr>
              <w:ind w:left="720"/>
              <w:spacing w:after="0"/>
              <w:rPr>
                <w:sz w:val="20"/>
                <w:szCs w:val="20"/>
                <w:color w:val="auto"/>
              </w:rPr>
            </w:pPr>
            <w:r>
              <w:rPr>
                <w:rFonts w:ascii="Arial" w:cs="Arial" w:eastAsia="Arial" w:hAnsi="Arial"/>
                <w:sz w:val="16"/>
                <w:szCs w:val="16"/>
                <w:color w:val="auto"/>
              </w:rPr>
              <w:t>TransDigm Group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BorgWarner Inc.</w:t>
            </w:r>
          </w:p>
        </w:tc>
        <w:tc>
          <w:tcPr>
            <w:tcW w:w="3260" w:type="dxa"/>
            <w:vAlign w:val="bottom"/>
          </w:tcPr>
          <w:p>
            <w:pPr>
              <w:ind w:left="560"/>
              <w:spacing w:after="0"/>
              <w:rPr>
                <w:sz w:val="20"/>
                <w:szCs w:val="20"/>
                <w:color w:val="auto"/>
              </w:rPr>
            </w:pPr>
            <w:r>
              <w:rPr>
                <w:rFonts w:ascii="Arial" w:cs="Arial" w:eastAsia="Arial" w:hAnsi="Arial"/>
                <w:sz w:val="16"/>
                <w:szCs w:val="16"/>
                <w:color w:val="auto"/>
              </w:rPr>
              <w:t>Miller Industries Inc.</w:t>
            </w:r>
          </w:p>
        </w:tc>
        <w:tc>
          <w:tcPr>
            <w:tcW w:w="3540" w:type="dxa"/>
            <w:vAlign w:val="bottom"/>
          </w:tcPr>
          <w:p>
            <w:pPr>
              <w:ind w:left="720"/>
              <w:spacing w:after="0"/>
              <w:rPr>
                <w:sz w:val="20"/>
                <w:szCs w:val="20"/>
                <w:color w:val="auto"/>
              </w:rPr>
            </w:pPr>
            <w:r>
              <w:rPr>
                <w:rFonts w:ascii="Arial" w:cs="Arial" w:eastAsia="Arial" w:hAnsi="Arial"/>
                <w:sz w:val="16"/>
                <w:szCs w:val="16"/>
                <w:color w:val="auto"/>
              </w:rPr>
              <w:t>Trinity Industries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CPI Aerostructures Inc.</w:t>
            </w:r>
          </w:p>
        </w:tc>
        <w:tc>
          <w:tcPr>
            <w:tcW w:w="3260" w:type="dxa"/>
            <w:vAlign w:val="bottom"/>
          </w:tcPr>
          <w:p>
            <w:pPr>
              <w:ind w:left="560"/>
              <w:spacing w:after="0"/>
              <w:rPr>
                <w:sz w:val="20"/>
                <w:szCs w:val="20"/>
                <w:color w:val="auto"/>
              </w:rPr>
            </w:pPr>
            <w:r>
              <w:rPr>
                <w:rFonts w:ascii="Arial" w:cs="Arial" w:eastAsia="Arial" w:hAnsi="Arial"/>
                <w:sz w:val="16"/>
                <w:szCs w:val="16"/>
                <w:color w:val="auto"/>
              </w:rPr>
              <w:t>Orbital Sciences Corp.</w:t>
            </w:r>
          </w:p>
        </w:tc>
        <w:tc>
          <w:tcPr>
            <w:tcW w:w="3540" w:type="dxa"/>
            <w:vAlign w:val="bottom"/>
          </w:tcPr>
          <w:p>
            <w:pPr>
              <w:ind w:left="720"/>
              <w:spacing w:after="0"/>
              <w:rPr>
                <w:sz w:val="20"/>
                <w:szCs w:val="20"/>
                <w:color w:val="auto"/>
              </w:rPr>
            </w:pPr>
            <w:r>
              <w:rPr>
                <w:rFonts w:ascii="Arial" w:cs="Arial" w:eastAsia="Arial" w:hAnsi="Arial"/>
                <w:sz w:val="16"/>
                <w:szCs w:val="16"/>
                <w:color w:val="auto"/>
              </w:rPr>
              <w:t>Triumph Group Inc.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Ducommun Inc.</w:t>
            </w:r>
          </w:p>
        </w:tc>
        <w:tc>
          <w:tcPr>
            <w:tcW w:w="3260" w:type="dxa"/>
            <w:vAlign w:val="bottom"/>
          </w:tcPr>
          <w:p>
            <w:pPr>
              <w:ind w:left="560"/>
              <w:spacing w:after="0"/>
              <w:rPr>
                <w:sz w:val="20"/>
                <w:szCs w:val="20"/>
                <w:color w:val="auto"/>
              </w:rPr>
            </w:pPr>
            <w:r>
              <w:rPr>
                <w:rFonts w:ascii="Arial" w:cs="Arial" w:eastAsia="Arial" w:hAnsi="Arial"/>
                <w:sz w:val="16"/>
                <w:szCs w:val="16"/>
                <w:color w:val="auto"/>
              </w:rPr>
              <w:t>Paccar Inc.</w:t>
            </w:r>
          </w:p>
        </w:tc>
        <w:tc>
          <w:tcPr>
            <w:tcW w:w="3540" w:type="dxa"/>
            <w:vAlign w:val="bottom"/>
          </w:tcPr>
          <w:p>
            <w:pPr>
              <w:ind w:left="720"/>
              <w:spacing w:after="0"/>
              <w:rPr>
                <w:sz w:val="20"/>
                <w:szCs w:val="20"/>
                <w:color w:val="auto"/>
              </w:rPr>
            </w:pPr>
            <w:r>
              <w:rPr>
                <w:rFonts w:ascii="Arial" w:cs="Arial" w:eastAsia="Arial" w:hAnsi="Arial"/>
                <w:sz w:val="16"/>
                <w:szCs w:val="16"/>
                <w:color w:val="auto"/>
              </w:rPr>
              <w:t>TRW Automotive Holdings Group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Federal-Mogul Corp.</w:t>
            </w:r>
          </w:p>
        </w:tc>
        <w:tc>
          <w:tcPr>
            <w:tcW w:w="3260" w:type="dxa"/>
            <w:vAlign w:val="bottom"/>
          </w:tcPr>
          <w:p>
            <w:pPr>
              <w:ind w:left="560"/>
              <w:spacing w:after="0"/>
              <w:rPr>
                <w:sz w:val="20"/>
                <w:szCs w:val="20"/>
                <w:color w:val="auto"/>
              </w:rPr>
            </w:pPr>
            <w:r>
              <w:rPr>
                <w:rFonts w:ascii="Arial" w:cs="Arial" w:eastAsia="Arial" w:hAnsi="Arial"/>
                <w:sz w:val="16"/>
                <w:szCs w:val="16"/>
                <w:color w:val="auto"/>
              </w:rPr>
              <w:t>Polaris Industries Inc.</w:t>
            </w:r>
          </w:p>
        </w:tc>
        <w:tc>
          <w:tcPr>
            <w:tcW w:w="3540" w:type="dxa"/>
            <w:vAlign w:val="bottom"/>
          </w:tcPr>
          <w:p>
            <w:pPr>
              <w:ind w:left="720"/>
              <w:spacing w:after="0"/>
              <w:rPr>
                <w:sz w:val="20"/>
                <w:szCs w:val="20"/>
                <w:color w:val="auto"/>
              </w:rPr>
            </w:pPr>
            <w:r>
              <w:rPr>
                <w:rFonts w:ascii="Arial" w:cs="Arial" w:eastAsia="Arial" w:hAnsi="Arial"/>
                <w:sz w:val="16"/>
                <w:szCs w:val="16"/>
                <w:color w:val="auto"/>
              </w:rPr>
              <w:t>Vector Aerospace Corp.</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Federal Signal Corp.</w:t>
            </w:r>
          </w:p>
        </w:tc>
        <w:tc>
          <w:tcPr>
            <w:tcW w:w="3260" w:type="dxa"/>
            <w:vAlign w:val="bottom"/>
          </w:tcPr>
          <w:p>
            <w:pPr>
              <w:ind w:left="560"/>
              <w:spacing w:after="0"/>
              <w:rPr>
                <w:sz w:val="20"/>
                <w:szCs w:val="20"/>
                <w:color w:val="auto"/>
              </w:rPr>
            </w:pPr>
            <w:r>
              <w:rPr>
                <w:rFonts w:ascii="Arial" w:cs="Arial" w:eastAsia="Arial" w:hAnsi="Arial"/>
                <w:sz w:val="16"/>
                <w:szCs w:val="16"/>
                <w:color w:val="auto"/>
              </w:rPr>
              <w:t>Portec Rail Products Inc.</w:t>
            </w:r>
          </w:p>
        </w:tc>
        <w:tc>
          <w:tcPr>
            <w:tcW w:w="3540" w:type="dxa"/>
            <w:vAlign w:val="bottom"/>
          </w:tcPr>
          <w:p>
            <w:pPr>
              <w:ind w:left="720"/>
              <w:spacing w:after="0"/>
              <w:rPr>
                <w:sz w:val="20"/>
                <w:szCs w:val="20"/>
                <w:color w:val="auto"/>
              </w:rPr>
            </w:pPr>
            <w:r>
              <w:rPr>
                <w:rFonts w:ascii="Arial" w:cs="Arial" w:eastAsia="Arial" w:hAnsi="Arial"/>
                <w:sz w:val="16"/>
                <w:szCs w:val="16"/>
                <w:color w:val="auto"/>
              </w:rPr>
              <w:t>Wabtec</w:t>
            </w: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Force Protection Inc.</w:t>
            </w:r>
          </w:p>
        </w:tc>
        <w:tc>
          <w:tcPr>
            <w:tcW w:w="3260" w:type="dxa"/>
            <w:vAlign w:val="bottom"/>
          </w:tcPr>
          <w:p>
            <w:pPr>
              <w:ind w:left="560"/>
              <w:spacing w:after="0"/>
              <w:rPr>
                <w:sz w:val="20"/>
                <w:szCs w:val="20"/>
                <w:color w:val="auto"/>
              </w:rPr>
            </w:pPr>
            <w:r>
              <w:rPr>
                <w:rFonts w:ascii="Arial" w:cs="Arial" w:eastAsia="Arial" w:hAnsi="Arial"/>
                <w:sz w:val="16"/>
                <w:szCs w:val="16"/>
                <w:color w:val="auto"/>
              </w:rPr>
              <w:t>SIFCO Industries Inc.</w:t>
            </w:r>
          </w:p>
        </w:tc>
        <w:tc>
          <w:tcPr>
            <w:tcW w:w="354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Ford Motor Co.</w:t>
            </w:r>
          </w:p>
        </w:tc>
        <w:tc>
          <w:tcPr>
            <w:tcW w:w="3260" w:type="dxa"/>
            <w:vAlign w:val="bottom"/>
          </w:tcPr>
          <w:p>
            <w:pPr>
              <w:ind w:left="560"/>
              <w:spacing w:after="0"/>
              <w:rPr>
                <w:sz w:val="20"/>
                <w:szCs w:val="20"/>
                <w:color w:val="auto"/>
              </w:rPr>
            </w:pPr>
            <w:r>
              <w:rPr>
                <w:rFonts w:ascii="Arial" w:cs="Arial" w:eastAsia="Arial" w:hAnsi="Arial"/>
                <w:sz w:val="16"/>
                <w:szCs w:val="16"/>
                <w:color w:val="auto"/>
              </w:rPr>
              <w:t>Spartan Motors Inc.</w:t>
            </w:r>
          </w:p>
        </w:tc>
        <w:tc>
          <w:tcPr>
            <w:tcW w:w="3540" w:type="dxa"/>
            <w:vAlign w:val="bottom"/>
          </w:tcPr>
          <w:p>
            <w:pPr>
              <w:spacing w:after="0"/>
              <w:rPr>
                <w:sz w:val="23"/>
                <w:szCs w:val="23"/>
                <w:color w:val="auto"/>
              </w:rPr>
            </w:pPr>
          </w:p>
        </w:tc>
      </w:tr>
    </w:tbl>
    <w:p>
      <w:pPr>
        <w:spacing w:after="0" w:line="19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color w:val="auto"/>
        </w:rPr>
        <w:t xml:space="preserve">Compensation Process. </w:t>
      </w:r>
      <w:r>
        <w:rPr>
          <w:rFonts w:ascii="Arial" w:cs="Arial" w:eastAsia="Arial" w:hAnsi="Arial"/>
          <w:sz w:val="16"/>
          <w:szCs w:val="16"/>
          <w:color w:val="auto"/>
        </w:rPr>
        <w:t>The Committee reviews the benchmarking and performance evaluations prepared by Management in determining the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and individual compensation levels for the performance year. In conducting its review, the Committee considers our quantitative performance results; the overall need of the Company to attract, retain and motivate the executive team and the total cost of compensation programs.</w:t>
      </w:r>
    </w:p>
    <w:p>
      <w:pPr>
        <w:spacing w:after="0" w:line="13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Named Executive Officers through the use of tally sheets. Each tally sheet identifies anticipated dollar amounts for individual components of executive compensation, including base salary, annual incentives, long-term incentives, equity awards, deferred compensation, benefits, perquisites and potential change in control and severance payments. Each year's decisions for setting compensation targets for each annual and three-year incentive compensation measuring period are based on the Committee's evaluation of our business needs, goals and environment for that year.</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 makes all compensation decisions for Named Executive Officers and approves</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salaries, bonuses, and compensation plans and policies, and other incentive programs. For compensation decisions made prior to Fiscal 2011, Mr. Olson, the former CEO, reviewed the performance of each Named Executive Officer (other than the CEO, whose performance was reviewed by the Committee). The CEO made recommendations for Fiscal 2011 compensation to the Committee based upon this review and the Committee, in turn, exercised its discretion in modifying any recommended adjustments or awards to Named Executive Officers.</w:t>
      </w:r>
    </w:p>
    <w:p>
      <w:pPr>
        <w:spacing w:after="0" w:line="146"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For decisions relating to compensation beginning in Fiscal 2012, subsequent to the election of Mr. Potts to the position of CEO, the CEO, with input of the Chairman, annually reviews the performance of each Named Executive Officer (other than the CEO and Chairman). The CEO's performance is directly reviewed by the Chairman and the Committee and the Chairman's performance is reviewed directly by the Committee. The conclusions reached and recommendations made by the CEO and Chairman, respectively, including any salary adjustments and annual award amounts, are presented to the Committee. The Committee can exercise its discretion in modifying any recommended adjustments or awards to each of the Named Executive Officers.</w:t>
      </w:r>
    </w:p>
    <w:p>
      <w:pPr>
        <w:spacing w:after="0" w:line="14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As noted above, the Committee directly evaluates the performance of the Chairman, Robert J. Olson (who also was evaluated for his performance as CEO through June 21, 2011) and Randy J. Potts (elected CEO June 21, 2011). That review is conducted at least annually with full Board participation (excluding the Chairman and CEO, as applicable). The Committee ultimately must approve all compensation decisions for all executives, including the Chairman and the CEO.</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Prior to Fiscal 2011, the Committee made a recommendation to the Board for Mr. Olson's</w:t>
      </w:r>
    </w:p>
    <w:p>
      <w:pPr>
        <w:sectPr>
          <w:pgSz w:w="11900" w:h="16838" w:orient="portrait"/>
          <w:cols w:equalWidth="0" w:num="1">
            <w:col w:w="11380"/>
          </w:cols>
          <w:pgMar w:left="240" w:top="141" w:right="2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141" w:right="27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Fiscal 2011 total compensation package as Chairman and CEO of the Company. The Committee met in executive session to formulate its recommendation for Mr. Olson's base pay, target annual and long-term incentive compensation and stock-based compensation to the Board. These recommendations were based upon:</w:t>
      </w:r>
    </w:p>
    <w:p>
      <w:pPr>
        <w:spacing w:after="0" w:line="14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of the Company's compensation peers;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evaluation of the CEO's performance for the fiscal year conducted by the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Named Executive Officers;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the Company's Compensation Peers;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9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Committee utilized these same factors in formulating any adjustments to Mr. Potts' base pay, target annual and long-term incentive compensation and stock-based compensation for and during Fiscal 2011 and in compensation decisions for Mr. Potts for Fiscal 2012.</w:t>
      </w:r>
    </w:p>
    <w:p>
      <w:pPr>
        <w:spacing w:after="0" w:line="153"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i w:val="1"/>
          <w:iCs w:val="1"/>
          <w:color w:val="auto"/>
        </w:rPr>
        <w:t xml:space="preserve">Determining the Chair's Compensation. </w:t>
      </w:r>
      <w:r>
        <w:rPr>
          <w:rFonts w:ascii="Arial" w:cs="Arial" w:eastAsia="Arial" w:hAnsi="Arial"/>
          <w:sz w:val="16"/>
          <w:szCs w:val="16"/>
          <w:color w:val="auto"/>
        </w:rPr>
        <w:t>Beginning in Fiscal 2011, the Committee makes recommendations to the Board for the Chairman's base pay,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and long-term incentive compensation and stock-based compensation based upon:</w:t>
      </w:r>
    </w:p>
    <w:p>
      <w:pPr>
        <w:spacing w:after="0" w:line="1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evaluation of total compensation made to the position of executive chairman by certain of the Company's Compensation Peers;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evaluation of the Chairman's performance for the fiscal year conducted by the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Chairman in comparison to other Named Executive Officers;</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the position of executive chairman and executive officers in the Company's Compensation Peers; and</w:t>
      </w: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Members of the Committee may also conduct select in-depth interviews with the Chairman's and CEO's direct reports and other executives. The evaluation is based upon the Chairman's and CEO's success in achieving their performance commitments, which include financial, strategic and company culture/leadership goals.</w:t>
      </w:r>
    </w:p>
    <w:p>
      <w:pPr>
        <w:spacing w:after="0" w:line="13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i w:val="1"/>
          <w:iCs w:val="1"/>
          <w:color w:val="auto"/>
        </w:rPr>
        <w:t xml:space="preserve">Determining Compensation for other Named Executive Officers. </w:t>
      </w:r>
      <w:r>
        <w:rPr>
          <w:rFonts w:ascii="Arial" w:cs="Arial" w:eastAsia="Arial" w:hAnsi="Arial"/>
          <w:sz w:val="16"/>
          <w:szCs w:val="16"/>
          <w:color w:val="auto"/>
        </w:rPr>
        <w:t>The Committee approves the annual compensation (including salary, target annual and long-term incentive compensation and stock-based compensation) for our Named Executive Officers (excluding the Chairman and the CEO), based upon:</w:t>
      </w:r>
    </w:p>
    <w:p>
      <w:pPr>
        <w:spacing w:after="0" w:line="28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market competitive assessment of similar roles at Compensation Peers;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Named Executive Officers, including the CEO and Chairman;</w:t>
      </w:r>
    </w:p>
    <w:p>
      <w:pPr>
        <w:spacing w:after="0" w:line="5" w:lineRule="exact"/>
        <w:rPr>
          <w:rFonts w:ascii="Arial" w:cs="Arial" w:eastAsia="Arial" w:hAnsi="Arial"/>
          <w:sz w:val="16"/>
          <w:szCs w:val="16"/>
          <w:color w:val="auto"/>
        </w:rPr>
      </w:pPr>
    </w:p>
    <w:p>
      <w:pPr>
        <w:ind w:left="340" w:right="600" w:hanging="332"/>
        <w:spacing w:after="0" w:line="24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Chairman, or the CEO and President, and supported by performance evaluation documents, which include feedback from the executive's peers, direct reports and other employees within the executive's division;</w:t>
      </w: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CEO's recommendations for each other Named Executive Officer's base pay, incentive compensation and stock-based compensation amounts;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Fiscal 2011, base salaries were reviewed by the Committee periodically throughout the fiscal year. The Committee previously determined that the timing of annual base salary adjustments (if any) would be typically made in September of each year to coincide with the beginning of the new fiscal year and to match the timing of wage and base salary adjustments (if any) for all other employees. However, no annual increase in base salaries took place during Fiscal 2009, Fiscal 2010 or Fiscal 2011 and furthermore, reductions in base salaries that occurred in March 2009 remained in place until they were reinstated on February 28, 2011 as further described in "Base Salary" below. In October 2010, the financial metrics for potential incentive awards were reviewed and established at the regularly scheduled meetings of the Committee and the full Board of Directors. No stock options or restricted stock grants were made to Named Executive Officers in Fiscal 2009 or in Fiscal 2010. However, the Committee recommended and the Board approved an award of restricted stock to Named Executive Officers on March 23, 2011, as further described in "Long-Term Incentives" below.</w:t>
      </w:r>
    </w:p>
    <w:p>
      <w:pPr>
        <w:spacing w:after="0" w:line="13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i w:val="1"/>
          <w:iCs w:val="1"/>
          <w:color w:val="auto"/>
        </w:rPr>
        <w:t xml:space="preserve">Risk Assessment of Compensation Decisions. </w:t>
      </w:r>
      <w:r>
        <w:rPr>
          <w:rFonts w:ascii="Arial" w:cs="Arial" w:eastAsia="Arial" w:hAnsi="Arial"/>
          <w:sz w:val="16"/>
          <w:szCs w:val="16"/>
          <w:color w:val="auto"/>
        </w:rPr>
        <w:t>In formulating and evaluating material elements of compensation available to our employees,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the Board takes into consideration whether any such programs may encourage excessive risk behavior. As part of these considerations and consistent with its compensation philosophy, the Board is determined to formulate annual and long-term incentive compensation programs without encouraging excessive risk taking as an integral part of the applicable plan design. The Board believes that the annual and long-term incentive programs as outlined below minimize the risk that the Named Executive Officers are encouraged to take, in that:</w:t>
      </w:r>
    </w:p>
    <w:p>
      <w:pPr>
        <w:spacing w:after="0" w:line="308" w:lineRule="exact"/>
        <w:rPr>
          <w:sz w:val="20"/>
          <w:szCs w:val="20"/>
          <w:color w:val="auto"/>
        </w:rPr>
      </w:pPr>
    </w:p>
    <w:p>
      <w:pPr>
        <w:ind w:left="340" w:right="1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financial metrics utilized under each of these plans are widely utilized measurements of shareholder value;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excessive compensation payment opportunities are avoided by the establishment of maximum levels of incentive payment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opportunities; and</w:t>
      </w:r>
    </w:p>
    <w:p>
      <w:pPr>
        <w:spacing w:after="0" w:line="4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changes to annual or long-term incentive program financial metrics have been made after the Committee initially establishes such metrics.</w:t>
      </w:r>
    </w:p>
    <w:p>
      <w:pPr>
        <w:spacing w:after="0" w:line="19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Beginning with Fiscal 2012 incentive compensation programs, the Board established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 adopt a clawback policy after the SEC issues final rules implementing the clawback provisions as set forth in the Dodd-Frank Wall Street Reform and Consumer Protection Act.</w:t>
      </w:r>
    </w:p>
    <w:p>
      <w:pPr>
        <w:spacing w:after="0" w:line="176"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w:t>
      </w:r>
    </w:p>
    <w:p>
      <w:pPr>
        <w:spacing w:after="0" w:line="14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b w:val="1"/>
          <w:bCs w:val="1"/>
          <w:color w:val="auto"/>
        </w:rPr>
        <w:t xml:space="preserve">Accounting and Tax Effects. </w:t>
      </w:r>
      <w:r>
        <w:rPr>
          <w:rFonts w:ascii="Arial" w:cs="Arial" w:eastAsia="Arial" w:hAnsi="Arial"/>
          <w:sz w:val="16"/>
          <w:szCs w:val="16"/>
          <w:color w:val="auto"/>
        </w:rPr>
        <w:t>The Committee considers both the financial reporting and the tax treatment of compensation elements in its decision-making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The Committee seeks a balance among the Company's best interests, fair treatment of the Named Executive Officers, minimizing taxation of the compensation offered to the Named Executive Officers, and maximizing immediate deductibility by the Company.</w:t>
      </w:r>
    </w:p>
    <w:p>
      <w:pPr>
        <w:spacing w:after="0" w:line="8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Named Executive Officers, in part because of the more direct valuation and expensing of those awards.</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Named Executive Officers, to reduce amounts payable that otherwise would have been subject to an excise tax known as “excess golden parachute payments” as defined under IRC Section 280G and further amended such agreements in Fiscal 2009 in order to comply with IRC Section 409A. As described below under “Supplemental Executive Retirement Plan (SERP)/Split Dollar Life Insurance,” we converted benefits payable under the Executive Split Dollar Life Program to a Supplemental Executive Retirement Plan in Fiscal 2009 in order to comply with IRC Section 409A.</w:t>
      </w:r>
    </w:p>
    <w:p>
      <w:pPr>
        <w:spacing w:after="0" w:line="99"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The Committee also is aware that IRC Section 162(m) limits deductions for compensation paid in excess of $1 million. In response, the Committee designs much of the total compensation package of the Named Executive Officers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2011, the principal design components of compensation for each Named Executive Officer were:</w:t>
      </w:r>
    </w:p>
    <w:p>
      <w:pPr>
        <w:spacing w:after="0" w:line="18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annual incentive awards;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67"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Additional elements of the total compensation package for Named Executive Officers include executive benefits, perquisites and severance agreements, as described below. Each component is designed to achieve a specific purpose and to contribute to a total package that is competitive, appropriately performance-based and valued by our executives. In Fiscal 2011, we made no material deviations from previously disclosed or projected payments or practices under these programs.</w:t>
      </w:r>
    </w:p>
    <w:p>
      <w:pPr>
        <w:spacing w:after="0" w:line="14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long-term incentive compensation. However, we believe that a smaller portion of potential total executive compensation should be attributed to base salary because it is a fixed component of total compensation. As a result, we have generally emphasized conservative base salary payments to Named Executive Officers, relative to our Compensation Peers. We alternatively provide the potential for a greater incentive compensation component of total executive compensation, which is based predominately on the performance factors described below. In Fiscal 2011, as was the case in Fiscal 2010, because the Committee determined that we did not achieve threshold performance measures for the incentive compensation component, base salary contributed to a larger part of total compensation for Named Executive Officers when compared to certain prior fiscal years.</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Named Executive Officers for specific skills and competencies required to perform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role and to provide executive leadership. We provide Named Executive Officers and other employees with base salary to compensate them for services rendered during the fiscal year. Base salary ranges for Named Executive Officers are determined for each executive based on his or her position and responsibilities. The base salaries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our executives are also determined by considering such factors as:</w:t>
      </w:r>
    </w:p>
    <w:p>
      <w:pPr>
        <w:spacing w:after="0" w:line="11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experience of the executive;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time in position;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of responsibility for the executive;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economic conditions.</w:t>
      </w:r>
    </w:p>
    <w:p>
      <w:pPr>
        <w:spacing w:after="0" w:line="167"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In general, base salary determinations are considered in June of each year as part of the Committee's performance review process as well as upon a promotion or other change in job responsibility. Base salary is used as the basis for calculating annual and long-term incentive awards and in calculating payments that may be paid upon a change in control, as described below.</w:t>
      </w:r>
    </w:p>
    <w:p>
      <w:pPr>
        <w:spacing w:after="0" w:line="14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For Fiscal 2009, Fiscal 2010 and Fiscal 2011, the Committee elected not to provide Named Executive Officers with annual base salary increases as a means to control costs in response to economic conditions, except for the reinstatement of wage reductions during Fiscal 2011 and except for the increase in Mr. Potts' base salary as described below. Effective March 1, 2009, the Board of Directors, at the recommendation of Management and in connection with our continuing efforts to reduce costs, approved a 20 percent reduction of the annual base salary of Robert J. Olson, then Chairman, CEO and President, and a 10 percent reduction of the annual base salaries of all of our executive officers, including each of the Named Executive Officers. At the time of these base salary reductions, the Board of Directors delegated to Mr. Olson the authority to determine whether to implement the restoration of the base salaries, depending upon the Company's performance. Mr. Olson, pursuant to this authority, determined to implement increases to base salaries, effective February 28, 2011,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4620" w:type="dxa"/>
            <w:vAlign w:val="bottom"/>
          </w:tcPr>
          <w:p>
            <w:pPr>
              <w:ind w:left="1320"/>
              <w:spacing w:after="0"/>
              <w:rPr>
                <w:sz w:val="20"/>
                <w:szCs w:val="20"/>
                <w:color w:val="auto"/>
              </w:rPr>
            </w:pPr>
            <w:r>
              <w:rPr>
                <w:rFonts w:ascii="Arial" w:cs="Arial" w:eastAsia="Arial" w:hAnsi="Arial"/>
                <w:sz w:val="16"/>
                <w:szCs w:val="16"/>
                <w:b w:val="1"/>
                <w:bCs w:val="1"/>
                <w:color w:val="auto"/>
              </w:rPr>
              <w:t>Annual Base Salary Prior to February 28,</w:t>
            </w:r>
          </w:p>
        </w:tc>
        <w:tc>
          <w:tcPr>
            <w:tcW w:w="3520" w:type="dxa"/>
            <w:vAlign w:val="bottom"/>
          </w:tcPr>
          <w:p>
            <w:pPr>
              <w:ind w:left="140"/>
              <w:spacing w:after="0"/>
              <w:rPr>
                <w:sz w:val="20"/>
                <w:szCs w:val="20"/>
                <w:color w:val="auto"/>
              </w:rPr>
            </w:pPr>
            <w:r>
              <w:rPr>
                <w:rFonts w:ascii="Arial" w:cs="Arial" w:eastAsia="Arial" w:hAnsi="Arial"/>
                <w:sz w:val="16"/>
                <w:szCs w:val="16"/>
                <w:b w:val="1"/>
                <w:bCs w:val="1"/>
                <w:color w:val="auto"/>
              </w:rPr>
              <w:t>Annual Base Salary Effective February 28,</w:t>
            </w:r>
          </w:p>
        </w:tc>
      </w:tr>
      <w:tr>
        <w:trPr>
          <w:trHeight w:val="228"/>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Named Executive Officer</w:t>
            </w:r>
          </w:p>
        </w:tc>
        <w:tc>
          <w:tcPr>
            <w:tcW w:w="4620" w:type="dxa"/>
            <w:vAlign w:val="bottom"/>
            <w:tcBorders>
              <w:bottom w:val="single" w:sz="8" w:color="auto"/>
            </w:tcBorders>
          </w:tcPr>
          <w:p>
            <w:pPr>
              <w:jc w:val="center"/>
              <w:ind w:left="1099"/>
              <w:spacing w:after="0"/>
              <w:rPr>
                <w:sz w:val="20"/>
                <w:szCs w:val="20"/>
                <w:color w:val="auto"/>
              </w:rPr>
            </w:pPr>
            <w:r>
              <w:rPr>
                <w:rFonts w:ascii="Arial" w:cs="Arial" w:eastAsia="Arial" w:hAnsi="Arial"/>
                <w:sz w:val="16"/>
                <w:szCs w:val="16"/>
                <w:b w:val="1"/>
                <w:bCs w:val="1"/>
                <w:color w:val="auto"/>
              </w:rPr>
              <w:t>2011</w:t>
            </w: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2011</w:t>
            </w: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462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rPr>
              <w:t>$371,200</w:t>
            </w:r>
          </w:p>
        </w:tc>
        <w:tc>
          <w:tcPr>
            <w:tcW w:w="3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$464,000</w:t>
            </w:r>
          </w:p>
        </w:tc>
      </w:tr>
      <w:tr>
        <w:trPr>
          <w:trHeight w:val="233"/>
        </w:trPr>
        <w:tc>
          <w:tcPr>
            <w:tcW w:w="328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4620" w:type="dxa"/>
            <w:vAlign w:val="bottom"/>
          </w:tcPr>
          <w:p>
            <w:pPr>
              <w:jc w:val="center"/>
              <w:ind w:left="1099"/>
              <w:spacing w:after="0"/>
              <w:rPr>
                <w:sz w:val="20"/>
                <w:szCs w:val="20"/>
                <w:color w:val="auto"/>
              </w:rPr>
            </w:pPr>
            <w:r>
              <w:rPr>
                <w:rFonts w:ascii="Arial" w:cs="Arial" w:eastAsia="Arial" w:hAnsi="Arial"/>
                <w:sz w:val="16"/>
                <w:szCs w:val="16"/>
                <w:color w:val="auto"/>
              </w:rPr>
              <w:t>232,924</w:t>
            </w:r>
          </w:p>
        </w:tc>
        <w:tc>
          <w:tcPr>
            <w:tcW w:w="3520" w:type="dxa"/>
            <w:vAlign w:val="bottom"/>
          </w:tcPr>
          <w:p>
            <w:pPr>
              <w:jc w:val="center"/>
              <w:spacing w:after="0"/>
              <w:rPr>
                <w:sz w:val="20"/>
                <w:szCs w:val="20"/>
                <w:color w:val="auto"/>
              </w:rPr>
            </w:pPr>
            <w:r>
              <w:rPr>
                <w:rFonts w:ascii="Arial" w:cs="Arial" w:eastAsia="Arial" w:hAnsi="Arial"/>
                <w:sz w:val="16"/>
                <w:szCs w:val="16"/>
                <w:color w:val="auto"/>
              </w:rPr>
              <w:t>258,804</w:t>
            </w:r>
          </w:p>
        </w:tc>
      </w:tr>
      <w:tr>
        <w:trPr>
          <w:trHeight w:val="25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Roger W. Martin</w:t>
            </w:r>
          </w:p>
        </w:tc>
        <w:tc>
          <w:tcPr>
            <w:tcW w:w="462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rPr>
              <w:t>223,330</w:t>
            </w:r>
          </w:p>
        </w:tc>
        <w:tc>
          <w:tcPr>
            <w:tcW w:w="3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248,144</w:t>
            </w:r>
          </w:p>
        </w:tc>
      </w:tr>
      <w:tr>
        <w:trPr>
          <w:trHeight w:val="233"/>
        </w:trPr>
        <w:tc>
          <w:tcPr>
            <w:tcW w:w="328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4620" w:type="dxa"/>
            <w:vAlign w:val="bottom"/>
          </w:tcPr>
          <w:p>
            <w:pPr>
              <w:jc w:val="center"/>
              <w:ind w:left="1099"/>
              <w:spacing w:after="0"/>
              <w:rPr>
                <w:sz w:val="20"/>
                <w:szCs w:val="20"/>
                <w:color w:val="auto"/>
              </w:rPr>
            </w:pPr>
            <w:r>
              <w:rPr>
                <w:rFonts w:ascii="Arial" w:cs="Arial" w:eastAsia="Arial" w:hAnsi="Arial"/>
                <w:sz w:val="16"/>
                <w:szCs w:val="16"/>
                <w:color w:val="auto"/>
              </w:rPr>
              <w:t>222,160</w:t>
            </w:r>
          </w:p>
        </w:tc>
        <w:tc>
          <w:tcPr>
            <w:tcW w:w="3520" w:type="dxa"/>
            <w:vAlign w:val="bottom"/>
          </w:tcPr>
          <w:p>
            <w:pPr>
              <w:jc w:val="center"/>
              <w:spacing w:after="0"/>
              <w:rPr>
                <w:sz w:val="20"/>
                <w:szCs w:val="20"/>
                <w:color w:val="auto"/>
              </w:rPr>
            </w:pPr>
            <w:r>
              <w:rPr>
                <w:rFonts w:ascii="Arial" w:cs="Arial" w:eastAsia="Arial" w:hAnsi="Arial"/>
                <w:sz w:val="16"/>
                <w:szCs w:val="16"/>
                <w:color w:val="auto"/>
              </w:rPr>
              <w:t>246,844</w:t>
            </w:r>
          </w:p>
        </w:tc>
      </w:tr>
      <w:tr>
        <w:trPr>
          <w:trHeight w:val="25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462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rPr>
              <w:t>221,364</w:t>
            </w:r>
          </w:p>
        </w:tc>
        <w:tc>
          <w:tcPr>
            <w:tcW w:w="3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245,960</w:t>
            </w:r>
          </w:p>
        </w:tc>
      </w:tr>
    </w:tbl>
    <w:p>
      <w:pPr>
        <w:spacing w:after="0" w:line="19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reinstated base salary adjustments for the executive officers occurred at the same time that a restoration of base salaries was made for all salaried employees of the Company who had previously had their base salary reduced by 3 percent in March 2009. The Committee believed that it was appropriate to authorize the reinstatement of base salaries to the executive officers and to all salaried employees to promote continuity and retention of the Company's human resources.</w:t>
      </w:r>
    </w:p>
    <w:p>
      <w:pPr>
        <w:spacing w:after="0" w:line="176"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During Fiscal 2011, the Committee also approved certain base salary adjustments for Randy J. Potts in recognition of his performance and increased responsibilities due to promotion to the position of President. Mr. Potts was elected to the position of President in January 2011 and in connection with this promotion, the Committee approved an increase in annual base salary to$315,000 from $210,000. Effective February 28, 2011, Mr. Potts received an adjustment placing his annual base salary at $349,960 to properly align his compensation after reinstatement of the executive officers' base salaries as described above. Effective July 18, 2011, based on his performance as President, the Committee approved and Mr. Potts received a base salary adjustment, from $349,960 to $364,000 per annum.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w:t>
      </w:r>
    </w:p>
    <w:p>
      <w:pPr>
        <w:spacing w:after="0" w:line="2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i w:val="1"/>
          <w:iCs w:val="1"/>
          <w:color w:val="auto"/>
        </w:rPr>
        <w:t xml:space="preserve">Officers Incentive Compensation Plan Fiscal Period 2011. </w:t>
      </w:r>
      <w:r>
        <w:rPr>
          <w:rFonts w:ascii="Arial" w:cs="Arial" w:eastAsia="Arial" w:hAnsi="Arial"/>
          <w:sz w:val="16"/>
          <w:szCs w:val="16"/>
          <w:color w:val="auto"/>
        </w:rPr>
        <w:t>Our Named Executive Officers are eligible for annual incentive awards under our Officers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Fiscal Period 2011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4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and approved by the Board of Directors.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Board of Directors.</w:t>
      </w:r>
    </w:p>
    <w:p>
      <w:pPr>
        <w:spacing w:after="0" w:line="14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Diluted earnings per share (“EPS”) and ROIC were chosen by the Committee as the key financial performance measurements under the Officers Incentive Compensation Plan. The Board, upon the recommendation of the Committee, selected EPS as a key financial performance metric for the following reasons:</w:t>
      </w:r>
    </w:p>
    <w:p>
      <w:pPr>
        <w:spacing w:after="0" w:line="14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EPS is an important indicator of profitability by measuring our earnings allocable to each outstanding share of Common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EPS aligns the interests of the Named Executive Officers with shareholders;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EPS factors in the effects of other items of compensation, such as stock options and restricted stock grants.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formula utilized for EPS is net income divided by weighted average common diluted shares outstanding. For the purposes 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Officers Incentive Compensation Plan, the Committee calculated EPS to reflect the operating performance of the Company and excluded the impact of non-recurring tax related items in such calculation.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Board, upon the recommendation of the Committee, selected ROIC as another one of its key financial performance metrics because:</w:t>
      </w:r>
    </w:p>
    <w:p>
      <w:pPr>
        <w:spacing w:after="0" w:line="16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ROIC is a critical indicator of how effectively a company uses its capital invested in its operations;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ROIC is an important measurement for judging how much value the company is creating.</w:t>
      </w:r>
    </w:p>
    <w:p>
      <w:pPr>
        <w:spacing w:after="0" w:line="16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formula utilized for ROIC is operating income after the standard corporate tax rate divided by the average of beginning and ending Fiscal 2011 year-end total assets, less cash, short-term and long-term investments and non-interest bearing current liabilities.</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Officers Incentive Compensation Plan provided for a bonus (Target) opportunity of 60 percent of base salary (comprised of a mix of 2/3 cash and 1/3 restricted stock) at 100 percent achievement of each of the financial objectives of ROIC and EPS for the Named Executive Officers, except with respect to Mr. Olson as the CEO and President. For the CEO and President, the Plan provided for a bonus (Target) opportunity of 90 percent of base salary (comprised of a mix of 2/3 cash and 1/3 restricted stock) at 100 percent achievement of each of the financial objectives of ROIC and EPS. A participant must be an employee at the end of the fiscal year to be eligible for the incentive except in connection with the Change in Control or as waived by the Committee. The annual restricted stock grant portion of the Officers Incentive Compensation Plan, which comprises 1/3 of the officer's earned incentive for the year, is awarded as soon as practical after the final fiscal year-end compensation accounting is completed and upon approval by the Committee, with a one-year restriction on sale upon award.</w:t>
      </w:r>
    </w:p>
    <w:p>
      <w:pPr>
        <w:spacing w:after="0" w:line="15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In connection with the election of Randy J. Potts to the office of President on January 18, 2011 and subsequently CEO on June 21, 2011, the Committee determined that Mr. Potts would continue to have an annual target of 60 percent of his annualized base salary at 100 percent achievement of performance under the Officers Incentive Compensation Plan for Fiscal 2011. Robert J. Olson retained an annual target of 90 percent of his annual base salary at 100 percent achievement of performance under the Officers Incentive Compensation Plan for Fiscal 2011.</w:t>
      </w:r>
    </w:p>
    <w:p>
      <w:pPr>
        <w:spacing w:after="0" w:line="17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At its October 2010 meeting, the Board approved, upon the recommendation of the Committee, the Fiscal 2011 financial targets under the Officers Incentive Compensation Plan. In calculating the financial targets for incentive eligibility under the Officers Incentive Compensation Plan, the financial performance in Fiscal 2011 was weighted 75 percent to EPS and 25 percent to ROIC, with an aggregate maximum bonus of 200 percent of the Target. The Committee has placed more weight on EPS due to its belief that EPS is an excellent measurement as to overall company profitability for shareholders. The first portion of the Target is based solely on ROIC which may provide up to a maximum bonus of 50 percent of the Target which is achievable at an ROIC of 16.8 percent. Financial performance of less than 10.4 percent ROIC results in no bonus attributable to ROIC. The Committee believed that setting maximum and minimum bonus levels based on ROIC as defined, would provide for fair and equitable reward opportunity for executives while returning appropriate shareholder value proportionately within those parameters. In surveying applicable companies in the Profitable Transportation Group, the Committee found an average ROIC of approximately 10.6 percent at such companies as of the end of the last reported fiscal year. Additionally, the 10.4 percent ROIC opportunity threshold was selected because it was the ROIC percentage achieved by the first or lowest company to be listed in the top third of the Profitable Transportation Group. The 16.8 percent ROIC maximum opportunity represented the median of the top third of the Profitable Transportation Group.</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other component of the Target is based solely on EPS and provides a maximum bonus opportunity of 150 percent of the Target. The EPS target for Fiscal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2011 was established at $0.40, after reviewing and evaluating our most recent ten-year EPS average history and the actual EPS result of $0.35 for Fiscal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2010. Attainment of the Target of $0.40 provides the executive 50 percent of the Target. To attain the maximum of 150 percent, EPS maximum was set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$0.48, which represents 120 percent of the target EPS. EPS actual results of less than $0.32, which represents less than 80 percent of target EPS, results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 bonus attributable to EPS.</w:t>
      </w:r>
    </w:p>
    <w:p>
      <w:pPr>
        <w:spacing w:after="0" w:line="16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The Board of Directors may adjust the core incentive eligibility and may modify the Financial Factors used in determining the incentive compensation by plus or minus 20 percent as determined by the evaluation results of those strategic organizational goals and priorities. Strategic performance is measured only at the end of the fiscal year and may have included previously established strategic factors including, but not limited to:</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Revenue Growth</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Customer Satisfaction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Market Share</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Inventory Management</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Quality</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Technical Innovation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Introductions</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Ethical Business Practices</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Planning</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Business Diversity Initiatives</w:t>
            </w:r>
          </w:p>
        </w:tc>
      </w:tr>
    </w:tbl>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141" w:right="29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For the purposes of the Officers Incentive Compensation Plan, the Board determined not to modify amounts payable pursuant to EPS and ROIC targets. Since ROIC at the end of Fiscal 2011 was lower than 10.4 percent (ROIC entry target point) and Fiscal 2011 EPS, as determined by the Committee, was less than $0.32 (EPS entry target point), no amounts were paid to Named Executive Officers in Fiscal 2011 under the Officers Incentive Compensation Plan.</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For the 2012 fiscal year, the Committee recommended and the full Board approved the Officers Incentive Plan Fiscal Period 2012 (the "2012 Plan"), which includes a recoupment or "clawback" provision. In part, the clawback provision added to the 2012 Plan provides for the recoupment of incentive compensation paid in the event the Committee reasonably determines that the performance certified by the Committee, and any payment made to a participant with respect to the 2012 Plan, including the Named Executive Officers,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including the Named Executive Officers,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15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2012 Plan provides for an annual bonus Target opportunity of 90 percent of base salary for the Chairman, 75 percent of base salary for the CEO and President and 60 percent of base salary for other Named Executive Officers.</w:t>
      </w:r>
    </w:p>
    <w:p>
      <w:pPr>
        <w:spacing w:after="0" w:line="122"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 important element of the total executive compensation program for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Long-term incentives are intended to retain and motivate executives and to encourage a strong link between Management objectives and shareholder long-term interests. Our long-term incentives include the Officers Long-Term Incentive Plan described below, together with long-term incentives provided through grants of stock options in previous fiscal years and restricted stock.</w:t>
      </w:r>
    </w:p>
    <w:p>
      <w:pPr>
        <w:spacing w:after="0" w:line="12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Our Named Executive Officers are eligible for annual incentive awards under the Company's Officers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"Long-Term Incentive Plan"). Each 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 growth and profitability. Under the Long-Term Incentive Plan, the amount of a Named Executive Officer's incentive compensation for the three-year period is calculated to be in direct linear proportion to our measured financial performance expressed as a percentage against compensation targets for each participant, as approved by the Board of Directors. Named Executive Officers may be entitled to earlier vesting of awards under the Long-Term Incentive Plan in the event of a "Change of Control" (as defined in the Long-Term Incentive Plan), or as otherwise specified by the Committee. See "Potential Payments upon Termination of Change of Control-Long-Term Incentive Plan Payments" below.</w:t>
      </w:r>
    </w:p>
    <w:p>
      <w:pPr>
        <w:spacing w:after="0" w:line="15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Named Executive Officer. In general, the awards are based upon our financial performance as measured against the specific three-year plan established by the Committee and approved by the Board of Directors. The Committee has established financial measurements and awards for each specific three-year plan (as defined below).</w:t>
      </w:r>
    </w:p>
    <w:p>
      <w:pPr>
        <w:spacing w:after="0" w:line="13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auto"/>
        </w:rPr>
        <w:t xml:space="preserve">Long-Term Incentive Plan Fiscal 2009-2011. </w:t>
      </w:r>
      <w:r>
        <w:rPr>
          <w:rFonts w:ascii="Arial" w:cs="Arial" w:eastAsia="Arial" w:hAnsi="Arial"/>
          <w:sz w:val="16"/>
          <w:szCs w:val="16"/>
          <w:color w:val="auto"/>
        </w:rPr>
        <w:t>In June 2008, the Committee recommended and the Board approved a three-year plan with a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from Fiscal 2009 through Fiscal 2011 (the “2009-2011 Plan”). In October 2008, the Committee selected the financial measurement objective of ROE to be utilized for the Long-Term Incentive Plan for the 2009-2011 Plan Stockholders' equity at the beginning of the Company's fiscal year 2009, will be used as the basis figure for the calculation of ROE under the 2009-2011 Plan. The Committee believes that the metric of ROE for the 2009-2011 Plan, which is an additional financial metric separate from the EPS and ROIC metrics utilized under the Officers Incentive Compensation Plan Fiscal Period 2011, will provide for a more complete measurement of Management's effectiveness and the value created for shareholders on a long-term basis. In addition, the Committee determined that awards, if any, under the 2009-2011 Plan will be made solely in restricted stock in order to encourage stock ownership and promote the Company's long-term growth and profitability.</w:t>
      </w:r>
    </w:p>
    <w:p>
      <w:pPr>
        <w:spacing w:after="0" w:line="15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2009-2011 Plan provides for a bonus (Target) of 25 percent of the annualized base salary (Target) to be awarded in restricted stock at 100 percent achievement of the ROE financial objective. The annualized salary figure utilized for measurement in the 2009-2011 Plan is the salary in place for each participant as of January 2009, notwithstanding any adjustments to base salary made during Fiscal 2009. The resultant incentive award (at 100 percent of the three-year financial target) will be adjusted up or down as determined by the actual financial performance of ROE expressed as a percentage (Financial Factor) at the end of the three-year fiscal period.</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three-year cumulative ROE financial target under the 2009-2011 Plan is 18.8 percent. Financial performance of less than 80 percent of the three-year cumulative ROE financial target results in no incentive award under the 2009-2011 Plan. The maximum incentive award of 150 percent of Target can be earned if the financial measurement of ROE under the 2009-2011 Plan is maximized at 26.5 percent. The actual three year performance results achieved for ROE for the 2009-2011 Plan period was less than the threshold, which resulted in no payout under the 2009-2011 Plan.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Incentive Plan Fiscal 2010-2012. </w:t>
      </w:r>
      <w:r>
        <w:rPr>
          <w:rFonts w:ascii="Arial" w:cs="Arial" w:eastAsia="Arial" w:hAnsi="Arial"/>
          <w:sz w:val="16"/>
          <w:szCs w:val="16"/>
          <w:color w:val="auto"/>
        </w:rPr>
        <w:t>In June 2009, the Committee recommended and the Board approved a three-year</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plan with a performance period from Fiscal 2010 through Fiscal 2012 (the "2010-2012 Plan"). In October 2009, the Committee selected the metric of ROE for the 2010-2012 Plan based on the same principles utilized for the 2009-2011 Plan, as discussed above. Stockholders equity at the beginning of the Company's fiscal year 2010 will be used as the basis figure for the calculation of ROE under the 2010-2012 Plan. In addition, as is the case with the 2009-2011 Plan, the Committee determined that awards, if any, under the 2010-2012 Plan will be made solely in restricted stock in order to encourage stock ownership and promote our long-term growth and profitability.</w:t>
      </w:r>
    </w:p>
    <w:p>
      <w:pPr>
        <w:spacing w:after="0" w:line="14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2010-2012 Plan provides for a bonus (Target) of 25 percent of the annualized base salary (Target) to be awarded in restricted stock at 100 percent achievement of the ROE financial objective. The annualized salary figure utilized for measurement in the 2010-2012 Plan is the salary in place for each participant as of January 2010. The resultant incentive award (at 100 percent of the three-year financial target) will be adjusted up or down as determined by the actual financial performance of ROE expressed as a percentage (Financial Factor) at the end of the three-year fiscal period. The three-year cumulative ROE financial target under the 2010-2012 Plan is 15 percent. Financial performance of less than 80 percent of the three-year cumulative ROE financial target results in no incentive award under the 2010-2012 Plan. The maximum incentive award of 150 percent of Target can be earned if the financial measurement of ROE under the 2010-2012 Plan is maximized at 24 percent.</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Long-Term Incentive Plan Fiscal 2011-2013. </w:t>
      </w:r>
      <w:r>
        <w:rPr>
          <w:rFonts w:ascii="Arial" w:cs="Arial" w:eastAsia="Arial" w:hAnsi="Arial"/>
          <w:sz w:val="16"/>
          <w:szCs w:val="16"/>
          <w:color w:val="auto"/>
        </w:rPr>
        <w:t>In June 2010, the Committee recommended and the Board approved a three-year plan with a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from Fiscal 2011 through Fiscal 2013 (the "2011-2013 Plan"). In October 2010, the Committee selected the metric of ROE for the 2011-2013 Plan based on the same principles utilized for the 2009-2011 Plan and the 2010-2012 Plan as discussed above. In addition, as is the case with the 2009-2011 Plan and the 2010-2012 Plan, the Committee determined that awards, if any, under the 2011-2013 Plan will be made solely in restricted stock in order to encourage stock ownership and promote our long-term growth and profitability.</w:t>
      </w:r>
    </w:p>
    <w:p>
      <w:pPr>
        <w:spacing w:after="0" w:line="14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2011-2013 Plan provides for a bonus (Target) of 25 percent of the annualized base salary (Target) to be awarded in restricted stock at 100 percent achievement of the ROE financial objective. The annualized salary figure utilized for measurement in the 2011-2013 Plan is the salary in place for each participant as of January 2011. The resultant incentive award (at 100 percent of the three-year financial target) will be adjusted up or down as determined by the actual financial performance of ROE expressed as a percentage (Financial Factor) at the end of the three-year fiscal period. The three-year cumulative ROE financial target under the 2011-2013 Plan is 13 percent. Financial performance of less than 80 percent of the three-year cumulative ROE financial target results in no incentive award under the 2011-2013 Plan. The maximum incentive award of 150 percent of Target can be earned if the financial measurement of ROE under the 2011-2013 Plan is maximized at 22 percent.</w:t>
      </w:r>
    </w:p>
    <w:p>
      <w:pPr>
        <w:spacing w:after="0" w:line="182"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Estimated future payouts of plan-based awards under the 2011-2013 Plan are reported in the columns designated "Threshold," "Target" and "Maximum" in the Grants of Plan-Based Awards Table in the "Compensation Tables and Narrative Disclosure" below.</w:t>
      </w:r>
    </w:p>
    <w:p>
      <w:pPr>
        <w:spacing w:after="0" w:line="169"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 clawback provision, similar to the provision included in the 2012 Plan, was also included in the Long-Term Incentive Plan Fiscal 2012-2014. See “Annual Incentive Plan” above.</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2004 Incentive Compensation Plan. </w:t>
      </w:r>
      <w:r>
        <w:rPr>
          <w:rFonts w:ascii="Arial" w:cs="Arial" w:eastAsia="Arial" w:hAnsi="Arial"/>
          <w:sz w:val="16"/>
          <w:szCs w:val="16"/>
          <w:color w:val="auto"/>
        </w:rPr>
        <w:t>The 2004 Plan was adopted to reward key employees and Non-Employee Directors by providing for certain cash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means for those individuals to acquire Common Stock of the Company. The objective of the 2004 Plan is to further the Company's interests and those of our shareholders by providing incentives to key employees and Non-Employee Directors who contribute materially to our success and profitability. Additionally, we believe that the 2004 Plan serves to attract and retain certain key employees and Non-Employee Directors.</w:t>
      </w:r>
    </w:p>
    <w:p>
      <w:pPr>
        <w:spacing w:after="0" w:line="14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recommended by the Committee to the Board of Directors.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Insider Trading. </w:t>
      </w:r>
      <w:r>
        <w:rPr>
          <w:rFonts w:ascii="Arial" w:cs="Arial" w:eastAsia="Arial" w:hAnsi="Arial"/>
          <w:sz w:val="16"/>
          <w:szCs w:val="16"/>
          <w:color w:val="auto"/>
        </w:rPr>
        <w:t>With respect to the Company's Insider Trading Policy, the policy prohibits the unauthorized disclosure of any nonpublic information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workplace and the misuse of Material Nonpublic Information (as defined in the policy) in securities trading. Additionally, pursuant to the Insider Trading Policy, all directors, officers and employees are prohibited at all times from (a) holding any Company securities in a margin account; (b) engaging in any transactions involving puts, calls, or other derivative transactions relating to the Company's securities; and (c) short-selling or pledging securities of the Company.</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We have utilized restricted stock awards to complement stock options and other 2004 Plan awards as a basis for long-term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Committee recognizes that competitive market practices have resulted in an increased use of restricted stock awards as a part of total executive compensation strategy. Our stock awards are intended to retain and motivate officers or employees, including Named Executive Officers, to seek to improve long-term stock market performance and to enhance shareholder value by placing a portion of their compensation at risk and directly tied to our stock price appreciation. The Committee believes that stock options and restricted stock grants both continue to serve as critical elements of long-term compensation plan design.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4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From time to time, we make restricted stock awards to Named Executive Officers pursuant to the 2004 Plan. In October 2006, the Committee recommended, and the Board approved, an amendment to the 2004 Plan to reduce the minimum restriction period for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non-performance-based stock awards. The Committee believed that one year was the most appropriate minimum restriction period to effectively motivate executives, including the Named Executive Officers, and key personnel participants.</w:t>
      </w:r>
    </w:p>
    <w:p>
      <w:pPr>
        <w:spacing w:after="0" w:line="126"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i w:val="1"/>
          <w:iCs w:val="1"/>
          <w:color w:val="auto"/>
        </w:rPr>
        <w:t xml:space="preserve">Award Grants. </w:t>
      </w:r>
      <w:r>
        <w:rPr>
          <w:rFonts w:ascii="Arial" w:cs="Arial" w:eastAsia="Arial" w:hAnsi="Arial"/>
          <w:sz w:val="16"/>
          <w:szCs w:val="16"/>
          <w:color w:val="auto"/>
        </w:rPr>
        <w:t>On March 23, 2011, the Committee recommended and the full Board of Directors of the Company approved a grant award of shares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restricted common stock under the 2004 Plan, to the Company's key Management group (senior level managers) including the Named Executive Officers. The awards were made in acknowledgement of the hard work and dedication put forth by this group through the last few years managing the Company through the recession, which was evidenced by improved operational profitability through February 26, 2011. No restricted stock awards had been granted to key management since October 2007.</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restricted stock is based on the closing price of the Company's Common Stock on the date of grant.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received restricted stock grants pursuant to the actions described above in the following amounts: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Robert J. Olson - 25,000 shares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Randy J. Potts - 13,000 shares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Raymond M. Beebe - 7,500 shares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Roger W. Martin - 7,500 shares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Sarah N. Nielsen - 7,500 shares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William J. O'Leary - 7,500 shares</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Pursuant to each restricted stock award agreement between the Company and each Named Executive Officer, the restricted stock grants vest in annual increments of one-third commencing March 23, 2012. Named Executive Officers are entitled to receive dividends declared on the restricted stock beginning from the time the restricted stock is granted regardless of the vesting schedule of the restricted stock grants. In addition, Named Executive Officers may be entitled to earlier vesting upon a "change in control," as defined in the 2004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135" w:lineRule="exact"/>
        <w:rPr>
          <w:sz w:val="20"/>
          <w:szCs w:val="20"/>
          <w:color w:val="auto"/>
        </w:rPr>
      </w:pPr>
    </w:p>
    <w:p>
      <w:pPr>
        <w:jc w:val="both"/>
        <w:ind w:right="220"/>
        <w:spacing w:after="0" w:line="25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Prior to Fiscal 2007, we provided long-term incentives under the 2004 Plan in the form of stock options granted to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key Management personnel. Stock option grants are intended to retain and motivate Named Executive Officers to seek to improve long-term stock market performance and enhance shareholder value by placing a portion of their compensation at risk and directly tied to stock price appreciation. No stock options were granted to Named Executive Officers in Fiscal 2011.</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2004 Plan, incentive and non-qualified stock options may be granted at any time for new hires, promotions or other compensation-based reasons as determined by the Committee. Previously granted stock option awards were recommended by the Committee and approved by the Board at the regularly scheduled October Board of Directors and Committee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Prior to Fiscal 2007, stock options were granted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154"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In addition, Named Executive Officers may be entitled to earlier vesting of stock option awards under the 2004 Plan in the event of a “change in control” (as defined in the 2004 Plan), disability, termination of employment or death. See “Potential Payments upon Termination or Change of Control—2004 Incentive Compensation Plan Payments” below. Additional vesting rules apply to incentive stock options and non-qualified options under the 2004 Plan pursuant to individual option award agreements entered into between each stock option grantee and the Company on the date of the stock option grant.</w:t>
      </w:r>
    </w:p>
    <w:p>
      <w:pPr>
        <w:spacing w:after="0" w:line="14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While the Committee does not believe that granting stock options every year is necessary to achieve incentive compensation goals, the Committee continues to believe that stock options are an important component of its long-term compensation philosophy.</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are eligible to participate in the same benefit plans designed for all of our full-time employees. The basic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package includes health, dental, disability and basic group life insurance coverage. In addition, employees, including the Named Executive Officers, may qualify for company subsidized retiree healthcare benefits (if hired before April 2001). Employees hired on or after April 1, 2001 and prior to April 1, 2009, while eligible to participate in our retiree healthcare program at “group rates,” are not eligible for any employer-provided subsidy. Employees hired on or after April 1, 2009 are not eligible to participate in our retiree healthcare programs as these programs are closed to all employees hired thereafter. Under our Long-Term Disability Plan, salaried employees are eligible for a monthly benefit based upon 60 percent of pre-disability earnings, up to a maximum monthly benefit of $10,000.</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and benefits for Named Executive Officers following his or her retirement, including, but not limited to, tax-qualified defined benefit plans and supplemental executive retirement plans.</w:t>
      </w:r>
    </w:p>
    <w:p>
      <w:pPr>
        <w:spacing w:after="0" w:line="12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 401(k) plan, the Winnebago Industries, Inc. Profit Sharing and Deferred Savings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Plan (the “401(k) Plan”), which is a tax-qualified defined contribution plan maintained for the benefit of substantially all hourly and salaried employees, including our executives. The 401(k) Plan offers Named Executive Officers and all other employees the opportunity to defer a percentage of income that is a part of their base compensation. The Board may, at its discretion, also provide for a Company matching contribution at a rate set by the Committee and approved by the Board on a quarterly basis each calendar year. For Fiscal 2011, the Company made matching contributions equal to $0.20 per $1.00 employee contribution, up to 6 percent of the base compensation deferred by employees (subject to IRS limits and non-discrimination testing). Although executives, including the Named Executive Officers,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Supplemental Executive Retirement Plan (SERP)/Split Dollar Life Insurance. </w:t>
      </w:r>
      <w:r>
        <w:rPr>
          <w:rFonts w:ascii="Arial" w:cs="Arial" w:eastAsia="Arial" w:hAnsi="Arial"/>
          <w:sz w:val="16"/>
          <w:szCs w:val="16"/>
          <w:color w:val="auto"/>
        </w:rPr>
        <w:t>In 1988, the Board of Directors approved the adoption of an Executive Split Dollar</w:t>
      </w:r>
      <w:r>
        <w:rPr>
          <w:rFonts w:ascii="Arial" w:cs="Arial" w:eastAsia="Arial" w:hAnsi="Arial"/>
          <w:sz w:val="16"/>
          <w:szCs w:val="16"/>
          <w:i w:val="1"/>
          <w:iCs w:val="1"/>
          <w:color w:val="auto"/>
        </w:rPr>
        <w:t xml:space="preserve"> </w:t>
      </w:r>
      <w:r>
        <w:rPr>
          <w:rFonts w:ascii="Arial" w:cs="Arial" w:eastAsia="Arial" w:hAnsi="Arial"/>
          <w:sz w:val="16"/>
          <w:szCs w:val="16"/>
          <w:color w:val="auto"/>
        </w:rPr>
        <w:t>Life Insurance Program with respect to certain executives.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Company's Common Stock to pay estate taxes, which sales might disrupt the market for our shares. We have not offered this insurance as a continuing part of the Named Executive Officer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 during the 15 years following retirement. We will “cost recover” materially all of the premiums paid by the Company at the executive's death, as each insured executive has collaterally assigned to us the right to receive proceeds in an amount equal to the total dollar value of premiums paid by the Company.</w:t>
      </w:r>
    </w:p>
    <w:p>
      <w:pPr>
        <w:spacing w:after="0" w:line="15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October 2008, the Board of Directors converted benefits payable under the Executive Split Dollar Life Program to a Supplemental Executive Retirement Plan (SERP) as a result of changes in the tax and accounting regulations and rising administrative costs. The redesign was 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life insurance (COLI) by a release of all interests from the participant and assignment to us as a prerequisite to participation in the SERP and conversion from the Executive Split Dollar Life Insurance Program. Pursuant to the SERP, benefit payments are stated as a particular dollar amount in a participation agreement and paid directly from us, no longer linked to the COLI. This program remains closed to new employee participation.</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Executive Share Option Program. </w:t>
      </w:r>
      <w:r>
        <w:rPr>
          <w:rFonts w:ascii="Arial" w:cs="Arial" w:eastAsia="Arial" w:hAnsi="Arial"/>
          <w:sz w:val="16"/>
          <w:szCs w:val="16"/>
          <w:color w:val="auto"/>
        </w:rPr>
        <w:t>We established the Executive Share Option Program in April 1997 to provide executives with an opportunity to defer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their compensation in the form of options to purchase shares of mutual funds invested in companies other than Winnebago Industries. Due to the enactment in 2004 of Section 409A of the IRC, which provided new tax rules for deferred compensation plans, the Executive Share Option Program was frozen effective December 31, 2004. Accordingly, there have been and will be no new deferrals or contributions to the Executive Share Option Program after that date and no new participants may enter the plan.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3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i w:val="1"/>
          <w:iCs w:val="1"/>
          <w:color w:val="auto"/>
        </w:rPr>
        <w:t xml:space="preserve">Deferred Compensation Plan (1981). </w:t>
      </w:r>
      <w:r>
        <w:rPr>
          <w:rFonts w:ascii="Arial" w:cs="Arial" w:eastAsia="Arial" w:hAnsi="Arial"/>
          <w:sz w:val="16"/>
          <w:szCs w:val="16"/>
          <w:color w:val="auto"/>
        </w:rPr>
        <w:t>Under the Winnebago Industries, Inc. Non-Qualified Deferred Compensation Plan (1981) (the “Deferred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(1981)”), executive officers and other key employees were eligible to annually elect to defer a portion of their compensation until retirement. The retirement benefit provided is based upon the amount of compensation deferred and the age of the individual at the time of the deferral, at a rate per annum determined by the Board. Under the plan, a participant generally vests at age 55 and five years of participation in the plan. For deferrals prior to December 1992, vesting occurs at the later of age 55 and five years service from first deferral or 20 years of service. To assist in funding the deferred compensation liability, we invested in corporate-owned life insurance policies. Participants in the plan have the same status as unsecured creditors. In 2001, the Board of Directors elected to freeze this plan to additional participants.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In December 2006, the Board adopted the Winnebago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Inc. Executive Deferred Compensation Plan (as amended and restated, the “Executive Deferred Compensation Plan”). The Executive Deferred Compensation Plan permits executive officers, including the Named Executive Officers,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 restated effective June 22, 2011 to clarify administrative procedures and further substantiate compliance under IRC 409A.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percent of their salary and up to 100 percent of their cash incentive awards. The Committee may, from time to time and in its sole and absolute discretion, select the available investments in which a participant's deferred benefit account may be deemed invested (“Available Investments”).</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equal to the amount of his or her deferred benefit account as of the determination date coinciding with such event:</w:t>
      </w:r>
    </w:p>
    <w:p>
      <w:pPr>
        <w:spacing w:after="0" w:line="167" w:lineRule="exact"/>
        <w:rPr>
          <w:sz w:val="20"/>
          <w:szCs w:val="20"/>
          <w:color w:val="auto"/>
        </w:rPr>
      </w:pPr>
    </w:p>
    <w:p>
      <w:pPr>
        <w:ind w:left="340" w:hanging="332"/>
        <w:spacing w:after="0" w:line="24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separation from service;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disability;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death; or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4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lump-sum payment; or</w:t>
      </w:r>
    </w:p>
    <w:p>
      <w:pPr>
        <w:spacing w:after="0" w:line="5"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absence of a participant's election as to the form of the payout, a participant's Deferred Benefit account will be paid over a 120-month period.</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29"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Named Executive Officers with limited perquisites that the Committee believes are reasonable and consistent with the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 to better enable us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Named Executive Officers. Based upon this periodic review, perquisites are awarded or adjusted on an individual basis. Named Executive Officers are not automatically awarded all, or in equal amounts, perquisites granted by the Company.</w:t>
      </w:r>
    </w:p>
    <w:p>
      <w:pPr>
        <w:spacing w:after="0" w:line="132" w:lineRule="exact"/>
        <w:rPr>
          <w:sz w:val="20"/>
          <w:szCs w:val="20"/>
          <w:color w:val="auto"/>
        </w:rPr>
      </w:pPr>
    </w:p>
    <w:p>
      <w:pPr>
        <w:ind w:right="800"/>
        <w:spacing w:after="0" w:line="281"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 maintain good health, we pay for voluntary annual physical examinations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including the Named Executive Officers.</w:t>
      </w:r>
    </w:p>
    <w:p>
      <w:pPr>
        <w:spacing w:after="0" w:line="109" w:lineRule="exact"/>
        <w:rPr>
          <w:sz w:val="20"/>
          <w:szCs w:val="20"/>
          <w:color w:val="auto"/>
        </w:rPr>
      </w:pPr>
    </w:p>
    <w:p>
      <w:pPr>
        <w:jc w:val="both"/>
        <w:ind w:right="520"/>
        <w:spacing w:after="0" w:line="264" w:lineRule="auto"/>
        <w:rPr>
          <w:sz w:val="20"/>
          <w:szCs w:val="20"/>
          <w:color w:val="auto"/>
        </w:rPr>
      </w:pPr>
      <w:r>
        <w:rPr>
          <w:rFonts w:ascii="Arial" w:cs="Arial" w:eastAsia="Arial" w:hAnsi="Arial"/>
          <w:sz w:val="16"/>
          <w:szCs w:val="16"/>
          <w:i w:val="1"/>
          <w:iCs w:val="1"/>
          <w:color w:val="auto"/>
        </w:rPr>
        <w:t xml:space="preserve">Motor Home Use. </w:t>
      </w:r>
      <w:r>
        <w:rPr>
          <w:rFonts w:ascii="Arial" w:cs="Arial" w:eastAsia="Arial" w:hAnsi="Arial"/>
          <w:sz w:val="16"/>
          <w:szCs w:val="16"/>
          <w:color w:val="auto"/>
        </w:rPr>
        <w:t>We provide each of our executives, including Named Executive Officers, an opportunity to utilize our motor homes on a periodic and</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basis. We encourage the executive to have first hand understanding of the recreational vehicle lifestyle experienced by our customers and to provide the executive with the opportunity to evaluate product design and efficiency.</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 official company business. When our aircraft makes flights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business, Named Executive Officers while not on official company business as well as other passengers who are not company employees may occupy seats only when approved by the CEO. Occasionally, spouses or guests of Named Executive Officers may accompany the executive on a flight or may occupy an available seat on the aircraft. As appropriate, imputed cost of aircraft use is treated as compensation and reported according to IRS regulations. In Fiscal 2011, none of the Named Executive Officers utilized our aircraft for personal use.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1999, the Committee adopted Stock Ownership Guidelines for executives. In general, each executive has five years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80"/>
          </w:cols>
          <w:pgMar w:left="240" w:top="141" w:right="27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table below describes the ownership guidelines for the Named Executive Officers and the number of shares beneficially owned for the purposes of the guidelines as of October 4, 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3860" w:type="dxa"/>
            <w:vAlign w:val="bottom"/>
          </w:tcPr>
          <w:p>
            <w:pPr>
              <w:jc w:val="center"/>
              <w:ind w:left="1899"/>
              <w:spacing w:after="0"/>
              <w:rPr>
                <w:sz w:val="20"/>
                <w:szCs w:val="20"/>
                <w:color w:val="auto"/>
              </w:rPr>
            </w:pPr>
            <w:r>
              <w:rPr>
                <w:rFonts w:ascii="Arial" w:cs="Arial" w:eastAsia="Arial" w:hAnsi="Arial"/>
                <w:sz w:val="16"/>
                <w:szCs w:val="16"/>
                <w:b w:val="1"/>
                <w:bCs w:val="1"/>
                <w:color w:val="auto"/>
              </w:rPr>
              <w:t>Ownership</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Actual</w:t>
            </w:r>
          </w:p>
        </w:tc>
        <w:tc>
          <w:tcPr>
            <w:tcW w:w="1720" w:type="dxa"/>
            <w:vAlign w:val="bottom"/>
          </w:tcPr>
          <w:p>
            <w:pPr>
              <w:spacing w:after="0"/>
              <w:rPr>
                <w:sz w:val="16"/>
                <w:szCs w:val="16"/>
                <w:color w:val="auto"/>
              </w:rPr>
            </w:pPr>
          </w:p>
        </w:tc>
      </w:tr>
      <w:tr>
        <w:trPr>
          <w:trHeight w:val="189"/>
        </w:trPr>
        <w:tc>
          <w:tcPr>
            <w:tcW w:w="4240" w:type="dxa"/>
            <w:vAlign w:val="bottom"/>
          </w:tcPr>
          <w:p>
            <w:pPr>
              <w:spacing w:after="0"/>
              <w:rPr>
                <w:sz w:val="16"/>
                <w:szCs w:val="16"/>
                <w:color w:val="auto"/>
              </w:rPr>
            </w:pPr>
          </w:p>
        </w:tc>
        <w:tc>
          <w:tcPr>
            <w:tcW w:w="3860" w:type="dxa"/>
            <w:vAlign w:val="bottom"/>
          </w:tcPr>
          <w:p>
            <w:pPr>
              <w:jc w:val="center"/>
              <w:ind w:left="1899"/>
              <w:spacing w:after="0"/>
              <w:rPr>
                <w:sz w:val="20"/>
                <w:szCs w:val="20"/>
                <w:color w:val="auto"/>
              </w:rPr>
            </w:pPr>
            <w:r>
              <w:rPr>
                <w:rFonts w:ascii="Arial" w:cs="Arial" w:eastAsia="Arial" w:hAnsi="Arial"/>
                <w:sz w:val="16"/>
                <w:szCs w:val="16"/>
                <w:b w:val="1"/>
                <w:bCs w:val="1"/>
                <w:color w:val="auto"/>
              </w:rPr>
              <w:t>Guidelines-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189"/>
        </w:trPr>
        <w:tc>
          <w:tcPr>
            <w:tcW w:w="4240" w:type="dxa"/>
            <w:vAlign w:val="bottom"/>
          </w:tcPr>
          <w:p>
            <w:pPr>
              <w:spacing w:after="0"/>
              <w:rPr>
                <w:sz w:val="16"/>
                <w:szCs w:val="16"/>
                <w:color w:val="auto"/>
              </w:rPr>
            </w:pPr>
          </w:p>
        </w:tc>
        <w:tc>
          <w:tcPr>
            <w:tcW w:w="3860" w:type="dxa"/>
            <w:vAlign w:val="bottom"/>
          </w:tcPr>
          <w:p>
            <w:pPr>
              <w:jc w:val="center"/>
              <w:ind w:left="1899"/>
              <w:spacing w:after="0"/>
              <w:rPr>
                <w:sz w:val="20"/>
                <w:szCs w:val="20"/>
                <w:color w:val="auto"/>
              </w:rPr>
            </w:pPr>
            <w:r>
              <w:rPr>
                <w:rFonts w:ascii="Arial" w:cs="Arial" w:eastAsia="Arial" w:hAnsi="Arial"/>
                <w:sz w:val="16"/>
                <w:szCs w:val="16"/>
                <w:b w:val="1"/>
                <w:bCs w:val="1"/>
                <w:color w:val="auto"/>
              </w:rPr>
              <w:t>Percentage of</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Beneficially</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of Guideline</w:t>
            </w:r>
          </w:p>
        </w:tc>
      </w:tr>
      <w:tr>
        <w:trPr>
          <w:trHeight w:val="23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Named Executive Officer</w:t>
            </w:r>
          </w:p>
        </w:tc>
        <w:tc>
          <w:tcPr>
            <w:tcW w:w="3860" w:type="dxa"/>
            <w:vAlign w:val="bottom"/>
            <w:tcBorders>
              <w:bottom w:val="single" w:sz="8" w:color="auto"/>
            </w:tcBorders>
          </w:tcPr>
          <w:p>
            <w:pPr>
              <w:jc w:val="center"/>
              <w:ind w:left="1899"/>
              <w:spacing w:after="0" w:line="234" w:lineRule="exact"/>
              <w:rPr>
                <w:sz w:val="20"/>
                <w:szCs w:val="20"/>
                <w:color w:val="auto"/>
              </w:rPr>
            </w:pPr>
            <w:r>
              <w:rPr>
                <w:rFonts w:ascii="Arial" w:cs="Arial" w:eastAsia="Arial" w:hAnsi="Arial"/>
                <w:sz w:val="16"/>
                <w:szCs w:val="16"/>
                <w:b w:val="1"/>
                <w:bCs w:val="1"/>
                <w:color w:val="auto"/>
                <w:w w:val="96"/>
              </w:rPr>
              <w:t>Annual Salary</w:t>
            </w:r>
            <w:r>
              <w:rPr>
                <w:rFonts w:ascii="Arial" w:cs="Arial" w:eastAsia="Arial" w:hAnsi="Arial"/>
                <w:sz w:val="21"/>
                <w:szCs w:val="21"/>
                <w:b w:val="1"/>
                <w:bCs w:val="1"/>
                <w:color w:val="auto"/>
                <w:w w:val="96"/>
                <w:vertAlign w:val="superscript"/>
              </w:rPr>
              <w:t>(1)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Owned</w:t>
            </w:r>
          </w:p>
        </w:tc>
        <w:tc>
          <w:tcPr>
            <w:tcW w:w="17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Attained</w:t>
            </w:r>
            <w:r>
              <w:rPr>
                <w:rFonts w:ascii="Arial" w:cs="Arial" w:eastAsia="Arial" w:hAnsi="Arial"/>
                <w:sz w:val="21"/>
                <w:szCs w:val="21"/>
                <w:b w:val="1"/>
                <w:bCs w:val="1"/>
                <w:color w:val="auto"/>
                <w:w w:val="96"/>
                <w:vertAlign w:val="superscript"/>
              </w:rPr>
              <w:t>(2)</w:t>
            </w: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3860" w:type="dxa"/>
            <w:vAlign w:val="bottom"/>
            <w:shd w:val="clear" w:color="auto" w:fill="CCEEFF"/>
          </w:tcPr>
          <w:p>
            <w:pPr>
              <w:jc w:val="center"/>
              <w:ind w:left="1899"/>
              <w:spacing w:after="0"/>
              <w:rPr>
                <w:sz w:val="20"/>
                <w:szCs w:val="20"/>
                <w:color w:val="auto"/>
              </w:rPr>
            </w:pPr>
            <w:r>
              <w:rPr>
                <w:rFonts w:ascii="Arial" w:cs="Arial" w:eastAsia="Arial" w:hAnsi="Arial"/>
                <w:sz w:val="16"/>
                <w:szCs w:val="16"/>
                <w:color w:val="auto"/>
                <w:w w:val="97"/>
              </w:rPr>
              <w:t>400%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47,960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w:t>
            </w:r>
          </w:p>
        </w:tc>
      </w:tr>
      <w:tr>
        <w:trPr>
          <w:trHeight w:val="233"/>
        </w:trPr>
        <w:tc>
          <w:tcPr>
            <w:tcW w:w="424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3860" w:type="dxa"/>
            <w:vAlign w:val="bottom"/>
          </w:tcPr>
          <w:p>
            <w:pPr>
              <w:jc w:val="center"/>
              <w:ind w:left="1899"/>
              <w:spacing w:after="0"/>
              <w:rPr>
                <w:sz w:val="20"/>
                <w:szCs w:val="20"/>
                <w:color w:val="auto"/>
              </w:rPr>
            </w:pPr>
            <w:r>
              <w:rPr>
                <w:rFonts w:ascii="Arial" w:cs="Arial" w:eastAsia="Arial" w:hAnsi="Arial"/>
                <w:sz w:val="16"/>
                <w:szCs w:val="16"/>
                <w:color w:val="auto"/>
                <w:w w:val="97"/>
              </w:rPr>
              <w:t>400%</w:t>
            </w:r>
          </w:p>
        </w:tc>
        <w:tc>
          <w:tcPr>
            <w:tcW w:w="1600" w:type="dxa"/>
            <w:vAlign w:val="bottom"/>
          </w:tcPr>
          <w:p>
            <w:pPr>
              <w:jc w:val="center"/>
              <w:spacing w:after="0"/>
              <w:rPr>
                <w:sz w:val="20"/>
                <w:szCs w:val="20"/>
                <w:color w:val="auto"/>
              </w:rPr>
            </w:pPr>
            <w:r>
              <w:rPr>
                <w:rFonts w:ascii="Arial" w:cs="Arial" w:eastAsia="Arial" w:hAnsi="Arial"/>
                <w:sz w:val="16"/>
                <w:szCs w:val="16"/>
                <w:color w:val="auto"/>
              </w:rPr>
              <w:t>21,215</w:t>
            </w:r>
          </w:p>
        </w:tc>
        <w:tc>
          <w:tcPr>
            <w:tcW w:w="1720" w:type="dxa"/>
            <w:vAlign w:val="bottom"/>
          </w:tcPr>
          <w:p>
            <w:pPr>
              <w:jc w:val="center"/>
              <w:spacing w:after="0"/>
              <w:rPr>
                <w:sz w:val="20"/>
                <w:szCs w:val="20"/>
                <w:color w:val="auto"/>
              </w:rPr>
            </w:pPr>
            <w:r>
              <w:rPr>
                <w:rFonts w:ascii="Arial" w:cs="Arial" w:eastAsia="Arial" w:hAnsi="Arial"/>
                <w:sz w:val="16"/>
                <w:szCs w:val="16"/>
                <w:color w:val="auto"/>
              </w:rPr>
              <w:t>14%</w:t>
            </w:r>
          </w:p>
        </w:tc>
      </w:tr>
      <w:tr>
        <w:trPr>
          <w:trHeight w:val="25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Raymond M. Beebe</w:t>
            </w:r>
          </w:p>
        </w:tc>
        <w:tc>
          <w:tcPr>
            <w:tcW w:w="3860" w:type="dxa"/>
            <w:vAlign w:val="bottom"/>
            <w:shd w:val="clear" w:color="auto" w:fill="CCEEFF"/>
          </w:tcPr>
          <w:p>
            <w:pPr>
              <w:jc w:val="center"/>
              <w:ind w:left="1899"/>
              <w:spacing w:after="0"/>
              <w:rPr>
                <w:sz w:val="20"/>
                <w:szCs w:val="20"/>
                <w:color w:val="auto"/>
              </w:rPr>
            </w:pPr>
            <w:r>
              <w:rPr>
                <w:rFonts w:ascii="Arial" w:cs="Arial" w:eastAsia="Arial" w:hAnsi="Arial"/>
                <w:sz w:val="16"/>
                <w:szCs w:val="16"/>
                <w:color w:val="auto"/>
                <w:w w:val="97"/>
              </w:rPr>
              <w:t>250%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15,376</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r>
      <w:tr>
        <w:trPr>
          <w:trHeight w:val="233"/>
        </w:trPr>
        <w:tc>
          <w:tcPr>
            <w:tcW w:w="4240" w:type="dxa"/>
            <w:vAlign w:val="bottom"/>
          </w:tcPr>
          <w:p>
            <w:pPr>
              <w:ind w:left="40"/>
              <w:spacing w:after="0"/>
              <w:rPr>
                <w:sz w:val="20"/>
                <w:szCs w:val="20"/>
                <w:color w:val="auto"/>
              </w:rPr>
            </w:pPr>
            <w:r>
              <w:rPr>
                <w:rFonts w:ascii="Arial" w:cs="Arial" w:eastAsia="Arial" w:hAnsi="Arial"/>
                <w:sz w:val="16"/>
                <w:szCs w:val="16"/>
                <w:color w:val="auto"/>
              </w:rPr>
              <w:t>Roger W. Martin</w:t>
            </w:r>
          </w:p>
        </w:tc>
        <w:tc>
          <w:tcPr>
            <w:tcW w:w="3860" w:type="dxa"/>
            <w:vAlign w:val="bottom"/>
          </w:tcPr>
          <w:p>
            <w:pPr>
              <w:jc w:val="center"/>
              <w:ind w:left="1899"/>
              <w:spacing w:after="0"/>
              <w:rPr>
                <w:sz w:val="20"/>
                <w:szCs w:val="20"/>
                <w:color w:val="auto"/>
              </w:rPr>
            </w:pPr>
            <w:r>
              <w:rPr>
                <w:rFonts w:ascii="Arial" w:cs="Arial" w:eastAsia="Arial" w:hAnsi="Arial"/>
                <w:sz w:val="16"/>
                <w:szCs w:val="16"/>
                <w:color w:val="auto"/>
                <w:w w:val="97"/>
              </w:rPr>
              <w:t>250%</w:t>
            </w:r>
          </w:p>
        </w:tc>
        <w:tc>
          <w:tcPr>
            <w:tcW w:w="1600" w:type="dxa"/>
            <w:vAlign w:val="bottom"/>
          </w:tcPr>
          <w:p>
            <w:pPr>
              <w:jc w:val="center"/>
              <w:spacing w:after="0"/>
              <w:rPr>
                <w:sz w:val="20"/>
                <w:szCs w:val="20"/>
                <w:color w:val="auto"/>
              </w:rPr>
            </w:pPr>
            <w:r>
              <w:rPr>
                <w:rFonts w:ascii="Arial" w:cs="Arial" w:eastAsia="Arial" w:hAnsi="Arial"/>
                <w:sz w:val="16"/>
                <w:szCs w:val="16"/>
                <w:color w:val="auto"/>
              </w:rPr>
              <w:t>18,751</w:t>
            </w:r>
          </w:p>
        </w:tc>
        <w:tc>
          <w:tcPr>
            <w:tcW w:w="1720" w:type="dxa"/>
            <w:vAlign w:val="bottom"/>
          </w:tcPr>
          <w:p>
            <w:pPr>
              <w:jc w:val="center"/>
              <w:spacing w:after="0"/>
              <w:rPr>
                <w:sz w:val="20"/>
                <w:szCs w:val="20"/>
                <w:color w:val="auto"/>
              </w:rPr>
            </w:pPr>
            <w:r>
              <w:rPr>
                <w:rFonts w:ascii="Arial" w:cs="Arial" w:eastAsia="Arial" w:hAnsi="Arial"/>
                <w:sz w:val="16"/>
                <w:szCs w:val="16"/>
                <w:color w:val="auto"/>
              </w:rPr>
              <w:t>24%</w:t>
            </w:r>
          </w:p>
        </w:tc>
      </w:tr>
      <w:tr>
        <w:trPr>
          <w:trHeight w:val="33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860" w:type="dxa"/>
            <w:vAlign w:val="bottom"/>
            <w:shd w:val="clear" w:color="auto" w:fill="CCEEFF"/>
          </w:tcPr>
          <w:p>
            <w:pPr>
              <w:jc w:val="center"/>
              <w:ind w:left="1899"/>
              <w:spacing w:after="0"/>
              <w:rPr>
                <w:sz w:val="20"/>
                <w:szCs w:val="20"/>
                <w:color w:val="auto"/>
              </w:rPr>
            </w:pPr>
            <w:r>
              <w:rPr>
                <w:rFonts w:ascii="Arial" w:cs="Arial" w:eastAsia="Arial" w:hAnsi="Arial"/>
                <w:sz w:val="16"/>
                <w:szCs w:val="16"/>
                <w:color w:val="auto"/>
                <w:w w:val="97"/>
              </w:rPr>
              <w:t>250%</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16,444</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3860" w:type="dxa"/>
            <w:vAlign w:val="bottom"/>
          </w:tcPr>
          <w:p>
            <w:pPr>
              <w:jc w:val="center"/>
              <w:ind w:left="1899"/>
              <w:spacing w:after="0"/>
              <w:rPr>
                <w:sz w:val="20"/>
                <w:szCs w:val="20"/>
                <w:color w:val="auto"/>
              </w:rPr>
            </w:pPr>
            <w:r>
              <w:rPr>
                <w:rFonts w:ascii="Arial" w:cs="Arial" w:eastAsia="Arial" w:hAnsi="Arial"/>
                <w:sz w:val="16"/>
                <w:szCs w:val="16"/>
                <w:color w:val="auto"/>
                <w:w w:val="97"/>
              </w:rPr>
              <w:t>250%</w:t>
            </w:r>
          </w:p>
        </w:tc>
        <w:tc>
          <w:tcPr>
            <w:tcW w:w="1600" w:type="dxa"/>
            <w:vAlign w:val="bottom"/>
          </w:tcPr>
          <w:p>
            <w:pPr>
              <w:jc w:val="center"/>
              <w:spacing w:after="0"/>
              <w:rPr>
                <w:sz w:val="20"/>
                <w:szCs w:val="20"/>
                <w:color w:val="auto"/>
              </w:rPr>
            </w:pPr>
            <w:r>
              <w:rPr>
                <w:rFonts w:ascii="Arial" w:cs="Arial" w:eastAsia="Arial" w:hAnsi="Arial"/>
                <w:sz w:val="16"/>
                <w:szCs w:val="16"/>
                <w:color w:val="auto"/>
              </w:rPr>
              <w:t>23,904</w:t>
            </w:r>
          </w:p>
        </w:tc>
        <w:tc>
          <w:tcPr>
            <w:tcW w:w="1720" w:type="dxa"/>
            <w:vAlign w:val="bottom"/>
          </w:tcPr>
          <w:p>
            <w:pPr>
              <w:jc w:val="center"/>
              <w:spacing w:after="0"/>
              <w:rPr>
                <w:sz w:val="20"/>
                <w:szCs w:val="20"/>
                <w:color w:val="auto"/>
              </w:rPr>
            </w:pPr>
            <w:r>
              <w:rPr>
                <w:rFonts w:ascii="Arial" w:cs="Arial" w:eastAsia="Arial" w:hAnsi="Arial"/>
                <w:sz w:val="16"/>
                <w:szCs w:val="16"/>
                <w:color w:val="auto"/>
              </w:rPr>
              <w:t>31%</w:t>
            </w:r>
          </w:p>
        </w:tc>
      </w:tr>
    </w:tbl>
    <w:p>
      <w:pPr>
        <w:spacing w:after="0" w:line="24" w:lineRule="exact"/>
        <w:rPr>
          <w:sz w:val="20"/>
          <w:szCs w:val="20"/>
          <w:color w:val="auto"/>
        </w:rPr>
      </w:pPr>
    </w:p>
    <w:p>
      <w:pPr>
        <w:ind w:left="340" w:right="560" w:hanging="332"/>
        <w:spacing w:after="0" w:line="241"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4"/>
          <w:szCs w:val="14"/>
          <w:color w:val="auto"/>
        </w:rPr>
        <w:t>Based upon the annual base salary in effect for each of the Named Executive Officers as of August 27, 2011 (Mr. Olson - $417,600; Mr. Potts - $293,712; Mr. Beebe - $245,864; Mr. Martin - $235,737; Ms. Nielsen - $233,662 and Mr. O'Leary - $234,502).</w:t>
      </w: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4"/>
          <w:szCs w:val="14"/>
          <w:color w:val="auto"/>
        </w:rPr>
        <w:t>Based upon the closing market price of $7.50 per share, the Company's Common Stock as quoted on the NYSE on October 4, 2011.</w:t>
      </w:r>
    </w:p>
    <w:p>
      <w:pPr>
        <w:spacing w:after="0" w:line="14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Named Executive Officer also provides for special payments and accelerated vesting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opportunities upon termination of employment or in specified circumstances involving significant reduction of duties or in working conditions. We have entered into change of control agreements with each of the Named Executive Officers and certain other executive officers (collectively, “Executive Change of Control Agreements”).</w:t>
      </w:r>
    </w:p>
    <w:p>
      <w:pPr>
        <w:spacing w:after="0" w:line="14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4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have not provided any executives with special agreements regarding severance with the exception of the Executive Change of Control Agreements referenced above. Our executives are eligible, however, for the same severance program afforded to all salaried employees when an employee is terminated for circumstances outside of their control. Essentially, this program provides for one week of severance pay for each full year of continuous service, up to a maximum of 26 weeks. One week of severance pay is equal to the executive's weekly base compensation.</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6"/>
          <w:szCs w:val="16"/>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42"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of Winnebago Industries, Inc.'s Board of Directors:</w:t>
      </w:r>
    </w:p>
    <w:p>
      <w:pPr>
        <w:spacing w:after="0" w:line="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2011 Form 10-K with Management; and</w:t>
      </w:r>
    </w:p>
    <w:p>
      <w:pPr>
        <w:spacing w:after="0" w:line="5"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such review and discussions, the Human Resources Committee recommended to the Board of Directors that the Compensation Discussion and Analysis be included in this Proxy Statement and the 2011 Form 10-K.</w:t>
      </w:r>
    </w:p>
    <w:p>
      <w:pPr>
        <w:spacing w:after="0" w:line="142"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Human Resources Committee:</w:t>
      </w:r>
    </w:p>
    <w:p>
      <w:pPr>
        <w:spacing w:after="0" w:line="167"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Gerald C. Kitch, Chairman</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Irvin E. Aal</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Robert M. Chiusano</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Lawrence A. Erickson</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color w:val="auto"/>
        </w:rPr>
        <w:t xml:space="preserve">Human Resources Committee Interlocks and Insider Participation. </w:t>
      </w:r>
      <w:r>
        <w:rPr>
          <w:rFonts w:ascii="Arial" w:cs="Arial" w:eastAsia="Arial" w:hAnsi="Arial"/>
          <w:sz w:val="16"/>
          <w:szCs w:val="16"/>
          <w:color w:val="auto"/>
        </w:rPr>
        <w:t>The current members of the Human Resources Committee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Messrs. Kitch, Aal, Chiusano and Erickson, were not at any time during Fiscal 2011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2011.</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141" w:right="29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113"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The following tables set forth compensation information for our Named Executive Officers for services rendered in all capacities to Winnebago Industries and its subsidiaries in Fiscal Years 2011, 2010 and 2009, except that Mr. Potts' 2010 and 2009 compensation information is not included as he was not among the Named Executive Officers included in the Summary Compensation Table of our proxy statements for those years. Refer to the “Compensation Discussion and Analysis” above for an explanation of the elements used in setting the compensation for our Named Executive Officers and for information relating to executive management changes relating to certain of the Named Executive Officers during Fiscal 2011.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Non-Equity</w:t>
            </w: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Fiscal</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6"/>
                <w:szCs w:val="16"/>
                <w:color w:val="auto"/>
              </w:rPr>
            </w:pPr>
          </w:p>
        </w:tc>
        <w:tc>
          <w:tcPr>
            <w:tcW w:w="1060" w:type="dxa"/>
            <w:vAlign w:val="bottom"/>
          </w:tcPr>
          <w:p>
            <w:pPr>
              <w:ind w:left="100"/>
              <w:spacing w:after="0"/>
              <w:rPr>
                <w:sz w:val="20"/>
                <w:szCs w:val="20"/>
                <w:color w:val="auto"/>
              </w:rPr>
            </w:pPr>
            <w:r>
              <w:rPr>
                <w:rFonts w:ascii="Arial" w:cs="Arial" w:eastAsia="Arial" w:hAnsi="Arial"/>
                <w:sz w:val="16"/>
                <w:szCs w:val="16"/>
                <w:b w:val="1"/>
                <w:bCs w:val="1"/>
                <w:color w:val="auto"/>
              </w:rPr>
              <w:t>Option</w:t>
            </w: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Incentive Plan</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auto"/>
              </w:rPr>
              <w:t>All Other</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000" w:type="dxa"/>
            <w:vAlign w:val="bottom"/>
            <w:tcBorders>
              <w:bottom w:val="single" w:sz="8" w:color="auto"/>
            </w:tcBorders>
          </w:tcPr>
          <w:p>
            <w:pPr>
              <w:jc w:val="right"/>
              <w:ind w:right="79"/>
              <w:spacing w:after="0" w:line="234" w:lineRule="exact"/>
              <w:rPr>
                <w:sz w:val="20"/>
                <w:szCs w:val="20"/>
                <w:color w:val="auto"/>
              </w:rPr>
            </w:pPr>
            <w:r>
              <w:rPr>
                <w:rFonts w:ascii="Arial" w:cs="Arial" w:eastAsia="Arial" w:hAnsi="Arial"/>
                <w:sz w:val="16"/>
                <w:szCs w:val="16"/>
                <w:b w:val="1"/>
                <w:bCs w:val="1"/>
                <w:color w:val="auto"/>
              </w:rPr>
              <w:t>Salary</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line="234" w:lineRule="exact"/>
              <w:rPr>
                <w:sz w:val="20"/>
                <w:szCs w:val="20"/>
                <w:color w:val="auto"/>
              </w:rPr>
            </w:pPr>
            <w:r>
              <w:rPr>
                <w:rFonts w:ascii="Arial" w:cs="Arial" w:eastAsia="Arial" w:hAnsi="Arial"/>
                <w:sz w:val="16"/>
                <w:szCs w:val="16"/>
                <w:b w:val="1"/>
                <w:bCs w:val="1"/>
                <w:color w:val="auto"/>
                <w:w w:val="96"/>
              </w:rPr>
              <w:t>Awards</w:t>
            </w:r>
            <w:r>
              <w:rPr>
                <w:rFonts w:ascii="Arial" w:cs="Arial" w:eastAsia="Arial" w:hAnsi="Arial"/>
                <w:sz w:val="21"/>
                <w:szCs w:val="21"/>
                <w:b w:val="1"/>
                <w:bCs w:val="1"/>
                <w:color w:val="auto"/>
                <w:w w:val="96"/>
                <w:vertAlign w:val="superscript"/>
              </w:rPr>
              <w:t>(2)</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(3)</w:t>
            </w:r>
          </w:p>
        </w:tc>
        <w:tc>
          <w:tcPr>
            <w:tcW w:w="1700" w:type="dxa"/>
            <w:vAlign w:val="bottom"/>
            <w:tcBorders>
              <w:bottom w:val="single" w:sz="8" w:color="auto"/>
            </w:tcBorders>
          </w:tcPr>
          <w:p>
            <w:pPr>
              <w:jc w:val="center"/>
              <w:ind w:right="279"/>
              <w:spacing w:after="0" w:line="234" w:lineRule="exact"/>
              <w:rPr>
                <w:sz w:val="20"/>
                <w:szCs w:val="20"/>
                <w:color w:val="auto"/>
              </w:rPr>
            </w:pPr>
            <w:r>
              <w:rPr>
                <w:rFonts w:ascii="Arial" w:cs="Arial" w:eastAsia="Arial" w:hAnsi="Arial"/>
                <w:sz w:val="16"/>
                <w:szCs w:val="16"/>
                <w:b w:val="1"/>
                <w:bCs w:val="1"/>
                <w:color w:val="auto"/>
                <w:w w:val="98"/>
              </w:rPr>
              <w:t>Compensation</w:t>
            </w:r>
            <w:r>
              <w:rPr>
                <w:rFonts w:ascii="Arial" w:cs="Arial" w:eastAsia="Arial" w:hAnsi="Arial"/>
                <w:sz w:val="21"/>
                <w:szCs w:val="21"/>
                <w:b w:val="1"/>
                <w:bCs w:val="1"/>
                <w:color w:val="auto"/>
                <w:w w:val="98"/>
                <w:vertAlign w:val="superscript"/>
              </w:rPr>
              <w:t>(4)</w:t>
            </w:r>
          </w:p>
        </w:tc>
        <w:tc>
          <w:tcPr>
            <w:tcW w:w="1480" w:type="dxa"/>
            <w:vAlign w:val="bottom"/>
            <w:tcBorders>
              <w:bottom w:val="single" w:sz="8" w:color="auto"/>
            </w:tcBorders>
          </w:tcPr>
          <w:p>
            <w:pPr>
              <w:jc w:val="right"/>
              <w:ind w:right="99"/>
              <w:spacing w:after="0" w:line="234" w:lineRule="exact"/>
              <w:rPr>
                <w:sz w:val="20"/>
                <w:szCs w:val="20"/>
                <w:color w:val="auto"/>
              </w:rPr>
            </w:pPr>
            <w:r>
              <w:rPr>
                <w:rFonts w:ascii="Arial" w:cs="Arial" w:eastAsia="Arial" w:hAnsi="Arial"/>
                <w:sz w:val="16"/>
                <w:szCs w:val="16"/>
                <w:b w:val="1"/>
                <w:bCs w:val="1"/>
                <w:color w:val="auto"/>
                <w:w w:val="99"/>
              </w:rPr>
              <w:t>Compensation</w:t>
            </w:r>
            <w:r>
              <w:rPr>
                <w:rFonts w:ascii="Arial" w:cs="Arial" w:eastAsia="Arial" w:hAnsi="Arial"/>
                <w:sz w:val="21"/>
                <w:szCs w:val="21"/>
                <w:b w:val="1"/>
                <w:bCs w:val="1"/>
                <w:color w:val="auto"/>
                <w:w w:val="99"/>
                <w:vertAlign w:val="superscript"/>
              </w:rPr>
              <w:t>(5)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17"/>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417,600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366,888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790,430</w:t>
            </w:r>
          </w:p>
        </w:tc>
      </w:tr>
      <w:tr>
        <w:trPr>
          <w:trHeight w:val="24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Chairman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371,200</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403,099</w:t>
            </w:r>
          </w:p>
        </w:tc>
      </w:tr>
      <w:tr>
        <w:trPr>
          <w:trHeight w:val="290"/>
        </w:trPr>
        <w:tc>
          <w:tcPr>
            <w:tcW w:w="3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401,539</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31,957</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439,355</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680" w:type="dxa"/>
            <w:vAlign w:val="bottom"/>
          </w:tcPr>
          <w:p>
            <w:pPr>
              <w:jc w:val="center"/>
              <w:spacing w:after="0"/>
              <w:rPr>
                <w:sz w:val="20"/>
                <w:szCs w:val="20"/>
                <w:color w:val="auto"/>
              </w:rPr>
            </w:pPr>
            <w:r>
              <w:rPr>
                <w:rFonts w:ascii="Arial" w:cs="Arial" w:eastAsia="Arial" w:hAnsi="Arial"/>
                <w:sz w:val="16"/>
                <w:szCs w:val="16"/>
                <w:color w:val="auto"/>
              </w:rPr>
              <w:t>2011</w:t>
            </w:r>
          </w:p>
        </w:tc>
        <w:tc>
          <w:tcPr>
            <w:tcW w:w="1000" w:type="dxa"/>
            <w:vAlign w:val="bottom"/>
          </w:tcPr>
          <w:p>
            <w:pPr>
              <w:jc w:val="right"/>
              <w:spacing w:after="0"/>
              <w:rPr>
                <w:sz w:val="20"/>
                <w:szCs w:val="20"/>
                <w:color w:val="auto"/>
              </w:rPr>
            </w:pPr>
            <w:r>
              <w:rPr>
                <w:rFonts w:ascii="Arial" w:cs="Arial" w:eastAsia="Arial" w:hAnsi="Arial"/>
                <w:sz w:val="16"/>
                <w:szCs w:val="16"/>
                <w:color w:val="auto"/>
              </w:rPr>
              <w:t>293,712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190,166</w:t>
            </w:r>
          </w:p>
        </w:tc>
        <w:tc>
          <w:tcPr>
            <w:tcW w:w="180" w:type="dxa"/>
            <w:vAlign w:val="bottom"/>
          </w:tcPr>
          <w:p>
            <w:pPr>
              <w:spacing w:after="0"/>
              <w:rPr>
                <w:sz w:val="19"/>
                <w:szCs w:val="19"/>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3,656</w:t>
            </w:r>
          </w:p>
        </w:tc>
        <w:tc>
          <w:tcPr>
            <w:tcW w:w="3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487,534</w:t>
            </w:r>
          </w:p>
        </w:tc>
      </w:tr>
      <w:tr>
        <w:trPr>
          <w:trHeight w:val="243"/>
        </w:trPr>
        <w:tc>
          <w:tcPr>
            <w:tcW w:w="3100" w:type="dxa"/>
            <w:vAlign w:val="bottom"/>
          </w:tcPr>
          <w:p>
            <w:pPr>
              <w:ind w:left="180"/>
              <w:spacing w:after="0"/>
              <w:rPr>
                <w:sz w:val="20"/>
                <w:szCs w:val="20"/>
                <w:color w:val="auto"/>
              </w:rPr>
            </w:pPr>
            <w:r>
              <w:rPr>
                <w:rFonts w:ascii="Arial" w:cs="Arial" w:eastAsia="Arial" w:hAnsi="Arial"/>
                <w:sz w:val="16"/>
                <w:szCs w:val="16"/>
                <w:color w:val="auto"/>
              </w:rPr>
              <w:t>CEO and President</w:t>
            </w: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7"/>
        </w:trPr>
        <w:tc>
          <w:tcPr>
            <w:tcW w:w="3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Raymond M. Beebe</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245,864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114,989</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368,055</w:t>
            </w:r>
          </w:p>
        </w:tc>
      </w:tr>
      <w:tr>
        <w:trPr>
          <w:trHeight w:val="24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General Counsel</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232,924</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13,393</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9,127</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255,444</w:t>
            </w:r>
          </w:p>
        </w:tc>
      </w:tr>
      <w:tr>
        <w:trPr>
          <w:trHeight w:val="26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Secretary</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236,408</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272,268</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Roger W. Martin</w:t>
            </w:r>
          </w:p>
        </w:tc>
        <w:tc>
          <w:tcPr>
            <w:tcW w:w="680" w:type="dxa"/>
            <w:vAlign w:val="bottom"/>
          </w:tcPr>
          <w:p>
            <w:pPr>
              <w:jc w:val="center"/>
              <w:spacing w:after="0"/>
              <w:rPr>
                <w:sz w:val="20"/>
                <w:szCs w:val="20"/>
                <w:color w:val="auto"/>
              </w:rPr>
            </w:pPr>
            <w:r>
              <w:rPr>
                <w:rFonts w:ascii="Arial" w:cs="Arial" w:eastAsia="Arial" w:hAnsi="Arial"/>
                <w:sz w:val="16"/>
                <w:szCs w:val="16"/>
                <w:color w:val="auto"/>
              </w:rPr>
              <w:t>2011</w:t>
            </w:r>
          </w:p>
        </w:tc>
        <w:tc>
          <w:tcPr>
            <w:tcW w:w="1000" w:type="dxa"/>
            <w:vAlign w:val="bottom"/>
          </w:tcPr>
          <w:p>
            <w:pPr>
              <w:jc w:val="right"/>
              <w:spacing w:after="0"/>
              <w:rPr>
                <w:sz w:val="20"/>
                <w:szCs w:val="20"/>
                <w:color w:val="auto"/>
              </w:rPr>
            </w:pPr>
            <w:r>
              <w:rPr>
                <w:rFonts w:ascii="Arial" w:cs="Arial" w:eastAsia="Arial" w:hAnsi="Arial"/>
                <w:sz w:val="16"/>
                <w:szCs w:val="16"/>
                <w:color w:val="auto"/>
              </w:rPr>
              <w:t>235,737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114,419</w:t>
            </w:r>
          </w:p>
        </w:tc>
        <w:tc>
          <w:tcPr>
            <w:tcW w:w="180" w:type="dxa"/>
            <w:vAlign w:val="bottom"/>
          </w:tcPr>
          <w:p>
            <w:pPr>
              <w:spacing w:after="0"/>
              <w:rPr>
                <w:sz w:val="19"/>
                <w:szCs w:val="19"/>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4,992</w:t>
            </w:r>
          </w:p>
        </w:tc>
        <w:tc>
          <w:tcPr>
            <w:tcW w:w="3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355,148</w:t>
            </w:r>
          </w:p>
        </w:tc>
      </w:tr>
      <w:tr>
        <w:trPr>
          <w:trHeight w:val="243"/>
        </w:trPr>
        <w:tc>
          <w:tcPr>
            <w:tcW w:w="3100" w:type="dxa"/>
            <w:vAlign w:val="bottom"/>
          </w:tcPr>
          <w:p>
            <w:pPr>
              <w:ind w:left="180"/>
              <w:spacing w:after="0"/>
              <w:rPr>
                <w:sz w:val="20"/>
                <w:szCs w:val="20"/>
                <w:color w:val="auto"/>
              </w:rPr>
            </w:pPr>
            <w:r>
              <w:rPr>
                <w:rFonts w:ascii="Arial" w:cs="Arial" w:eastAsia="Arial" w:hAnsi="Arial"/>
                <w:sz w:val="16"/>
                <w:szCs w:val="16"/>
                <w:color w:val="auto"/>
              </w:rPr>
              <w:t>Vice President, Sales and</w:t>
            </w:r>
          </w:p>
        </w:tc>
        <w:tc>
          <w:tcPr>
            <w:tcW w:w="680" w:type="dxa"/>
            <w:vAlign w:val="bottom"/>
          </w:tcPr>
          <w:p>
            <w:pPr>
              <w:jc w:val="center"/>
              <w:spacing w:after="0"/>
              <w:rPr>
                <w:sz w:val="20"/>
                <w:szCs w:val="20"/>
                <w:color w:val="auto"/>
              </w:rPr>
            </w:pPr>
            <w:r>
              <w:rPr>
                <w:rFonts w:ascii="Arial" w:cs="Arial" w:eastAsia="Arial" w:hAnsi="Arial"/>
                <w:sz w:val="16"/>
                <w:szCs w:val="16"/>
                <w:color w:val="auto"/>
              </w:rPr>
              <w:t>2010</w:t>
            </w:r>
          </w:p>
        </w:tc>
        <w:tc>
          <w:tcPr>
            <w:tcW w:w="1000" w:type="dxa"/>
            <w:vAlign w:val="bottom"/>
          </w:tcPr>
          <w:p>
            <w:pPr>
              <w:jc w:val="right"/>
              <w:spacing w:after="0"/>
              <w:rPr>
                <w:sz w:val="20"/>
                <w:szCs w:val="20"/>
                <w:color w:val="auto"/>
              </w:rPr>
            </w:pPr>
            <w:r>
              <w:rPr>
                <w:rFonts w:ascii="Arial" w:cs="Arial" w:eastAsia="Arial" w:hAnsi="Arial"/>
                <w:sz w:val="16"/>
                <w:szCs w:val="16"/>
                <w:color w:val="auto"/>
              </w:rPr>
              <w:t>223,330</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12,841</w:t>
            </w:r>
          </w:p>
        </w:tc>
        <w:tc>
          <w:tcPr>
            <w:tcW w:w="180" w:type="dxa"/>
            <w:vAlign w:val="bottom"/>
          </w:tcPr>
          <w:p>
            <w:pPr>
              <w:spacing w:after="0"/>
              <w:rPr>
                <w:sz w:val="21"/>
                <w:szCs w:val="21"/>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3,414</w:t>
            </w:r>
          </w:p>
        </w:tc>
        <w:tc>
          <w:tcPr>
            <w:tcW w:w="3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239,585</w:t>
            </w:r>
          </w:p>
        </w:tc>
      </w:tr>
      <w:tr>
        <w:trPr>
          <w:trHeight w:val="253"/>
        </w:trPr>
        <w:tc>
          <w:tcPr>
            <w:tcW w:w="3100" w:type="dxa"/>
            <w:vAlign w:val="bottom"/>
          </w:tcPr>
          <w:p>
            <w:pPr>
              <w:ind w:left="180"/>
              <w:spacing w:after="0"/>
              <w:rPr>
                <w:sz w:val="20"/>
                <w:szCs w:val="20"/>
                <w:color w:val="auto"/>
              </w:rPr>
            </w:pPr>
            <w:r>
              <w:rPr>
                <w:rFonts w:ascii="Arial" w:cs="Arial" w:eastAsia="Arial" w:hAnsi="Arial"/>
                <w:sz w:val="16"/>
                <w:szCs w:val="16"/>
                <w:color w:val="auto"/>
              </w:rPr>
              <w:t>Marketing</w:t>
            </w:r>
          </w:p>
        </w:tc>
        <w:tc>
          <w:tcPr>
            <w:tcW w:w="680" w:type="dxa"/>
            <w:vAlign w:val="bottom"/>
          </w:tcPr>
          <w:p>
            <w:pPr>
              <w:jc w:val="center"/>
              <w:spacing w:after="0"/>
              <w:rPr>
                <w:sz w:val="20"/>
                <w:szCs w:val="20"/>
                <w:color w:val="auto"/>
              </w:rPr>
            </w:pPr>
            <w:r>
              <w:rPr>
                <w:rFonts w:ascii="Arial" w:cs="Arial" w:eastAsia="Arial" w:hAnsi="Arial"/>
                <w:sz w:val="16"/>
                <w:szCs w:val="16"/>
                <w:color w:val="auto"/>
              </w:rPr>
              <w:t>2009</w:t>
            </w:r>
          </w:p>
        </w:tc>
        <w:tc>
          <w:tcPr>
            <w:tcW w:w="1000" w:type="dxa"/>
            <w:vAlign w:val="bottom"/>
          </w:tcPr>
          <w:p>
            <w:pPr>
              <w:jc w:val="right"/>
              <w:spacing w:after="0"/>
              <w:rPr>
                <w:sz w:val="20"/>
                <w:szCs w:val="20"/>
                <w:color w:val="auto"/>
              </w:rPr>
            </w:pPr>
            <w:r>
              <w:rPr>
                <w:rFonts w:ascii="Arial" w:cs="Arial" w:eastAsia="Arial" w:hAnsi="Arial"/>
                <w:sz w:val="16"/>
                <w:szCs w:val="16"/>
                <w:color w:val="auto"/>
              </w:rPr>
              <w:t>226,670</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13,864</w:t>
            </w:r>
          </w:p>
        </w:tc>
        <w:tc>
          <w:tcPr>
            <w:tcW w:w="180" w:type="dxa"/>
            <w:vAlign w:val="bottom"/>
          </w:tcPr>
          <w:p>
            <w:pPr>
              <w:spacing w:after="0"/>
              <w:rPr>
                <w:sz w:val="21"/>
                <w:szCs w:val="21"/>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5,017</w:t>
            </w:r>
          </w:p>
        </w:tc>
        <w:tc>
          <w:tcPr>
            <w:tcW w:w="3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245,551</w:t>
            </w:r>
          </w:p>
        </w:tc>
      </w:tr>
      <w:tr>
        <w:trPr>
          <w:trHeight w:val="23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233,662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114,303</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4,183</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352,148</w:t>
            </w:r>
          </w:p>
        </w:tc>
      </w:tr>
      <w:tr>
        <w:trPr>
          <w:trHeight w:val="24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CFO</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221,364</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12,728</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237,546</w:t>
            </w:r>
          </w:p>
        </w:tc>
      </w:tr>
      <w:tr>
        <w:trPr>
          <w:trHeight w:val="290"/>
        </w:trPr>
        <w:tc>
          <w:tcPr>
            <w:tcW w:w="3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224,675</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13,743</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243,082</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680" w:type="dxa"/>
            <w:vAlign w:val="bottom"/>
          </w:tcPr>
          <w:p>
            <w:pPr>
              <w:jc w:val="center"/>
              <w:spacing w:after="0"/>
              <w:rPr>
                <w:sz w:val="20"/>
                <w:szCs w:val="20"/>
                <w:color w:val="auto"/>
              </w:rPr>
            </w:pPr>
            <w:r>
              <w:rPr>
                <w:rFonts w:ascii="Arial" w:cs="Arial" w:eastAsia="Arial" w:hAnsi="Arial"/>
                <w:sz w:val="16"/>
                <w:szCs w:val="16"/>
                <w:color w:val="auto"/>
              </w:rPr>
              <w:t>2011</w:t>
            </w:r>
          </w:p>
        </w:tc>
        <w:tc>
          <w:tcPr>
            <w:tcW w:w="1000" w:type="dxa"/>
            <w:vAlign w:val="bottom"/>
          </w:tcPr>
          <w:p>
            <w:pPr>
              <w:jc w:val="right"/>
              <w:spacing w:after="0"/>
              <w:rPr>
                <w:sz w:val="20"/>
                <w:szCs w:val="20"/>
                <w:color w:val="auto"/>
              </w:rPr>
            </w:pPr>
            <w:r>
              <w:rPr>
                <w:rFonts w:ascii="Arial" w:cs="Arial" w:eastAsia="Arial" w:hAnsi="Arial"/>
                <w:sz w:val="16"/>
                <w:szCs w:val="16"/>
                <w:color w:val="auto"/>
              </w:rPr>
              <w:t>234,502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114,350</w:t>
            </w:r>
          </w:p>
        </w:tc>
        <w:tc>
          <w:tcPr>
            <w:tcW w:w="180" w:type="dxa"/>
            <w:vAlign w:val="bottom"/>
          </w:tcPr>
          <w:p>
            <w:pPr>
              <w:spacing w:after="0"/>
              <w:rPr>
                <w:sz w:val="19"/>
                <w:szCs w:val="19"/>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5,962</w:t>
            </w:r>
          </w:p>
        </w:tc>
        <w:tc>
          <w:tcPr>
            <w:tcW w:w="3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354,814</w:t>
            </w:r>
          </w:p>
        </w:tc>
      </w:tr>
      <w:tr>
        <w:trPr>
          <w:trHeight w:val="243"/>
        </w:trPr>
        <w:tc>
          <w:tcPr>
            <w:tcW w:w="3100" w:type="dxa"/>
            <w:vAlign w:val="bottom"/>
          </w:tcPr>
          <w:p>
            <w:pPr>
              <w:ind w:left="180"/>
              <w:spacing w:after="0"/>
              <w:rPr>
                <w:sz w:val="20"/>
                <w:szCs w:val="20"/>
                <w:color w:val="auto"/>
              </w:rPr>
            </w:pPr>
            <w:r>
              <w:rPr>
                <w:rFonts w:ascii="Arial" w:cs="Arial" w:eastAsia="Arial" w:hAnsi="Arial"/>
                <w:sz w:val="16"/>
                <w:szCs w:val="16"/>
                <w:color w:val="auto"/>
              </w:rPr>
              <w:t>Vice President, Product</w:t>
            </w:r>
          </w:p>
        </w:tc>
        <w:tc>
          <w:tcPr>
            <w:tcW w:w="680" w:type="dxa"/>
            <w:vAlign w:val="bottom"/>
          </w:tcPr>
          <w:p>
            <w:pPr>
              <w:jc w:val="center"/>
              <w:spacing w:after="0"/>
              <w:rPr>
                <w:sz w:val="20"/>
                <w:szCs w:val="20"/>
                <w:color w:val="auto"/>
              </w:rPr>
            </w:pPr>
            <w:r>
              <w:rPr>
                <w:rFonts w:ascii="Arial" w:cs="Arial" w:eastAsia="Arial" w:hAnsi="Arial"/>
                <w:sz w:val="16"/>
                <w:szCs w:val="16"/>
                <w:color w:val="auto"/>
              </w:rPr>
              <w:t>2010</w:t>
            </w:r>
          </w:p>
        </w:tc>
        <w:tc>
          <w:tcPr>
            <w:tcW w:w="1000" w:type="dxa"/>
            <w:vAlign w:val="bottom"/>
          </w:tcPr>
          <w:p>
            <w:pPr>
              <w:jc w:val="right"/>
              <w:spacing w:after="0"/>
              <w:rPr>
                <w:sz w:val="20"/>
                <w:szCs w:val="20"/>
                <w:color w:val="auto"/>
              </w:rPr>
            </w:pPr>
            <w:r>
              <w:rPr>
                <w:rFonts w:ascii="Arial" w:cs="Arial" w:eastAsia="Arial" w:hAnsi="Arial"/>
                <w:sz w:val="16"/>
                <w:szCs w:val="16"/>
                <w:color w:val="auto"/>
              </w:rPr>
              <w:t>222,160</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12,774</w:t>
            </w:r>
          </w:p>
        </w:tc>
        <w:tc>
          <w:tcPr>
            <w:tcW w:w="180" w:type="dxa"/>
            <w:vAlign w:val="bottom"/>
          </w:tcPr>
          <w:p>
            <w:pPr>
              <w:spacing w:after="0"/>
              <w:rPr>
                <w:sz w:val="21"/>
                <w:szCs w:val="21"/>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5,702</w:t>
            </w:r>
          </w:p>
        </w:tc>
        <w:tc>
          <w:tcPr>
            <w:tcW w:w="3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240,636</w:t>
            </w:r>
          </w:p>
        </w:tc>
      </w:tr>
      <w:tr>
        <w:trPr>
          <w:trHeight w:val="243"/>
        </w:trPr>
        <w:tc>
          <w:tcPr>
            <w:tcW w:w="310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680" w:type="dxa"/>
            <w:vAlign w:val="bottom"/>
          </w:tcPr>
          <w:p>
            <w:pPr>
              <w:jc w:val="center"/>
              <w:spacing w:after="0"/>
              <w:rPr>
                <w:sz w:val="20"/>
                <w:szCs w:val="20"/>
                <w:color w:val="auto"/>
              </w:rPr>
            </w:pPr>
            <w:r>
              <w:rPr>
                <w:rFonts w:ascii="Arial" w:cs="Arial" w:eastAsia="Arial" w:hAnsi="Arial"/>
                <w:sz w:val="16"/>
                <w:szCs w:val="16"/>
                <w:color w:val="auto"/>
              </w:rPr>
              <w:t>2009</w:t>
            </w:r>
          </w:p>
        </w:tc>
        <w:tc>
          <w:tcPr>
            <w:tcW w:w="1000" w:type="dxa"/>
            <w:vAlign w:val="bottom"/>
          </w:tcPr>
          <w:p>
            <w:pPr>
              <w:jc w:val="right"/>
              <w:spacing w:after="0"/>
              <w:rPr>
                <w:sz w:val="20"/>
                <w:szCs w:val="20"/>
                <w:color w:val="auto"/>
              </w:rPr>
            </w:pPr>
            <w:r>
              <w:rPr>
                <w:rFonts w:ascii="Arial" w:cs="Arial" w:eastAsia="Arial" w:hAnsi="Arial"/>
                <w:sz w:val="16"/>
                <w:szCs w:val="16"/>
                <w:color w:val="auto"/>
              </w:rPr>
              <w:t>225,483</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13,792</w:t>
            </w:r>
          </w:p>
        </w:tc>
        <w:tc>
          <w:tcPr>
            <w:tcW w:w="180" w:type="dxa"/>
            <w:vAlign w:val="bottom"/>
          </w:tcPr>
          <w:p>
            <w:pPr>
              <w:spacing w:after="0"/>
              <w:rPr>
                <w:sz w:val="21"/>
                <w:szCs w:val="21"/>
                <w:color w:val="auto"/>
              </w:rPr>
            </w:pPr>
          </w:p>
        </w:tc>
        <w:tc>
          <w:tcPr>
            <w:tcW w:w="1060" w:type="dxa"/>
            <w:vAlign w:val="bottom"/>
          </w:tcPr>
          <w:p>
            <w:pPr>
              <w:ind w:left="620"/>
              <w:spacing w:after="0"/>
              <w:rPr>
                <w:sz w:val="20"/>
                <w:szCs w:val="20"/>
                <w:color w:val="auto"/>
              </w:rPr>
            </w:pPr>
            <w:r>
              <w:rPr>
                <w:rFonts w:ascii="Arial" w:cs="Arial" w:eastAsia="Arial" w:hAnsi="Arial"/>
                <w:sz w:val="16"/>
                <w:szCs w:val="16"/>
                <w:color w:val="auto"/>
              </w:rPr>
              <w:t>—</w:t>
            </w:r>
          </w:p>
        </w:tc>
        <w:tc>
          <w:tcPr>
            <w:tcW w:w="1700" w:type="dxa"/>
            <w:vAlign w:val="bottom"/>
          </w:tcPr>
          <w:p>
            <w:pPr>
              <w:ind w:left="12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7,575</w:t>
            </w:r>
          </w:p>
        </w:tc>
        <w:tc>
          <w:tcPr>
            <w:tcW w:w="3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246,850</w:t>
            </w:r>
          </w:p>
        </w:tc>
      </w:tr>
    </w:tbl>
    <w:p>
      <w:pPr>
        <w:spacing w:after="0" w:line="2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“Compensation Discussion and Analysis-Base Salary” for information relating to certain base salary adjustments in Fiscal 2009 and Fiscal 2011.</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This column represents the grant date fair value computed in accordance with ASC 718 for Fiscal 2009 through Fiscal 2011 with respect to the following: (i) restricted stock granted in Fiscal 2011 pursuant to the 2004 Plan, (ii) the portion of award opportunities made available to Named Executive Officers in Fiscal 2009, Fiscal 2010 and Fiscal 2011 comprised of restricted stock pursuant to the Officers Incentive Compensation Plan Fiscal Period 2009, the Officers Incentive Compensation Plan Fiscal Period 2010 and the Officers Incentive Compensation Plan Fiscal Period 2011, respectively, and (iii) restricted stock award opportunities under each of the 2009-2011 Plan, the 2010-2012 Plan and the 2011-2013 Plan for Fiscal 2009, Fiscal 2010, and Fiscal 2011 respectively, each based upon the probable outcome of the performance conditions measured as of the grant date. The grant date fair value of each of the performance-based awards was determined at the closing price of the Company's shares on the NYSE on the grant date, based on Management's estimate of the threshold levels of achievement of the performance measures related to the applicable awards, as described under "Compensation Discussion and Analysis" above and without regard to estimated forfeitures related to service-based vesting conditions. The grant date fair values for each Named Executive Officer stock-based award in Fiscal 2011 (including restricted stock opportunities under the Officers Incentive Compensation Plan Fiscal Period 2011 and the 2011-2013 Plan) are set forth in the Grants of Plan-Based Awards table that follows. The grant date fair value of the performance stock awards granted to Named Executive Officers during Fiscal 2011 assuming that the Company's performance will be at the levels that would result in a maximum payout under those awards is as follows: Mr. Olson - $389,760; Mr. Potts - $196,232; Mr. Beebe - $185,692; Mr. Martin - $178,044; Ms. Nielsen - $176,477; and Mr. O'Leary - $177,611. The amounts reported in this column do not reflect actual compensation realized by the Named Executive Officers and are not a guarantee of the amount that the Named Executive Officer will actually receive. No restricted stock awards were made to Named Executive Officers in Fiscal 2011 pursuant to the 2009-2011 Plan. The performance period under the 2010-2012 Plan and the 2011-2013 Plan will not end until August 25, 2012 and August 31, 2013, respectively, and, as such, the actual value of restricted stock grants, if any, will generally depend on the Company's achievement of certain performance measures during these periods. For information regarding the terms of the awards and the criteria for determining the amounts payable, see "Compensation Discussion and Analysis-Long-Term Incentives." In addition, no restricted stock awards were made to Named Executive Officers in Fiscal 2009, Fiscal 2010 and Fiscal 2011 pursuant to the Officers Incentive Compensation Plan Fiscal Period 2009, the Officers Incentive Compensation Plan Fiscal Period 2010 and the Officers Incentive Compensation Plan Fiscal 2011, respectively.</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None of the Named Executive Officers received stock option awards in Fiscal 2009 through Fiscal 2011.</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 cash awards were made to Named Executive Officers in Fiscal 2011 under the Officer Incentive Compensation Plan Fiscal Period 2011 and the 2009-2011 Plan, in Fiscal 2010 under the Officer Incentive Compensation Plan Fiscal Period 2010 and the 2008-2010 Plan, or in Fiscal 2009 under the Officer Incentive Compensation Plan Fiscal Period 2009 and the 2007-2009 Plan. See “Compensation Discussion and Analysis” for further discussion on how amounts were determined for Fiscal 2011.</w:t>
      </w:r>
    </w:p>
    <w:p>
      <w:pPr>
        <w:spacing w:after="0" w:line="1" w:lineRule="exact"/>
        <w:rPr>
          <w:rFonts w:ascii="Arial" w:cs="Arial" w:eastAsia="Arial" w:hAnsi="Arial"/>
          <w:sz w:val="14"/>
          <w:szCs w:val="14"/>
          <w:color w:val="auto"/>
        </w:rPr>
      </w:pPr>
    </w:p>
    <w:p>
      <w:pPr>
        <w:ind w:left="340" w:right="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all of the Named Executive Officers, "All Other Compensation" for Fiscal 2011 includes the Company match to the 401(k) Plan, the cost of life insurance over $50,000 per IRS regulations and the cost of executive physical examinations.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1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The following table provides additional information relating to plan-based awards granted to our Named Executive Officers during Fiscal 2011. No actual payouts were made to the Named Executive Officers under the 2011 OICP as discussed under "Compensation Discussion and Analysis-Annual Incentive Plan" above.</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Pr>
          <w:p>
            <w:pPr>
              <w:spacing w:after="0"/>
              <w:rPr>
                <w:sz w:val="15"/>
                <w:szCs w:val="15"/>
                <w:color w:val="auto"/>
              </w:rPr>
            </w:pPr>
          </w:p>
        </w:tc>
        <w:tc>
          <w:tcPr>
            <w:tcW w:w="2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 Payments Under Equity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Non-Equity Incentive Plan Awards</w:t>
            </w:r>
          </w:p>
        </w:tc>
        <w:tc>
          <w:tcPr>
            <w:tcW w:w="100" w:type="dxa"/>
            <w:vAlign w:val="bottom"/>
          </w:tcPr>
          <w:p>
            <w:pPr>
              <w:spacing w:after="0"/>
              <w:rPr>
                <w:sz w:val="14"/>
                <w:szCs w:val="14"/>
                <w:color w:val="auto"/>
              </w:rPr>
            </w:pPr>
          </w:p>
        </w:tc>
        <w:tc>
          <w:tcPr>
            <w:tcW w:w="29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Incentive Plan Awards</w:t>
            </w:r>
          </w:p>
        </w:tc>
        <w:tc>
          <w:tcPr>
            <w:tcW w:w="1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1020" w:type="dxa"/>
            <w:vAlign w:val="bottom"/>
            <w:vMerge w:val="restart"/>
          </w:tcPr>
          <w:p>
            <w:pPr>
              <w:ind w:left="360"/>
              <w:spacing w:after="0" w:line="149" w:lineRule="exact"/>
              <w:rPr>
                <w:sz w:val="20"/>
                <w:szCs w:val="20"/>
                <w:color w:val="auto"/>
              </w:rPr>
            </w:pPr>
            <w:r>
              <w:rPr>
                <w:rFonts w:ascii="Arial" w:cs="Arial" w:eastAsia="Arial" w:hAnsi="Arial"/>
                <w:sz w:val="14"/>
                <w:szCs w:val="14"/>
                <w:b w:val="1"/>
                <w:bCs w:val="1"/>
                <w:color w:val="auto"/>
              </w:rPr>
              <w:t>Plan</w:t>
            </w:r>
          </w:p>
        </w:tc>
        <w:tc>
          <w:tcPr>
            <w:tcW w:w="800" w:type="dxa"/>
            <w:vAlign w:val="bottom"/>
            <w:vMerge w:val="restart"/>
          </w:tcPr>
          <w:p>
            <w:pPr>
              <w:ind w:left="200"/>
              <w:spacing w:after="0" w:line="149" w:lineRule="exact"/>
              <w:rPr>
                <w:sz w:val="20"/>
                <w:szCs w:val="20"/>
                <w:color w:val="auto"/>
              </w:rPr>
            </w:pPr>
            <w:r>
              <w:rPr>
                <w:rFonts w:ascii="Arial" w:cs="Arial" w:eastAsia="Arial" w:hAnsi="Arial"/>
                <w:sz w:val="14"/>
                <w:szCs w:val="14"/>
                <w:b w:val="1"/>
                <w:bCs w:val="1"/>
                <w:color w:val="auto"/>
              </w:rPr>
              <w:t>Grant</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75"/>
        </w:trPr>
        <w:tc>
          <w:tcPr>
            <w:tcW w:w="21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23"/>
                <w:szCs w:val="23"/>
                <w:b w:val="1"/>
                <w:bCs w:val="1"/>
                <w:color w:val="auto"/>
                <w:vertAlign w:val="subscript"/>
              </w:rPr>
              <w:t>Name</w:t>
            </w:r>
            <w:r>
              <w:rPr>
                <w:rFonts w:ascii="Arial" w:cs="Arial" w:eastAsia="Arial" w:hAnsi="Arial"/>
                <w:sz w:val="8"/>
                <w:szCs w:val="8"/>
                <w:b w:val="1"/>
                <w:bCs w:val="1"/>
                <w:color w:val="auto"/>
              </w:rPr>
              <w:t>(1)(2)(3)</w:t>
            </w: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7"/>
                <w:szCs w:val="17"/>
                <w:b w:val="1"/>
                <w:bCs w:val="1"/>
                <w:color w:val="auto"/>
                <w:vertAlign w:val="superscript"/>
              </w:rPr>
              <w:t>(4)</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Threshold</w:t>
            </w:r>
          </w:p>
        </w:tc>
        <w:tc>
          <w:tcPr>
            <w:tcW w:w="9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Target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Threshold</w:t>
            </w:r>
          </w:p>
        </w:tc>
        <w:tc>
          <w:tcPr>
            <w:tcW w:w="9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8"/>
              </w:rPr>
              <w:t>Target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Maximum</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 xml:space="preserve">Awards </w:t>
            </w:r>
            <w:r>
              <w:rPr>
                <w:rFonts w:ascii="Arial" w:cs="Arial" w:eastAsia="Arial" w:hAnsi="Arial"/>
                <w:sz w:val="17"/>
                <w:szCs w:val="17"/>
                <w:b w:val="1"/>
                <w:bCs w:val="1"/>
                <w:color w:val="auto"/>
                <w:w w:val="96"/>
                <w:vertAlign w:val="superscript"/>
              </w:rPr>
              <w:t>(5)</w:t>
            </w:r>
          </w:p>
        </w:tc>
        <w:tc>
          <w:tcPr>
            <w:tcW w:w="0" w:type="dxa"/>
            <w:vAlign w:val="bottom"/>
          </w:tcPr>
          <w:p>
            <w:pPr>
              <w:spacing w:after="0"/>
              <w:rPr>
                <w:sz w:val="1"/>
                <w:szCs w:val="1"/>
                <w:color w:val="auto"/>
              </w:rPr>
            </w:pPr>
          </w:p>
        </w:tc>
      </w:tr>
      <w:tr>
        <w:trPr>
          <w:trHeight w:val="238"/>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J. Olson</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2004 Plan</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3/23/11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337,250</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2011 OICP</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40,716</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250,560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501,120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20,358</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125,280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250,560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LTIP</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9,280</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92,800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139,200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Randy J. Potts</w:t>
            </w:r>
          </w:p>
        </w:tc>
        <w:tc>
          <w:tcPr>
            <w:tcW w:w="1020" w:type="dxa"/>
            <w:vAlign w:val="bottom"/>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tcPr>
          <w:p>
            <w:pPr>
              <w:ind w:left="160"/>
              <w:spacing w:after="0"/>
              <w:rPr>
                <w:sz w:val="20"/>
                <w:szCs w:val="20"/>
                <w:color w:val="auto"/>
              </w:rPr>
            </w:pPr>
            <w:r>
              <w:rPr>
                <w:rFonts w:ascii="Arial" w:cs="Arial" w:eastAsia="Arial" w:hAnsi="Arial"/>
                <w:sz w:val="14"/>
                <w:szCs w:val="14"/>
                <w:color w:val="auto"/>
              </w:rPr>
              <w:t>3/23/11</w:t>
            </w:r>
          </w:p>
        </w:tc>
        <w:tc>
          <w:tcPr>
            <w:tcW w:w="14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175,370</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2011 OICP</w:t>
            </w:r>
          </w:p>
        </w:tc>
        <w:tc>
          <w:tcPr>
            <w:tcW w:w="800" w:type="dxa"/>
            <w:vAlign w:val="bottom"/>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tcPr>
          <w:p>
            <w:pPr>
              <w:spacing w:after="0"/>
              <w:rPr>
                <w:sz w:val="23"/>
                <w:szCs w:val="23"/>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19,091</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117,485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234,969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9,546</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58,742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117,485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2013 LTIP</w:t>
            </w:r>
          </w:p>
        </w:tc>
        <w:tc>
          <w:tcPr>
            <w:tcW w:w="800" w:type="dxa"/>
            <w:vAlign w:val="bottom"/>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tcPr>
          <w:p>
            <w:pPr>
              <w:spacing w:after="0"/>
              <w:rPr>
                <w:sz w:val="24"/>
                <w:szCs w:val="2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5,250</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52,498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78,747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Raymond M. Beebe</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3/23/11</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101,175</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2011 OICP</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15,981</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98,345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196,691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7,991</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49,173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98,346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LTIP</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5,823</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58,231</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Roger W. Martin</w:t>
            </w:r>
          </w:p>
        </w:tc>
        <w:tc>
          <w:tcPr>
            <w:tcW w:w="1020" w:type="dxa"/>
            <w:vAlign w:val="bottom"/>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tcPr>
          <w:p>
            <w:pPr>
              <w:ind w:left="160"/>
              <w:spacing w:after="0"/>
              <w:rPr>
                <w:sz w:val="20"/>
                <w:szCs w:val="20"/>
                <w:color w:val="auto"/>
              </w:rPr>
            </w:pPr>
            <w:r>
              <w:rPr>
                <w:rFonts w:ascii="Arial" w:cs="Arial" w:eastAsia="Arial" w:hAnsi="Arial"/>
                <w:sz w:val="14"/>
                <w:szCs w:val="14"/>
                <w:color w:val="auto"/>
              </w:rPr>
              <w:t>3/23/11</w:t>
            </w:r>
          </w:p>
        </w:tc>
        <w:tc>
          <w:tcPr>
            <w:tcW w:w="14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101,175</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2011 OICP</w:t>
            </w:r>
          </w:p>
        </w:tc>
        <w:tc>
          <w:tcPr>
            <w:tcW w:w="800" w:type="dxa"/>
            <w:vAlign w:val="bottom"/>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tcPr>
          <w:p>
            <w:pPr>
              <w:spacing w:after="0"/>
              <w:rPr>
                <w:sz w:val="23"/>
                <w:szCs w:val="23"/>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15,323</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94,295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188,589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7,661</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47,147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94,295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2013 LTIP</w:t>
            </w:r>
          </w:p>
        </w:tc>
        <w:tc>
          <w:tcPr>
            <w:tcW w:w="800" w:type="dxa"/>
            <w:vAlign w:val="bottom"/>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tcPr>
          <w:p>
            <w:pPr>
              <w:spacing w:after="0"/>
              <w:rPr>
                <w:sz w:val="24"/>
                <w:szCs w:val="2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5,583</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55,832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83,749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Sarah N. Nielsen</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3/23/11</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101,175</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spacing w:after="0"/>
              <w:rPr>
                <w:sz w:val="23"/>
                <w:szCs w:val="23"/>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2011 OICP</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15,188</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93,465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186,929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7,594</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46,732</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160" w:type="dxa"/>
            <w:vAlign w:val="bottom"/>
            <w:shd w:val="clear" w:color="auto" w:fill="CCEEFF"/>
          </w:tcPr>
          <w:p>
            <w:pPr>
              <w:spacing w:after="0"/>
              <w:rPr>
                <w:sz w:val="24"/>
                <w:szCs w:val="24"/>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LTIP</w:t>
            </w:r>
          </w:p>
        </w:tc>
        <w:tc>
          <w:tcPr>
            <w:tcW w:w="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5,534</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55,341</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83,012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William J. O'Leary</w:t>
            </w:r>
          </w:p>
        </w:tc>
        <w:tc>
          <w:tcPr>
            <w:tcW w:w="1020" w:type="dxa"/>
            <w:vAlign w:val="bottom"/>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tcPr>
          <w:p>
            <w:pPr>
              <w:ind w:left="160"/>
              <w:spacing w:after="0"/>
              <w:rPr>
                <w:sz w:val="20"/>
                <w:szCs w:val="20"/>
                <w:color w:val="auto"/>
              </w:rPr>
            </w:pPr>
            <w:r>
              <w:rPr>
                <w:rFonts w:ascii="Arial" w:cs="Arial" w:eastAsia="Arial" w:hAnsi="Arial"/>
                <w:sz w:val="14"/>
                <w:szCs w:val="14"/>
                <w:color w:val="auto"/>
              </w:rPr>
              <w:t>3/23/11</w:t>
            </w:r>
          </w:p>
        </w:tc>
        <w:tc>
          <w:tcPr>
            <w:tcW w:w="14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101,175</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2011 OICP</w:t>
            </w:r>
          </w:p>
        </w:tc>
        <w:tc>
          <w:tcPr>
            <w:tcW w:w="800" w:type="dxa"/>
            <w:vAlign w:val="bottom"/>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tcPr>
          <w:p>
            <w:pPr>
              <w:spacing w:after="0"/>
              <w:rPr>
                <w:sz w:val="23"/>
                <w:szCs w:val="23"/>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15,243</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93,801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187,601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7,621</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46,900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93,801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2013 LTIP</w:t>
            </w:r>
          </w:p>
        </w:tc>
        <w:tc>
          <w:tcPr>
            <w:tcW w:w="800" w:type="dxa"/>
            <w:vAlign w:val="bottom"/>
          </w:tcPr>
          <w:p>
            <w:pPr>
              <w:ind w:left="160"/>
              <w:spacing w:after="0"/>
              <w:rPr>
                <w:sz w:val="20"/>
                <w:szCs w:val="20"/>
                <w:color w:val="auto"/>
              </w:rPr>
            </w:pPr>
            <w:r>
              <w:rPr>
                <w:rFonts w:ascii="Arial" w:cs="Arial" w:eastAsia="Arial" w:hAnsi="Arial"/>
                <w:sz w:val="14"/>
                <w:szCs w:val="14"/>
                <w:color w:val="auto"/>
              </w:rPr>
              <w:t>6/23/10</w:t>
            </w:r>
          </w:p>
        </w:tc>
        <w:tc>
          <w:tcPr>
            <w:tcW w:w="140" w:type="dxa"/>
            <w:vAlign w:val="bottom"/>
          </w:tcPr>
          <w:p>
            <w:pPr>
              <w:spacing w:after="0"/>
              <w:rPr>
                <w:sz w:val="23"/>
                <w:szCs w:val="23"/>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5,554</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55,540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83,310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right="560" w:hanging="332"/>
        <w:spacing w:after="0" w:line="241"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2004 Plan refers to restricted stock awards made to Named Executive Officers under the 2004 Plan, which generally vest over a three-year period in annual one-third increments beginning in year one after the date of grant.</w:t>
      </w:r>
    </w:p>
    <w:p>
      <w:pPr>
        <w:ind w:left="340" w:right="120" w:hanging="332"/>
        <w:spacing w:after="0" w:line="241"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2011 OICP refers to our Officers Incentive Compensation Plan Fiscal Period 2011, which targets annual performance against goals established by the Committee. Awards under the 2011 OICP are payable in cash and restricted stock. The applicable Threshold, Target and Maximum amounts presented above represent such cash and dollar value, respectively, of restricted stock for the 2011 OICP. Under the 2011 OICP, the Committee had discretionary authority to modify the financial factors used in determining amounts payable by plus or minus 20 percent based upon strategic priorities.</w:t>
      </w:r>
    </w:p>
    <w:p>
      <w:pPr>
        <w:spacing w:after="0" w:line="1" w:lineRule="exact"/>
        <w:rPr>
          <w:rFonts w:ascii="Arial" w:cs="Arial" w:eastAsia="Arial" w:hAnsi="Arial"/>
          <w:sz w:val="13"/>
          <w:szCs w:val="13"/>
          <w:color w:val="auto"/>
        </w:rPr>
      </w:pPr>
    </w:p>
    <w:p>
      <w:pPr>
        <w:ind w:left="340" w:right="40" w:hanging="332"/>
        <w:spacing w:after="0" w:line="241"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2013 LTIP refers to our Officers Long-Term Incentive Plan Fiscal Three-Year Period 2011-2013. For each of the Named Executive Officers, the Threshold, Target and Maximum amounts under the 2013 LTIP represent potential restricted stock payments that are measured over a three-year performance period from August 27, 2010 through August 31, 2013. See “Compensation Discussion and Analysis-Long Term Incentive Plans Fiscal 2011-2013” for information regarding the terms of the restricted stock awards, the description of the performance-based vesting conditions and the criteria for determining the amounts payable.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With respect to the 2011 OICP and the 2013 LTIP, the Board approved the award opportunities on June 23, 2010, effective as of August 29, 2010.</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The grant date fair value of restricted stock awards granted on March 23, 2011 is computed in accordance with ASC Topic 718.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None of the Named Executive Officers has an employment agreement. However, each Named Executive Officer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 For Fiscal 2011, base salaries (including amounts deferred to the 401(k) Plan) as a percentage of total compensation shown in the Summary Compensation Table, were approximately as follows: Mr. Olson - 53%; Mr. Potts - 60%; Mr. Beebe - 67%, Mr. Martin, Ms. Nielsen, and Mr. O'Leary - 66%.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Stock-based awards under the 2004 Plan were made as restricted stock in Fiscal 2011. Descriptions of these types of grants and the reason for these types of grants are discussed in “Compensation Discussion and Analysis—2004 Incentive Compensation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Plan.” Grants of restricted stock and stock options, the ASC 718 grant date fair value of which is disclosed in the Summary Compensation Table, begin vesting in annual increments of one-third after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addition to base salary, each Named Executive Officer is eligible to receive, subject to certain financial performance metrics, a target annual incentive cash and restricted stock award equal to a percentage of his or her annual base salary, as follows: Mr. Olson - 90 percent; Mr. Potts, Mr. Beebe, Mr. Martin, Ms. Nielsen and Mr. O'Leary - 60 percent. This element of compensation is carried out through the Officers Incentive Compensation Plan Fiscal Period 2011, which is discussed in the “Compensation Discussion and Analysis-Annual Incentive Plan” above. No payouts were made in Fiscal 2011 to Named Executive Officers under this plan.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element of compensation is described in the “Compensation Discussion and Analysis-Long-Term Incentives” above. No payouts were made in Fiscal 2011 to Named Executive Officers under the 2009-2011 Plan.</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Named Executive Officers as of August 27,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tcBorders>
              <w:bottom w:val="single" w:sz="8" w:color="auto"/>
            </w:tcBorders>
            <w:gridSpan w:val="2"/>
          </w:tcPr>
          <w:p>
            <w:pPr>
              <w:ind w:left="1340"/>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(2)</w:t>
            </w:r>
          </w:p>
        </w:tc>
      </w:tr>
      <w:tr>
        <w:trPr>
          <w:trHeight w:val="191"/>
        </w:trPr>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40" w:type="dxa"/>
            <w:vAlign w:val="bottom"/>
          </w:tcPr>
          <w:p>
            <w:pPr>
              <w:jc w:val="center"/>
              <w:ind w:left="39"/>
              <w:spacing w:after="0"/>
              <w:rPr>
                <w:sz w:val="20"/>
                <w:szCs w:val="20"/>
                <w:color w:val="auto"/>
              </w:rPr>
            </w:pPr>
            <w:r>
              <w:rPr>
                <w:rFonts w:ascii="Arial" w:cs="Arial" w:eastAsia="Arial" w:hAnsi="Arial"/>
                <w:sz w:val="16"/>
                <w:szCs w:val="16"/>
                <w:b w:val="1"/>
                <w:bCs w:val="1"/>
                <w:color w:val="auto"/>
                <w:w w:val="99"/>
              </w:rPr>
              <w:t>Market Value of</w:t>
            </w:r>
          </w:p>
        </w:tc>
      </w:tr>
      <w:tr>
        <w:trPr>
          <w:trHeight w:val="189"/>
        </w:trPr>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left="79"/>
              <w:spacing w:after="0"/>
              <w:rPr>
                <w:sz w:val="20"/>
                <w:szCs w:val="20"/>
                <w:color w:val="auto"/>
              </w:rPr>
            </w:pPr>
            <w:r>
              <w:rPr>
                <w:rFonts w:ascii="Arial" w:cs="Arial" w:eastAsia="Arial" w:hAnsi="Arial"/>
                <w:sz w:val="16"/>
                <w:szCs w:val="16"/>
                <w:b w:val="1"/>
                <w:bCs w:val="1"/>
                <w:color w:val="auto"/>
              </w:rPr>
              <w:t>Option</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ind w:right="79"/>
              <w:spacing w:after="0"/>
              <w:rPr>
                <w:sz w:val="20"/>
                <w:szCs w:val="20"/>
                <w:color w:val="auto"/>
              </w:rPr>
            </w:pPr>
            <w:r>
              <w:rPr>
                <w:rFonts w:ascii="Arial" w:cs="Arial" w:eastAsia="Arial" w:hAnsi="Arial"/>
                <w:sz w:val="16"/>
                <w:szCs w:val="16"/>
                <w:b w:val="1"/>
                <w:bCs w:val="1"/>
                <w:color w:val="auto"/>
              </w:rPr>
              <w:t>Number of Shares or</w:t>
            </w:r>
          </w:p>
        </w:tc>
        <w:tc>
          <w:tcPr>
            <w:tcW w:w="1940" w:type="dxa"/>
            <w:vAlign w:val="bottom"/>
          </w:tcPr>
          <w:p>
            <w:pPr>
              <w:jc w:val="center"/>
              <w:ind w:left="59"/>
              <w:spacing w:after="0"/>
              <w:rPr>
                <w:sz w:val="20"/>
                <w:szCs w:val="20"/>
                <w:color w:val="auto"/>
              </w:rPr>
            </w:pPr>
            <w:r>
              <w:rPr>
                <w:rFonts w:ascii="Arial" w:cs="Arial" w:eastAsia="Arial" w:hAnsi="Arial"/>
                <w:sz w:val="16"/>
                <w:szCs w:val="16"/>
                <w:b w:val="1"/>
                <w:bCs w:val="1"/>
                <w:color w:val="auto"/>
              </w:rPr>
              <w:t>Shares or Units of</w:t>
            </w:r>
          </w:p>
        </w:tc>
      </w:tr>
      <w:tr>
        <w:trPr>
          <w:trHeight w:val="189"/>
        </w:trPr>
        <w:tc>
          <w:tcPr>
            <w:tcW w:w="2340" w:type="dxa"/>
            <w:vAlign w:val="bottom"/>
          </w:tcPr>
          <w:p>
            <w:pPr>
              <w:spacing w:after="0"/>
              <w:rPr>
                <w:sz w:val="16"/>
                <w:szCs w:val="16"/>
                <w:color w:val="auto"/>
              </w:rPr>
            </w:pPr>
          </w:p>
        </w:tc>
        <w:tc>
          <w:tcPr>
            <w:tcW w:w="21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1280" w:type="dxa"/>
            <w:vAlign w:val="bottom"/>
          </w:tcPr>
          <w:p>
            <w:pPr>
              <w:jc w:val="center"/>
              <w:ind w:left="99"/>
              <w:spacing w:after="0"/>
              <w:rPr>
                <w:sz w:val="20"/>
                <w:szCs w:val="20"/>
                <w:color w:val="auto"/>
              </w:rPr>
            </w:pPr>
            <w:r>
              <w:rPr>
                <w:rFonts w:ascii="Arial" w:cs="Arial" w:eastAsia="Arial" w:hAnsi="Arial"/>
                <w:sz w:val="16"/>
                <w:szCs w:val="16"/>
                <w:b w:val="1"/>
                <w:bCs w:val="1"/>
                <w:color w:val="auto"/>
              </w:rPr>
              <w:t>Exercise</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ind w:right="79"/>
              <w:spacing w:after="0"/>
              <w:rPr>
                <w:sz w:val="20"/>
                <w:szCs w:val="20"/>
                <w:color w:val="auto"/>
              </w:rPr>
            </w:pPr>
            <w:r>
              <w:rPr>
                <w:rFonts w:ascii="Arial" w:cs="Arial" w:eastAsia="Arial" w:hAnsi="Arial"/>
                <w:sz w:val="16"/>
                <w:szCs w:val="16"/>
                <w:b w:val="1"/>
                <w:bCs w:val="1"/>
                <w:color w:val="auto"/>
              </w:rPr>
              <w:t>Units of Stock That</w:t>
            </w:r>
          </w:p>
        </w:tc>
        <w:tc>
          <w:tcPr>
            <w:tcW w:w="1940" w:type="dxa"/>
            <w:vAlign w:val="bottom"/>
          </w:tcPr>
          <w:p>
            <w:pPr>
              <w:jc w:val="center"/>
              <w:ind w:left="39"/>
              <w:spacing w:after="0"/>
              <w:rPr>
                <w:sz w:val="20"/>
                <w:szCs w:val="20"/>
                <w:color w:val="auto"/>
              </w:rPr>
            </w:pPr>
            <w:r>
              <w:rPr>
                <w:rFonts w:ascii="Arial" w:cs="Arial" w:eastAsia="Arial" w:hAnsi="Arial"/>
                <w:sz w:val="16"/>
                <w:szCs w:val="16"/>
                <w:b w:val="1"/>
                <w:bCs w:val="1"/>
                <w:color w:val="auto"/>
              </w:rPr>
              <w:t>Stock That Have Not</w:t>
            </w:r>
          </w:p>
        </w:tc>
      </w:tr>
      <w:tr>
        <w:trPr>
          <w:trHeight w:val="189"/>
        </w:trPr>
        <w:tc>
          <w:tcPr>
            <w:tcW w:w="2340" w:type="dxa"/>
            <w:vAlign w:val="bottom"/>
          </w:tcPr>
          <w:p>
            <w:pPr>
              <w:spacing w:after="0"/>
              <w:rPr>
                <w:sz w:val="16"/>
                <w:szCs w:val="16"/>
                <w:color w:val="auto"/>
              </w:rPr>
            </w:pPr>
          </w:p>
        </w:tc>
        <w:tc>
          <w:tcPr>
            <w:tcW w:w="2140" w:type="dxa"/>
            <w:vAlign w:val="bottom"/>
            <w:gridSpan w:val="3"/>
          </w:tcPr>
          <w:p>
            <w:pPr>
              <w:jc w:val="center"/>
              <w:spacing w:after="0"/>
              <w:rPr>
                <w:sz w:val="20"/>
                <w:szCs w:val="20"/>
                <w:color w:val="auto"/>
              </w:rPr>
            </w:pPr>
            <w:r>
              <w:rPr>
                <w:rFonts w:ascii="Arial" w:cs="Arial" w:eastAsia="Arial" w:hAnsi="Arial"/>
                <w:sz w:val="16"/>
                <w:szCs w:val="16"/>
                <w:b w:val="1"/>
                <w:bCs w:val="1"/>
                <w:color w:val="auto"/>
              </w:rPr>
              <w:t>Underlying Unexercised</w:t>
            </w:r>
          </w:p>
        </w:tc>
        <w:tc>
          <w:tcPr>
            <w:tcW w:w="1280" w:type="dxa"/>
            <w:vAlign w:val="bottom"/>
          </w:tcPr>
          <w:p>
            <w:pPr>
              <w:jc w:val="center"/>
              <w:ind w:left="99"/>
              <w:spacing w:after="0" w:line="189" w:lineRule="exact"/>
              <w:rPr>
                <w:sz w:val="20"/>
                <w:szCs w:val="20"/>
                <w:color w:val="auto"/>
              </w:rPr>
            </w:pPr>
            <w:r>
              <w:rPr>
                <w:rFonts w:ascii="Arial" w:cs="Arial" w:eastAsia="Arial" w:hAnsi="Arial"/>
                <w:sz w:val="16"/>
                <w:szCs w:val="16"/>
                <w:b w:val="1"/>
                <w:bCs w:val="1"/>
                <w:color w:val="auto"/>
                <w:w w:val="95"/>
              </w:rPr>
              <w:t>Price</w:t>
            </w:r>
            <w:r>
              <w:rPr>
                <w:rFonts w:ascii="Arial" w:cs="Arial" w:eastAsia="Arial" w:hAnsi="Arial"/>
                <w:sz w:val="21"/>
                <w:szCs w:val="21"/>
                <w:b w:val="1"/>
                <w:bCs w:val="1"/>
                <w:color w:val="auto"/>
                <w:w w:val="95"/>
                <w:vertAlign w:val="superscript"/>
              </w:rPr>
              <w:t>(3)</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Option Expiration</w:t>
            </w:r>
          </w:p>
        </w:tc>
        <w:tc>
          <w:tcPr>
            <w:tcW w:w="1960" w:type="dxa"/>
            <w:vAlign w:val="bottom"/>
          </w:tcPr>
          <w:p>
            <w:pPr>
              <w:jc w:val="center"/>
              <w:ind w:right="79"/>
              <w:spacing w:after="0" w:line="189" w:lineRule="exact"/>
              <w:rPr>
                <w:sz w:val="20"/>
                <w:szCs w:val="20"/>
                <w:color w:val="auto"/>
              </w:rPr>
            </w:pPr>
            <w:r>
              <w:rPr>
                <w:rFonts w:ascii="Arial" w:cs="Arial" w:eastAsia="Arial" w:hAnsi="Arial"/>
                <w:sz w:val="16"/>
                <w:szCs w:val="16"/>
                <w:b w:val="1"/>
                <w:bCs w:val="1"/>
                <w:color w:val="auto"/>
                <w:w w:val="97"/>
              </w:rPr>
              <w:t>Have Not Vested</w:t>
            </w:r>
            <w:r>
              <w:rPr>
                <w:rFonts w:ascii="Arial" w:cs="Arial" w:eastAsia="Arial" w:hAnsi="Arial"/>
                <w:sz w:val="21"/>
                <w:szCs w:val="21"/>
                <w:b w:val="1"/>
                <w:bCs w:val="1"/>
                <w:color w:val="auto"/>
                <w:w w:val="97"/>
                <w:vertAlign w:val="superscript"/>
              </w:rPr>
              <w:t>(4)</w:t>
            </w:r>
          </w:p>
        </w:tc>
        <w:tc>
          <w:tcPr>
            <w:tcW w:w="1940" w:type="dxa"/>
            <w:vAlign w:val="bottom"/>
          </w:tcPr>
          <w:p>
            <w:pPr>
              <w:jc w:val="center"/>
              <w:ind w:left="39"/>
              <w:spacing w:after="0" w:line="189" w:lineRule="exact"/>
              <w:rPr>
                <w:sz w:val="20"/>
                <w:szCs w:val="20"/>
                <w:color w:val="auto"/>
              </w:rPr>
            </w:pPr>
            <w:r>
              <w:rPr>
                <w:rFonts w:ascii="Arial" w:cs="Arial" w:eastAsia="Arial" w:hAnsi="Arial"/>
                <w:sz w:val="16"/>
                <w:szCs w:val="16"/>
                <w:b w:val="1"/>
                <w:bCs w:val="1"/>
                <w:color w:val="auto"/>
                <w:w w:val="94"/>
              </w:rPr>
              <w:t>Vested</w:t>
            </w:r>
            <w:r>
              <w:rPr>
                <w:rFonts w:ascii="Arial" w:cs="Arial" w:eastAsia="Arial" w:hAnsi="Arial"/>
                <w:sz w:val="21"/>
                <w:szCs w:val="21"/>
                <w:b w:val="1"/>
                <w:bCs w:val="1"/>
                <w:color w:val="auto"/>
                <w:w w:val="94"/>
                <w:vertAlign w:val="superscript"/>
              </w:rPr>
              <w:t>(5)</w:t>
            </w:r>
          </w:p>
        </w:tc>
      </w:tr>
      <w:tr>
        <w:trPr>
          <w:trHeight w:val="228"/>
        </w:trPr>
        <w:tc>
          <w:tcPr>
            <w:tcW w:w="234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140" w:type="dxa"/>
            <w:vAlign w:val="bottom"/>
            <w:gridSpan w:val="3"/>
          </w:tcPr>
          <w:p>
            <w:pPr>
              <w:jc w:val="center"/>
              <w:spacing w:after="0"/>
              <w:rPr>
                <w:sz w:val="20"/>
                <w:szCs w:val="20"/>
                <w:color w:val="auto"/>
              </w:rPr>
            </w:pPr>
            <w:r>
              <w:rPr>
                <w:rFonts w:ascii="Arial" w:cs="Arial" w:eastAsia="Arial" w:hAnsi="Arial"/>
                <w:sz w:val="16"/>
                <w:szCs w:val="16"/>
                <w:b w:val="1"/>
                <w:bCs w:val="1"/>
                <w:color w:val="auto"/>
              </w:rPr>
              <w:t>Exercisable Options (#)</w:t>
            </w:r>
          </w:p>
        </w:tc>
        <w:tc>
          <w:tcPr>
            <w:tcW w:w="1280" w:type="dxa"/>
            <w:vAlign w:val="bottom"/>
          </w:tcPr>
          <w:p>
            <w:pPr>
              <w:jc w:val="center"/>
              <w:ind w:left="79"/>
              <w:spacing w:after="0"/>
              <w:rPr>
                <w:sz w:val="20"/>
                <w:szCs w:val="20"/>
                <w:color w:val="auto"/>
              </w:rPr>
            </w:pPr>
            <w:r>
              <w:rPr>
                <w:rFonts w:ascii="Arial" w:cs="Arial" w:eastAsia="Arial" w:hAnsi="Arial"/>
                <w:sz w:val="16"/>
                <w:szCs w:val="16"/>
                <w:b w:val="1"/>
                <w:bCs w:val="1"/>
                <w:color w:val="auto"/>
              </w:rPr>
              <w:t>($)</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Date</w:t>
            </w:r>
          </w:p>
        </w:tc>
        <w:tc>
          <w:tcPr>
            <w:tcW w:w="196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center"/>
              <w:ind w:left="59"/>
              <w:spacing w:after="0"/>
              <w:rPr>
                <w:sz w:val="20"/>
                <w:szCs w:val="20"/>
                <w:color w:val="auto"/>
              </w:rPr>
            </w:pPr>
            <w:r>
              <w:rPr>
                <w:rFonts w:ascii="Arial" w:cs="Arial" w:eastAsia="Arial" w:hAnsi="Arial"/>
                <w:sz w:val="16"/>
                <w:szCs w:val="16"/>
                <w:b w:val="1"/>
                <w:bCs w:val="1"/>
                <w:color w:val="auto"/>
              </w:rPr>
              <w:t>($)</w:t>
            </w:r>
          </w:p>
        </w:tc>
      </w:tr>
      <w:tr>
        <w:trPr>
          <w:trHeight w:val="251"/>
        </w:trPr>
        <w:tc>
          <w:tcPr>
            <w:tcW w:w="2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800" w:type="dxa"/>
            <w:vAlign w:val="bottom"/>
            <w:tcBorders>
              <w:top w:val="single" w:sz="8" w:color="auto"/>
            </w:tcBorders>
            <w:gridSpan w:val="2"/>
            <w:shd w:val="clear" w:color="auto" w:fill="CCEEFF"/>
          </w:tcPr>
          <w:p>
            <w:pPr>
              <w:jc w:val="center"/>
              <w:ind w:left="259"/>
              <w:spacing w:after="0"/>
              <w:rPr>
                <w:sz w:val="20"/>
                <w:szCs w:val="20"/>
                <w:color w:val="auto"/>
              </w:rPr>
            </w:pPr>
            <w:r>
              <w:rPr>
                <w:rFonts w:ascii="Arial" w:cs="Arial" w:eastAsia="Arial" w:hAnsi="Arial"/>
                <w:sz w:val="16"/>
                <w:szCs w:val="16"/>
                <w:color w:val="auto"/>
              </w:rPr>
              <w:t>8,746</w:t>
            </w:r>
          </w:p>
        </w:tc>
        <w:tc>
          <w:tcPr>
            <w:tcW w:w="3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18.25</w:t>
            </w:r>
          </w:p>
        </w:tc>
        <w:tc>
          <w:tcPr>
            <w:tcW w:w="164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10/08/12</w:t>
            </w:r>
          </w:p>
        </w:tc>
        <w:tc>
          <w:tcPr>
            <w:tcW w:w="12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r>
      <w:tr>
        <w:trPr>
          <w:trHeight w:val="270"/>
        </w:trPr>
        <w:tc>
          <w:tcPr>
            <w:tcW w:w="2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15,000</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26.50</w:t>
            </w:r>
          </w:p>
        </w:tc>
        <w:tc>
          <w:tcPr>
            <w:tcW w:w="1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10/15/13</w:t>
            </w: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70"/>
        </w:trPr>
        <w:tc>
          <w:tcPr>
            <w:tcW w:w="2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31.48</w:t>
            </w:r>
          </w:p>
        </w:tc>
        <w:tc>
          <w:tcPr>
            <w:tcW w:w="1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10/13/14</w:t>
            </w: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83"/>
        </w:trPr>
        <w:tc>
          <w:tcPr>
            <w:tcW w:w="2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rPr>
              <w:t>26.93</w:t>
            </w:r>
          </w:p>
        </w:tc>
        <w:tc>
          <w:tcPr>
            <w:tcW w:w="164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10/12/15</w:t>
            </w:r>
          </w:p>
        </w:tc>
        <w:tc>
          <w:tcPr>
            <w:tcW w:w="1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r>
      <w:tr>
        <w:trPr>
          <w:trHeight w:val="240"/>
        </w:trPr>
        <w:tc>
          <w:tcPr>
            <w:tcW w:w="2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48,746</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8"/>
              </w:rPr>
              <w:t>25,000</w:t>
            </w:r>
          </w:p>
        </w:tc>
        <w:tc>
          <w:tcPr>
            <w:tcW w:w="19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178,500</w:t>
            </w:r>
          </w:p>
        </w:tc>
      </w:tr>
      <w:tr>
        <w:trPr>
          <w:trHeight w:val="20"/>
        </w:trPr>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77"/>
        </w:trPr>
        <w:tc>
          <w:tcPr>
            <w:tcW w:w="234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4,000</w:t>
            </w:r>
          </w:p>
        </w:tc>
        <w:tc>
          <w:tcPr>
            <w:tcW w:w="34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26.50</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10/15/13</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2340" w:type="dxa"/>
            <w:vAlign w:val="bottom"/>
          </w:tcPr>
          <w:p>
            <w:pPr>
              <w:spacing w:after="0"/>
              <w:rPr>
                <w:sz w:val="23"/>
                <w:szCs w:val="23"/>
                <w:color w:val="auto"/>
              </w:rPr>
            </w:pP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4,500</w:t>
            </w:r>
          </w:p>
        </w:tc>
        <w:tc>
          <w:tcPr>
            <w:tcW w:w="340" w:type="dxa"/>
            <w:vAlign w:val="bottom"/>
          </w:tcPr>
          <w:p>
            <w:pPr>
              <w:spacing w:after="0"/>
              <w:rPr>
                <w:sz w:val="23"/>
                <w:szCs w:val="23"/>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31.48</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10/13/14</w:t>
            </w: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83"/>
        </w:trPr>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4,000</w:t>
            </w:r>
          </w:p>
        </w:tc>
        <w:tc>
          <w:tcPr>
            <w:tcW w:w="34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26.93</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10/12/15</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80"/>
        </w:trPr>
        <w:tc>
          <w:tcPr>
            <w:tcW w:w="23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jc w:val="center"/>
              <w:ind w:right="79"/>
              <w:spacing w:after="0"/>
              <w:rPr>
                <w:sz w:val="20"/>
                <w:szCs w:val="20"/>
                <w:color w:val="auto"/>
              </w:rPr>
            </w:pPr>
            <w:r>
              <w:rPr>
                <w:rFonts w:ascii="Arial" w:cs="Arial" w:eastAsia="Arial" w:hAnsi="Arial"/>
                <w:sz w:val="16"/>
                <w:szCs w:val="16"/>
                <w:color w:val="auto"/>
                <w:w w:val="98"/>
              </w:rPr>
              <w:t>13,000</w:t>
            </w:r>
          </w:p>
        </w:tc>
        <w:tc>
          <w:tcPr>
            <w:tcW w:w="194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rPr>
              <w:t>92,820</w:t>
            </w:r>
          </w:p>
        </w:tc>
      </w:tr>
      <w:tr>
        <w:trPr>
          <w:trHeight w:val="369"/>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Raymond M. Beebe</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15,000</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26.50</w:t>
            </w:r>
          </w:p>
        </w:tc>
        <w:tc>
          <w:tcPr>
            <w:tcW w:w="1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10/15/13</w:t>
            </w: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70"/>
        </w:trPr>
        <w:tc>
          <w:tcPr>
            <w:tcW w:w="2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31.48</w:t>
            </w:r>
          </w:p>
        </w:tc>
        <w:tc>
          <w:tcPr>
            <w:tcW w:w="1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10/13/14</w:t>
            </w: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83"/>
        </w:trPr>
        <w:tc>
          <w:tcPr>
            <w:tcW w:w="2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rPr>
              <w:t>26.93</w:t>
            </w:r>
          </w:p>
        </w:tc>
        <w:tc>
          <w:tcPr>
            <w:tcW w:w="164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10/12/15</w:t>
            </w:r>
          </w:p>
        </w:tc>
        <w:tc>
          <w:tcPr>
            <w:tcW w:w="1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r>
      <w:tr>
        <w:trPr>
          <w:trHeight w:val="240"/>
        </w:trPr>
        <w:tc>
          <w:tcPr>
            <w:tcW w:w="2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9"/>
              </w:rPr>
              <w:t>7,500</w:t>
            </w:r>
          </w:p>
        </w:tc>
        <w:tc>
          <w:tcPr>
            <w:tcW w:w="19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53,550</w:t>
            </w:r>
          </w:p>
        </w:tc>
      </w:tr>
      <w:tr>
        <w:trPr>
          <w:trHeight w:val="20"/>
        </w:trPr>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77"/>
        </w:trPr>
        <w:tc>
          <w:tcPr>
            <w:tcW w:w="2340" w:type="dxa"/>
            <w:vAlign w:val="bottom"/>
          </w:tcPr>
          <w:p>
            <w:pPr>
              <w:ind w:left="40"/>
              <w:spacing w:after="0"/>
              <w:rPr>
                <w:sz w:val="20"/>
                <w:szCs w:val="20"/>
                <w:color w:val="auto"/>
              </w:rPr>
            </w:pPr>
            <w:r>
              <w:rPr>
                <w:rFonts w:ascii="Arial" w:cs="Arial" w:eastAsia="Arial" w:hAnsi="Arial"/>
                <w:sz w:val="16"/>
                <w:szCs w:val="16"/>
                <w:color w:val="auto"/>
              </w:rPr>
              <w:t>Roger W. Martin</w:t>
            </w: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15,000</w:t>
            </w:r>
          </w:p>
        </w:tc>
        <w:tc>
          <w:tcPr>
            <w:tcW w:w="34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26.50</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10/15/13</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2340" w:type="dxa"/>
            <w:vAlign w:val="bottom"/>
          </w:tcPr>
          <w:p>
            <w:pPr>
              <w:spacing w:after="0"/>
              <w:rPr>
                <w:sz w:val="23"/>
                <w:szCs w:val="23"/>
                <w:color w:val="auto"/>
              </w:rPr>
            </w:pP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12,500</w:t>
            </w:r>
          </w:p>
        </w:tc>
        <w:tc>
          <w:tcPr>
            <w:tcW w:w="340" w:type="dxa"/>
            <w:vAlign w:val="bottom"/>
          </w:tcPr>
          <w:p>
            <w:pPr>
              <w:spacing w:after="0"/>
              <w:rPr>
                <w:sz w:val="23"/>
                <w:szCs w:val="23"/>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31.48</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10/13/14</w:t>
            </w: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83"/>
        </w:trPr>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26.93</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10/12/15</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80"/>
        </w:trPr>
        <w:tc>
          <w:tcPr>
            <w:tcW w:w="23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jc w:val="center"/>
              <w:ind w:right="79"/>
              <w:spacing w:after="0"/>
              <w:rPr>
                <w:sz w:val="20"/>
                <w:szCs w:val="20"/>
                <w:color w:val="auto"/>
              </w:rPr>
            </w:pPr>
            <w:r>
              <w:rPr>
                <w:rFonts w:ascii="Arial" w:cs="Arial" w:eastAsia="Arial" w:hAnsi="Arial"/>
                <w:sz w:val="16"/>
                <w:szCs w:val="16"/>
                <w:color w:val="auto"/>
                <w:w w:val="99"/>
              </w:rPr>
              <w:t>7,500</w:t>
            </w:r>
          </w:p>
        </w:tc>
        <w:tc>
          <w:tcPr>
            <w:tcW w:w="194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rPr>
              <w:t>53,550</w:t>
            </w:r>
          </w:p>
        </w:tc>
      </w:tr>
      <w:tr>
        <w:trPr>
          <w:trHeight w:val="477"/>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32.35</w:t>
            </w:r>
          </w:p>
        </w:tc>
        <w:tc>
          <w:tcPr>
            <w:tcW w:w="16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11/14/15</w:t>
            </w: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90"/>
        </w:trPr>
        <w:tc>
          <w:tcPr>
            <w:tcW w:w="2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6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9"/>
              </w:rPr>
              <w:t>7,500</w:t>
            </w:r>
          </w:p>
        </w:tc>
        <w:tc>
          <w:tcPr>
            <w:tcW w:w="19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53,550</w:t>
            </w:r>
          </w:p>
        </w:tc>
      </w:tr>
      <w:tr>
        <w:trPr>
          <w:trHeight w:val="372"/>
        </w:trPr>
        <w:tc>
          <w:tcPr>
            <w:tcW w:w="234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15,000</w:t>
            </w:r>
          </w:p>
        </w:tc>
        <w:tc>
          <w:tcPr>
            <w:tcW w:w="34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26.50</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10/15/13</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2340" w:type="dxa"/>
            <w:vAlign w:val="bottom"/>
          </w:tcPr>
          <w:p>
            <w:pPr>
              <w:spacing w:after="0"/>
              <w:rPr>
                <w:sz w:val="23"/>
                <w:szCs w:val="23"/>
                <w:color w:val="auto"/>
              </w:rPr>
            </w:pP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12,500</w:t>
            </w:r>
          </w:p>
        </w:tc>
        <w:tc>
          <w:tcPr>
            <w:tcW w:w="340" w:type="dxa"/>
            <w:vAlign w:val="bottom"/>
          </w:tcPr>
          <w:p>
            <w:pPr>
              <w:spacing w:after="0"/>
              <w:rPr>
                <w:sz w:val="23"/>
                <w:szCs w:val="23"/>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31.48</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10/13/14</w:t>
            </w: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83"/>
        </w:trPr>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12,500</w:t>
            </w:r>
          </w:p>
        </w:tc>
        <w:tc>
          <w:tcPr>
            <w:tcW w:w="34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26.93</w:t>
            </w:r>
          </w:p>
        </w:tc>
        <w:tc>
          <w:tcPr>
            <w:tcW w:w="1640" w:type="dxa"/>
            <w:vAlign w:val="bottom"/>
          </w:tcPr>
          <w:p>
            <w:pPr>
              <w:jc w:val="center"/>
              <w:ind w:left="99"/>
              <w:spacing w:after="0"/>
              <w:rPr>
                <w:sz w:val="20"/>
                <w:szCs w:val="20"/>
                <w:color w:val="auto"/>
              </w:rPr>
            </w:pPr>
            <w:r>
              <w:rPr>
                <w:rFonts w:ascii="Arial" w:cs="Arial" w:eastAsia="Arial" w:hAnsi="Arial"/>
                <w:sz w:val="16"/>
                <w:szCs w:val="16"/>
                <w:color w:val="auto"/>
                <w:w w:val="99"/>
              </w:rPr>
              <w:t>10/12/15</w:t>
            </w:r>
          </w:p>
        </w:tc>
        <w:tc>
          <w:tcPr>
            <w:tcW w:w="120" w:type="dxa"/>
            <w:vAlign w:val="bottom"/>
          </w:tcPr>
          <w:p>
            <w:pPr>
              <w:spacing w:after="0"/>
              <w:rPr>
                <w:sz w:val="24"/>
                <w:szCs w:val="24"/>
                <w:color w:val="auto"/>
              </w:rPr>
            </w:pPr>
          </w:p>
        </w:tc>
        <w:tc>
          <w:tcPr>
            <w:tcW w:w="1960" w:type="dxa"/>
            <w:vAlign w:val="bottom"/>
          </w:tcPr>
          <w:p>
            <w:pPr>
              <w:jc w:val="center"/>
              <w:ind w:right="79"/>
              <w:spacing w:after="0"/>
              <w:rPr>
                <w:sz w:val="20"/>
                <w:szCs w:val="20"/>
                <w:color w:val="auto"/>
              </w:rPr>
            </w:pPr>
            <w:r>
              <w:rPr>
                <w:rFonts w:ascii="Arial" w:cs="Arial" w:eastAsia="Arial" w:hAnsi="Arial"/>
                <w:sz w:val="16"/>
                <w:szCs w:val="16"/>
                <w:color w:val="auto"/>
                <w:w w:val="99"/>
              </w:rPr>
              <w:t>7,500</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rPr>
              <w:t>53,550</w:t>
            </w:r>
          </w:p>
        </w:tc>
      </w:tr>
      <w:tr>
        <w:trPr>
          <w:trHeight w:val="224"/>
        </w:trPr>
        <w:tc>
          <w:tcPr>
            <w:tcW w:w="2340" w:type="dxa"/>
            <w:vAlign w:val="bottom"/>
          </w:tcPr>
          <w:p>
            <w:pPr>
              <w:spacing w:after="0"/>
              <w:rPr>
                <w:sz w:val="19"/>
                <w:szCs w:val="19"/>
                <w:color w:val="auto"/>
              </w:rPr>
            </w:pPr>
          </w:p>
        </w:tc>
        <w:tc>
          <w:tcPr>
            <w:tcW w:w="1800" w:type="dxa"/>
            <w:vAlign w:val="bottom"/>
            <w:gridSpan w:val="2"/>
          </w:tcPr>
          <w:p>
            <w:pPr>
              <w:jc w:val="center"/>
              <w:ind w:left="259"/>
              <w:spacing w:after="0"/>
              <w:rPr>
                <w:sz w:val="20"/>
                <w:szCs w:val="20"/>
                <w:color w:val="auto"/>
              </w:rPr>
            </w:pPr>
            <w:r>
              <w:rPr>
                <w:rFonts w:ascii="Arial" w:cs="Arial" w:eastAsia="Arial" w:hAnsi="Arial"/>
                <w:sz w:val="16"/>
                <w:szCs w:val="16"/>
                <w:color w:val="auto"/>
              </w:rPr>
              <w:t>40,000</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12700</wp:posOffset>
            </wp:positionV>
            <wp:extent cx="926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29845</wp:posOffset>
            </wp:positionV>
            <wp:extent cx="926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5" w:lineRule="exact"/>
        <w:rPr>
          <w:sz w:val="20"/>
          <w:szCs w:val="20"/>
          <w:color w:val="auto"/>
        </w:rPr>
      </w:pPr>
    </w:p>
    <w:p>
      <w:pPr>
        <w:ind w:left="340" w:right="300" w:hanging="332"/>
        <w:spacing w:after="0" w:line="241"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Represents Company stock options awarded to Named Executive Officers prior to Fiscal 2007 under the 2004 Plan and the 1997 Plan. No stock options were awarded to Named Executive Officers in Fiscal 2011.</w:t>
      </w: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Unvested restricted stock awarded to Named Executive Officers in Fiscal 2011 pursuant to the 2004 Plan.</w:t>
      </w:r>
    </w:p>
    <w:p>
      <w:pPr>
        <w:spacing w:after="0" w:line="1" w:lineRule="exact"/>
        <w:rPr>
          <w:rFonts w:ascii="Arial" w:cs="Arial" w:eastAsia="Arial" w:hAnsi="Arial"/>
          <w:sz w:val="13"/>
          <w:szCs w:val="13"/>
          <w:color w:val="auto"/>
        </w:rPr>
      </w:pPr>
    </w:p>
    <w:p>
      <w:pPr>
        <w:ind w:left="340" w:right="200" w:hanging="332"/>
        <w:spacing w:after="0" w:line="241"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All stock options were granted under the 2004 Plan and the 1997 Plan with the exercise price equal to the mean of the highest and lowest price of the Company's Common Stock, as quoted on the NYSE, on the date of the grant.</w:t>
      </w:r>
    </w:p>
    <w:p>
      <w:pPr>
        <w:ind w:left="340" w:right="60" w:hanging="332"/>
        <w:spacing w:after="0" w:line="25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Shares of restricted stock generally vest in one-third increments beginning one year from the March 23, 2011 date of grant. A discussion of the vesting of awards provided for under various termination situations is set forth in the section “Potential Payments upon Termination or Change</w:t>
      </w:r>
    </w:p>
    <w:p>
      <w:pPr>
        <w:sectPr>
          <w:pgSz w:w="11900" w:h="16838" w:orient="portrait"/>
          <w:cols w:equalWidth="0" w:num="1">
            <w:col w:w="11420"/>
          </w:cols>
          <w:pgMar w:left="240" w:top="14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of Control” below.</w:t>
      </w:r>
    </w:p>
    <w:p>
      <w:pPr>
        <w:spacing w:after="0" w:line="55" w:lineRule="exact"/>
        <w:rPr>
          <w:sz w:val="20"/>
          <w:szCs w:val="20"/>
          <w:color w:val="auto"/>
        </w:rPr>
      </w:pPr>
    </w:p>
    <w:p>
      <w:pPr>
        <w:ind w:left="340" w:right="420" w:hanging="332"/>
        <w:spacing w:after="0" w:line="258"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that have not vested by the closing price of the Company's Common Stock ($7.14) as quoted on the NYSE on August 26, 2011, the last trading day of Fiscal 2011.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EXERCISES AND STOCK VESTED TABLE</w:t>
      </w:r>
    </w:p>
    <w:p>
      <w:pPr>
        <w:spacing w:after="0" w:line="11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provides the amounts received upon the exercise of options or similar instruments or the vesting of stock or similar instruments during the most recent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1"/>
                <w:szCs w:val="21"/>
                <w:color w:val="auto"/>
              </w:rPr>
            </w:pPr>
          </w:p>
        </w:tc>
        <w:tc>
          <w:tcPr>
            <w:tcW w:w="354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340" w:type="dxa"/>
            <w:vAlign w:val="bottom"/>
          </w:tcPr>
          <w:p>
            <w:pPr>
              <w:spacing w:after="0"/>
              <w:rPr>
                <w:sz w:val="21"/>
                <w:szCs w:val="21"/>
                <w:color w:val="auto"/>
              </w:rPr>
            </w:pPr>
          </w:p>
        </w:tc>
        <w:tc>
          <w:tcPr>
            <w:tcW w:w="3640" w:type="dxa"/>
            <w:vAlign w:val="bottom"/>
            <w:tcBorders>
              <w:bottom w:val="single" w:sz="8" w:color="auto"/>
            </w:tcBorders>
            <w:gridSpan w:val="2"/>
          </w:tcPr>
          <w:p>
            <w:pPr>
              <w:ind w:left="1280"/>
              <w:spacing w:after="0"/>
              <w:rPr>
                <w:sz w:val="20"/>
                <w:szCs w:val="20"/>
                <w:color w:val="auto"/>
              </w:rPr>
            </w:pPr>
            <w:r>
              <w:rPr>
                <w:rFonts w:ascii="Arial" w:cs="Arial" w:eastAsia="Arial" w:hAnsi="Arial"/>
                <w:sz w:val="16"/>
                <w:szCs w:val="16"/>
                <w:b w:val="1"/>
                <w:bCs w:val="1"/>
                <w:color w:val="auto"/>
              </w:rPr>
              <w:t>Stock Awards</w:t>
            </w:r>
          </w:p>
        </w:tc>
      </w:tr>
      <w:tr>
        <w:trPr>
          <w:trHeight w:val="191"/>
        </w:trPr>
        <w:tc>
          <w:tcPr>
            <w:tcW w:w="3900" w:type="dxa"/>
            <w:vAlign w:val="bottom"/>
          </w:tcPr>
          <w:p>
            <w:pPr>
              <w:spacing w:after="0"/>
              <w:rPr>
                <w:sz w:val="16"/>
                <w:szCs w:val="16"/>
                <w:color w:val="auto"/>
              </w:rPr>
            </w:pP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rPr>
              <w:t>Number of Shares</w:t>
            </w:r>
          </w:p>
        </w:tc>
        <w:tc>
          <w:tcPr>
            <w:tcW w:w="1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Value Realized on</w:t>
            </w: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auto"/>
              </w:rPr>
              <w:t>Number of Shares</w:t>
            </w:r>
          </w:p>
        </w:tc>
        <w:tc>
          <w:tcPr>
            <w:tcW w:w="1680" w:type="dxa"/>
            <w:vAlign w:val="bottom"/>
          </w:tcPr>
          <w:p>
            <w:pPr>
              <w:jc w:val="center"/>
              <w:ind w:left="119"/>
              <w:spacing w:after="0"/>
              <w:rPr>
                <w:sz w:val="20"/>
                <w:szCs w:val="20"/>
                <w:color w:val="auto"/>
              </w:rPr>
            </w:pPr>
            <w:r>
              <w:rPr>
                <w:rFonts w:ascii="Arial" w:cs="Arial" w:eastAsia="Arial" w:hAnsi="Arial"/>
                <w:sz w:val="16"/>
                <w:szCs w:val="16"/>
                <w:b w:val="1"/>
                <w:bCs w:val="1"/>
                <w:color w:val="auto"/>
                <w:w w:val="99"/>
              </w:rPr>
              <w:t>Value Realized on</w:t>
            </w:r>
          </w:p>
        </w:tc>
      </w:tr>
      <w:tr>
        <w:trPr>
          <w:trHeight w:val="189"/>
        </w:trPr>
        <w:tc>
          <w:tcPr>
            <w:tcW w:w="3900" w:type="dxa"/>
            <w:vAlign w:val="bottom"/>
          </w:tcPr>
          <w:p>
            <w:pPr>
              <w:spacing w:after="0"/>
              <w:rPr>
                <w:sz w:val="16"/>
                <w:szCs w:val="16"/>
                <w:color w:val="auto"/>
              </w:rPr>
            </w:pPr>
          </w:p>
        </w:tc>
        <w:tc>
          <w:tcPr>
            <w:tcW w:w="1900" w:type="dxa"/>
            <w:vAlign w:val="bottom"/>
          </w:tcPr>
          <w:p>
            <w:pPr>
              <w:jc w:val="center"/>
              <w:ind w:right="119"/>
              <w:spacing w:after="0"/>
              <w:rPr>
                <w:sz w:val="20"/>
                <w:szCs w:val="20"/>
                <w:color w:val="auto"/>
              </w:rPr>
            </w:pPr>
            <w:r>
              <w:rPr>
                <w:rFonts w:ascii="Arial" w:cs="Arial" w:eastAsia="Arial" w:hAnsi="Arial"/>
                <w:sz w:val="16"/>
                <w:szCs w:val="16"/>
                <w:b w:val="1"/>
                <w:bCs w:val="1"/>
                <w:color w:val="auto"/>
              </w:rPr>
              <w:t>Acquired on Exercise</w:t>
            </w:r>
          </w:p>
        </w:tc>
        <w:tc>
          <w:tcPr>
            <w:tcW w:w="1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Exercise</w:t>
            </w: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auto"/>
              </w:rPr>
              <w:t>Acquired on Vesting</w:t>
            </w:r>
          </w:p>
        </w:tc>
        <w:tc>
          <w:tcPr>
            <w:tcW w:w="1680" w:type="dxa"/>
            <w:vAlign w:val="bottom"/>
          </w:tcPr>
          <w:p>
            <w:pPr>
              <w:jc w:val="center"/>
              <w:ind w:left="139"/>
              <w:spacing w:after="0"/>
              <w:rPr>
                <w:sz w:val="20"/>
                <w:szCs w:val="20"/>
                <w:color w:val="auto"/>
              </w:rPr>
            </w:pPr>
            <w:r>
              <w:rPr>
                <w:rFonts w:ascii="Arial" w:cs="Arial" w:eastAsia="Arial" w:hAnsi="Arial"/>
                <w:sz w:val="16"/>
                <w:szCs w:val="16"/>
                <w:b w:val="1"/>
                <w:bCs w:val="1"/>
                <w:color w:val="auto"/>
              </w:rPr>
              <w:t>Vesting</w:t>
            </w:r>
          </w:p>
        </w:tc>
      </w:tr>
      <w:tr>
        <w:trPr>
          <w:trHeight w:val="23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tcPr>
          <w:p>
            <w:pPr>
              <w:jc w:val="center"/>
              <w:ind w:left="139"/>
              <w:spacing w:after="0" w:line="234" w:lineRule="exact"/>
              <w:rPr>
                <w:sz w:val="20"/>
                <w:szCs w:val="20"/>
                <w:color w:val="auto"/>
              </w:rPr>
            </w:pPr>
            <w:r>
              <w:rPr>
                <w:rFonts w:ascii="Arial" w:cs="Arial" w:eastAsia="Arial" w:hAnsi="Arial"/>
                <w:sz w:val="16"/>
                <w:szCs w:val="16"/>
                <w:b w:val="1"/>
                <w:bCs w:val="1"/>
                <w:color w:val="auto"/>
                <w:w w:val="92"/>
              </w:rPr>
              <w:t xml:space="preserve">($) </w:t>
            </w:r>
            <w:r>
              <w:rPr>
                <w:rFonts w:ascii="Arial" w:cs="Arial" w:eastAsia="Arial" w:hAnsi="Arial"/>
                <w:sz w:val="21"/>
                <w:szCs w:val="21"/>
                <w:b w:val="1"/>
                <w:bCs w:val="1"/>
                <w:color w:val="auto"/>
                <w:w w:val="92"/>
                <w:vertAlign w:val="superscript"/>
              </w:rPr>
              <w:t>(2)</w:t>
            </w:r>
          </w:p>
        </w:tc>
      </w:tr>
      <w:tr>
        <w:trPr>
          <w:trHeight w:val="23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9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9"/>
              </w:rPr>
              <w:t>—</w:t>
            </w:r>
          </w:p>
        </w:tc>
        <w:tc>
          <w:tcPr>
            <w:tcW w:w="1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19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9"/>
              </w:rPr>
              <w:t>3,334</w:t>
            </w:r>
          </w:p>
        </w:tc>
        <w:tc>
          <w:tcPr>
            <w:tcW w:w="168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35,841</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Randy J. Potts</w:t>
            </w:r>
          </w:p>
        </w:tc>
        <w:tc>
          <w:tcPr>
            <w:tcW w:w="1900" w:type="dxa"/>
            <w:vAlign w:val="bottom"/>
          </w:tcPr>
          <w:p>
            <w:pPr>
              <w:jc w:val="center"/>
              <w:ind w:right="99"/>
              <w:spacing w:after="0"/>
              <w:rPr>
                <w:sz w:val="20"/>
                <w:szCs w:val="20"/>
                <w:color w:val="auto"/>
              </w:rPr>
            </w:pPr>
            <w:r>
              <w:rPr>
                <w:rFonts w:ascii="Arial" w:cs="Arial" w:eastAsia="Arial" w:hAnsi="Arial"/>
                <w:sz w:val="16"/>
                <w:szCs w:val="16"/>
                <w:color w:val="auto"/>
                <w:w w:val="99"/>
              </w:rPr>
              <w:t>—</w:t>
            </w: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1960" w:type="dxa"/>
            <w:vAlign w:val="bottom"/>
          </w:tcPr>
          <w:p>
            <w:pPr>
              <w:jc w:val="center"/>
              <w:ind w:right="39"/>
              <w:spacing w:after="0"/>
              <w:rPr>
                <w:sz w:val="20"/>
                <w:szCs w:val="20"/>
                <w:color w:val="auto"/>
              </w:rPr>
            </w:pPr>
            <w:r>
              <w:rPr>
                <w:rFonts w:ascii="Arial" w:cs="Arial" w:eastAsia="Arial" w:hAnsi="Arial"/>
                <w:sz w:val="16"/>
                <w:szCs w:val="16"/>
                <w:color w:val="auto"/>
                <w:w w:val="99"/>
              </w:rPr>
              <w:t>1,834</w:t>
            </w:r>
          </w:p>
        </w:tc>
        <w:tc>
          <w:tcPr>
            <w:tcW w:w="1680" w:type="dxa"/>
            <w:vAlign w:val="bottom"/>
          </w:tcPr>
          <w:p>
            <w:pPr>
              <w:jc w:val="center"/>
              <w:ind w:left="139"/>
              <w:spacing w:after="0"/>
              <w:rPr>
                <w:sz w:val="20"/>
                <w:szCs w:val="20"/>
                <w:color w:val="auto"/>
              </w:rPr>
            </w:pPr>
            <w:r>
              <w:rPr>
                <w:rFonts w:ascii="Arial" w:cs="Arial" w:eastAsia="Arial" w:hAnsi="Arial"/>
                <w:sz w:val="16"/>
                <w:szCs w:val="16"/>
                <w:color w:val="auto"/>
              </w:rPr>
              <w:t>19,716</w:t>
            </w:r>
          </w:p>
        </w:tc>
      </w:tr>
      <w:tr>
        <w:trPr>
          <w:trHeight w:val="25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Raymond M. Beebe</w:t>
            </w:r>
          </w:p>
        </w:tc>
        <w:tc>
          <w:tcPr>
            <w:tcW w:w="19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9"/>
              </w:rPr>
              <w:t>—</w:t>
            </w:r>
          </w:p>
        </w:tc>
        <w:tc>
          <w:tcPr>
            <w:tcW w:w="1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19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9"/>
              </w:rPr>
              <w:t>1,834</w:t>
            </w:r>
          </w:p>
        </w:tc>
        <w:tc>
          <w:tcPr>
            <w:tcW w:w="168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19,716</w:t>
            </w:r>
          </w:p>
        </w:tc>
      </w:tr>
      <w:tr>
        <w:trPr>
          <w:trHeight w:val="233"/>
        </w:trPr>
        <w:tc>
          <w:tcPr>
            <w:tcW w:w="3900" w:type="dxa"/>
            <w:vAlign w:val="bottom"/>
          </w:tcPr>
          <w:p>
            <w:pPr>
              <w:ind w:left="40"/>
              <w:spacing w:after="0"/>
              <w:rPr>
                <w:sz w:val="20"/>
                <w:szCs w:val="20"/>
                <w:color w:val="auto"/>
              </w:rPr>
            </w:pPr>
            <w:r>
              <w:rPr>
                <w:rFonts w:ascii="Arial" w:cs="Arial" w:eastAsia="Arial" w:hAnsi="Arial"/>
                <w:sz w:val="16"/>
                <w:szCs w:val="16"/>
                <w:color w:val="auto"/>
              </w:rPr>
              <w:t>Roger W. Martin</w:t>
            </w:r>
          </w:p>
        </w:tc>
        <w:tc>
          <w:tcPr>
            <w:tcW w:w="1900" w:type="dxa"/>
            <w:vAlign w:val="bottom"/>
          </w:tcPr>
          <w:p>
            <w:pPr>
              <w:jc w:val="center"/>
              <w:ind w:right="99"/>
              <w:spacing w:after="0"/>
              <w:rPr>
                <w:sz w:val="20"/>
                <w:szCs w:val="20"/>
                <w:color w:val="auto"/>
              </w:rPr>
            </w:pPr>
            <w:r>
              <w:rPr>
                <w:rFonts w:ascii="Arial" w:cs="Arial" w:eastAsia="Arial" w:hAnsi="Arial"/>
                <w:sz w:val="16"/>
                <w:szCs w:val="16"/>
                <w:color w:val="auto"/>
                <w:w w:val="99"/>
              </w:rPr>
              <w:t>—</w:t>
            </w: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1960" w:type="dxa"/>
            <w:vAlign w:val="bottom"/>
          </w:tcPr>
          <w:p>
            <w:pPr>
              <w:jc w:val="center"/>
              <w:ind w:right="39"/>
              <w:spacing w:after="0"/>
              <w:rPr>
                <w:sz w:val="20"/>
                <w:szCs w:val="20"/>
                <w:color w:val="auto"/>
              </w:rPr>
            </w:pPr>
            <w:r>
              <w:rPr>
                <w:rFonts w:ascii="Arial" w:cs="Arial" w:eastAsia="Arial" w:hAnsi="Arial"/>
                <w:sz w:val="16"/>
                <w:szCs w:val="16"/>
                <w:color w:val="auto"/>
                <w:w w:val="99"/>
              </w:rPr>
              <w:t>1,834</w:t>
            </w:r>
          </w:p>
        </w:tc>
        <w:tc>
          <w:tcPr>
            <w:tcW w:w="1680" w:type="dxa"/>
            <w:vAlign w:val="bottom"/>
          </w:tcPr>
          <w:p>
            <w:pPr>
              <w:jc w:val="center"/>
              <w:ind w:left="139"/>
              <w:spacing w:after="0"/>
              <w:rPr>
                <w:sz w:val="20"/>
                <w:szCs w:val="20"/>
                <w:color w:val="auto"/>
              </w:rPr>
            </w:pPr>
            <w:r>
              <w:rPr>
                <w:rFonts w:ascii="Arial" w:cs="Arial" w:eastAsia="Arial" w:hAnsi="Arial"/>
                <w:sz w:val="16"/>
                <w:szCs w:val="16"/>
                <w:color w:val="auto"/>
              </w:rPr>
              <w:t>19,716</w:t>
            </w:r>
          </w:p>
        </w:tc>
      </w:tr>
      <w:tr>
        <w:trPr>
          <w:trHeight w:val="25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19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9"/>
              </w:rPr>
              <w:t>—</w:t>
            </w:r>
          </w:p>
        </w:tc>
        <w:tc>
          <w:tcPr>
            <w:tcW w:w="1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19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9"/>
              </w:rPr>
              <w:t>1,834</w:t>
            </w:r>
          </w:p>
        </w:tc>
        <w:tc>
          <w:tcPr>
            <w:tcW w:w="168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19,716</w:t>
            </w: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1900" w:type="dxa"/>
            <w:vAlign w:val="bottom"/>
          </w:tcPr>
          <w:p>
            <w:pPr>
              <w:jc w:val="center"/>
              <w:ind w:right="99"/>
              <w:spacing w:after="0"/>
              <w:rPr>
                <w:sz w:val="20"/>
                <w:szCs w:val="20"/>
                <w:color w:val="auto"/>
              </w:rPr>
            </w:pPr>
            <w:r>
              <w:rPr>
                <w:rFonts w:ascii="Arial" w:cs="Arial" w:eastAsia="Arial" w:hAnsi="Arial"/>
                <w:sz w:val="16"/>
                <w:szCs w:val="16"/>
                <w:color w:val="auto"/>
                <w:w w:val="99"/>
              </w:rPr>
              <w:t>—</w:t>
            </w:r>
          </w:p>
        </w:tc>
        <w:tc>
          <w:tcPr>
            <w:tcW w:w="19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1960" w:type="dxa"/>
            <w:vAlign w:val="bottom"/>
          </w:tcPr>
          <w:p>
            <w:pPr>
              <w:jc w:val="center"/>
              <w:ind w:right="39"/>
              <w:spacing w:after="0"/>
              <w:rPr>
                <w:sz w:val="20"/>
                <w:szCs w:val="20"/>
                <w:color w:val="auto"/>
              </w:rPr>
            </w:pPr>
            <w:r>
              <w:rPr>
                <w:rFonts w:ascii="Arial" w:cs="Arial" w:eastAsia="Arial" w:hAnsi="Arial"/>
                <w:sz w:val="16"/>
                <w:szCs w:val="16"/>
                <w:color w:val="auto"/>
                <w:w w:val="99"/>
              </w:rPr>
              <w:t>1,834</w:t>
            </w:r>
          </w:p>
        </w:tc>
        <w:tc>
          <w:tcPr>
            <w:tcW w:w="1680" w:type="dxa"/>
            <w:vAlign w:val="bottom"/>
          </w:tcPr>
          <w:p>
            <w:pPr>
              <w:jc w:val="center"/>
              <w:ind w:left="139"/>
              <w:spacing w:after="0"/>
              <w:rPr>
                <w:sz w:val="20"/>
                <w:szCs w:val="20"/>
                <w:color w:val="auto"/>
              </w:rPr>
            </w:pPr>
            <w:r>
              <w:rPr>
                <w:rFonts w:ascii="Arial" w:cs="Arial" w:eastAsia="Arial" w:hAnsi="Arial"/>
                <w:sz w:val="16"/>
                <w:szCs w:val="16"/>
                <w:color w:val="auto"/>
              </w:rPr>
              <w:t>19,716</w:t>
            </w:r>
          </w:p>
        </w:tc>
      </w:tr>
    </w:tbl>
    <w:p>
      <w:pPr>
        <w:spacing w:after="0" w:line="2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4"/>
          <w:szCs w:val="14"/>
          <w:color w:val="auto"/>
        </w:rPr>
        <w:t>None of the Named Executive Officers exercised stock options to purchase shares of the Company's Common Stock in Fiscal 2011.</w:t>
      </w:r>
    </w:p>
    <w:p>
      <w:pPr>
        <w:spacing w:after="0" w:line="1" w:lineRule="exact"/>
        <w:rPr>
          <w:rFonts w:ascii="Arial" w:cs="Arial" w:eastAsia="Arial" w:hAnsi="Arial"/>
          <w:sz w:val="13"/>
          <w:szCs w:val="13"/>
          <w:color w:val="auto"/>
        </w:rPr>
      </w:pPr>
    </w:p>
    <w:p>
      <w:pPr>
        <w:ind w:left="340" w:right="180" w:hanging="332"/>
        <w:spacing w:after="0" w:line="25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vested in Fiscal 2011 by the closing market price of $10.75 of the Company's Common Stock as quoted on the NYSE on October 11, 2010, the first business day after the vesting date (Sunday, October 10,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NON-QUALIFIED DEFERRED COMPENSATION TABLE</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discloses contributions, earnings and balances under non-qualified deferred compensation plans for each Named Executive Officer.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Executive</w:t>
            </w:r>
          </w:p>
        </w:tc>
        <w:tc>
          <w:tcPr>
            <w:tcW w:w="220" w:type="dxa"/>
            <w:vAlign w:val="bottom"/>
          </w:tcPr>
          <w:p>
            <w:pPr>
              <w:spacing w:after="0"/>
              <w:rPr>
                <w:sz w:val="16"/>
                <w:szCs w:val="16"/>
                <w:color w:val="auto"/>
              </w:rPr>
            </w:pPr>
          </w:p>
        </w:tc>
        <w:tc>
          <w:tcPr>
            <w:tcW w:w="1140" w:type="dxa"/>
            <w:vAlign w:val="bottom"/>
          </w:tcPr>
          <w:p>
            <w:pPr>
              <w:jc w:val="center"/>
              <w:ind w:right="101"/>
              <w:spacing w:after="0"/>
              <w:rPr>
                <w:sz w:val="20"/>
                <w:szCs w:val="20"/>
                <w:color w:val="auto"/>
              </w:rPr>
            </w:pPr>
            <w:r>
              <w:rPr>
                <w:rFonts w:ascii="Arial" w:cs="Arial" w:eastAsia="Arial" w:hAnsi="Arial"/>
                <w:sz w:val="16"/>
                <w:szCs w:val="16"/>
                <w:b w:val="1"/>
                <w:bCs w:val="1"/>
                <w:color w:val="auto"/>
              </w:rPr>
              <w:t>Aggregate</w:t>
            </w:r>
          </w:p>
        </w:tc>
        <w:tc>
          <w:tcPr>
            <w:tcW w:w="220" w:type="dxa"/>
            <w:vAlign w:val="bottom"/>
          </w:tcPr>
          <w:p>
            <w:pPr>
              <w:spacing w:after="0"/>
              <w:rPr>
                <w:sz w:val="16"/>
                <w:szCs w:val="16"/>
                <w:color w:val="auto"/>
              </w:rPr>
            </w:pPr>
          </w:p>
        </w:tc>
        <w:tc>
          <w:tcPr>
            <w:tcW w:w="1160" w:type="dxa"/>
            <w:vAlign w:val="bottom"/>
          </w:tcPr>
          <w:p>
            <w:pPr>
              <w:jc w:val="center"/>
              <w:ind w:right="121"/>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23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Contributions in</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in Last</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Balance at Last</w:t>
            </w:r>
          </w:p>
        </w:tc>
      </w:tr>
      <w:tr>
        <w:trPr>
          <w:trHeight w:val="23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502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Plan Name</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9"/>
              <w:spacing w:after="0" w:line="234" w:lineRule="exact"/>
              <w:rPr>
                <w:sz w:val="20"/>
                <w:szCs w:val="20"/>
                <w:color w:val="auto"/>
              </w:rPr>
            </w:pPr>
            <w:r>
              <w:rPr>
                <w:rFonts w:ascii="Arial" w:cs="Arial" w:eastAsia="Arial" w:hAnsi="Arial"/>
                <w:sz w:val="16"/>
                <w:szCs w:val="16"/>
                <w:b w:val="1"/>
                <w:bCs w:val="1"/>
                <w:color w:val="auto"/>
                <w:w w:val="93"/>
              </w:rPr>
              <w:t>Last FY</w:t>
            </w:r>
            <w:r>
              <w:rPr>
                <w:rFonts w:ascii="Arial" w:cs="Arial" w:eastAsia="Arial" w:hAnsi="Arial"/>
                <w:sz w:val="21"/>
                <w:szCs w:val="21"/>
                <w:b w:val="1"/>
                <w:bCs w:val="1"/>
                <w:color w:val="auto"/>
                <w:w w:val="93"/>
                <w:vertAlign w:val="superscript"/>
              </w:rPr>
              <w:t>(1)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1"/>
              <w:spacing w:after="0" w:line="235" w:lineRule="exact"/>
              <w:rPr>
                <w:sz w:val="20"/>
                <w:szCs w:val="20"/>
                <w:color w:val="auto"/>
              </w:rPr>
            </w:pPr>
            <w:r>
              <w:rPr>
                <w:rFonts w:ascii="Arial" w:cs="Arial" w:eastAsia="Arial" w:hAnsi="Arial"/>
                <w:sz w:val="27"/>
                <w:szCs w:val="27"/>
                <w:b w:val="1"/>
                <w:bCs w:val="1"/>
                <w:color w:val="auto"/>
                <w:w w:val="96"/>
                <w:vertAlign w:val="subscript"/>
              </w:rPr>
              <w:t>FY</w:t>
            </w:r>
            <w:r>
              <w:rPr>
                <w:rFonts w:ascii="Arial" w:cs="Arial" w:eastAsia="Arial" w:hAnsi="Arial"/>
                <w:sz w:val="10"/>
                <w:szCs w:val="10"/>
                <w:b w:val="1"/>
                <w:bCs w:val="1"/>
                <w:color w:val="auto"/>
                <w:w w:val="96"/>
              </w:rPr>
              <w:t>(2)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21"/>
              <w:spacing w:after="0" w:line="235" w:lineRule="exact"/>
              <w:rPr>
                <w:sz w:val="20"/>
                <w:szCs w:val="20"/>
                <w:color w:val="auto"/>
              </w:rPr>
            </w:pPr>
            <w:r>
              <w:rPr>
                <w:rFonts w:ascii="Arial" w:cs="Arial" w:eastAsia="Arial" w:hAnsi="Arial"/>
                <w:sz w:val="27"/>
                <w:szCs w:val="27"/>
                <w:b w:val="1"/>
                <w:bCs w:val="1"/>
                <w:color w:val="auto"/>
                <w:w w:val="93"/>
                <w:vertAlign w:val="subscript"/>
              </w:rPr>
              <w:t>FYE</w:t>
            </w:r>
            <w:r>
              <w:rPr>
                <w:rFonts w:ascii="Arial" w:cs="Arial" w:eastAsia="Arial" w:hAnsi="Arial"/>
                <w:sz w:val="10"/>
                <w:szCs w:val="10"/>
                <w:b w:val="1"/>
                <w:bCs w:val="1"/>
                <w:color w:val="auto"/>
                <w:w w:val="93"/>
              </w:rPr>
              <w:t>(3)</w:t>
            </w:r>
          </w:p>
        </w:tc>
      </w:tr>
      <w:tr>
        <w:trPr>
          <w:trHeight w:val="217"/>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 (1981)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52,141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921,152</w:t>
            </w:r>
          </w:p>
        </w:tc>
      </w:tr>
      <w:tr>
        <w:trPr>
          <w:trHeight w:val="243"/>
        </w:trPr>
        <w:tc>
          <w:tcPr>
            <w:tcW w:w="2300" w:type="dxa"/>
            <w:vAlign w:val="bottom"/>
            <w:shd w:val="clear" w:color="auto" w:fill="CCEEFF"/>
          </w:tcPr>
          <w:p>
            <w:pPr>
              <w:spacing w:after="0"/>
              <w:rPr>
                <w:sz w:val="21"/>
                <w:szCs w:val="21"/>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Executive Retirement Plan (SERP)</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7,850</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274,738</w:t>
            </w:r>
          </w:p>
        </w:tc>
      </w:tr>
      <w:tr>
        <w:trPr>
          <w:trHeight w:val="263"/>
        </w:trPr>
        <w:tc>
          <w:tcPr>
            <w:tcW w:w="2300" w:type="dxa"/>
            <w:vAlign w:val="bottom"/>
            <w:shd w:val="clear" w:color="auto" w:fill="CCEEFF"/>
          </w:tcPr>
          <w:p>
            <w:pPr>
              <w:spacing w:after="0"/>
              <w:rPr>
                <w:sz w:val="22"/>
                <w:szCs w:val="22"/>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Program</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110,860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980,814</w:t>
            </w:r>
          </w:p>
        </w:tc>
      </w:tr>
      <w:tr>
        <w:trPr>
          <w:trHeight w:val="243"/>
        </w:trPr>
        <w:tc>
          <w:tcPr>
            <w:tcW w:w="2300" w:type="dxa"/>
            <w:vAlign w:val="bottom"/>
          </w:tcPr>
          <w:p>
            <w:pPr>
              <w:ind w:left="40"/>
              <w:spacing w:after="0"/>
              <w:rPr>
                <w:sz w:val="20"/>
                <w:szCs w:val="20"/>
                <w:color w:val="auto"/>
              </w:rPr>
            </w:pPr>
            <w:r>
              <w:rPr>
                <w:rFonts w:ascii="Arial" w:cs="Arial" w:eastAsia="Arial" w:hAnsi="Arial"/>
                <w:sz w:val="16"/>
                <w:szCs w:val="16"/>
                <w:color w:val="auto"/>
              </w:rPr>
              <w:t xml:space="preserve">Randy J. Potts </w:t>
            </w:r>
            <w:r>
              <w:rPr>
                <w:rFonts w:ascii="Arial" w:cs="Arial" w:eastAsia="Arial" w:hAnsi="Arial"/>
                <w:sz w:val="21"/>
                <w:szCs w:val="21"/>
                <w:color w:val="auto"/>
                <w:vertAlign w:val="superscript"/>
              </w:rPr>
              <w:t>(4)</w:t>
            </w:r>
          </w:p>
        </w:tc>
        <w:tc>
          <w:tcPr>
            <w:tcW w:w="5020" w:type="dxa"/>
            <w:vAlign w:val="bottom"/>
          </w:tcPr>
          <w:p>
            <w:pPr>
              <w:ind w:left="40"/>
              <w:spacing w:after="0"/>
              <w:rPr>
                <w:sz w:val="20"/>
                <w:szCs w:val="20"/>
                <w:color w:val="auto"/>
              </w:rPr>
            </w:pPr>
            <w:r>
              <w:rPr>
                <w:rFonts w:ascii="Arial" w:cs="Arial" w:eastAsia="Arial" w:hAnsi="Arial"/>
                <w:sz w:val="16"/>
                <w:szCs w:val="16"/>
                <w:color w:val="auto"/>
              </w:rPr>
              <w:t>Executive Share Option Program</w:t>
            </w: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4,955</w:t>
            </w:r>
          </w:p>
        </w:tc>
        <w:tc>
          <w:tcPr>
            <w:tcW w:w="22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41,142</w:t>
            </w:r>
          </w:p>
        </w:tc>
      </w:tr>
      <w:tr>
        <w:trPr>
          <w:trHeight w:val="22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Raymond M. Beebe</w:t>
            </w: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 (1981)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175,307</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3,097,077</w:t>
            </w:r>
          </w:p>
        </w:tc>
      </w:tr>
      <w:tr>
        <w:trPr>
          <w:trHeight w:val="243"/>
        </w:trPr>
        <w:tc>
          <w:tcPr>
            <w:tcW w:w="2300" w:type="dxa"/>
            <w:vAlign w:val="bottom"/>
            <w:shd w:val="clear" w:color="auto" w:fill="CCEEFF"/>
          </w:tcPr>
          <w:p>
            <w:pPr>
              <w:spacing w:after="0"/>
              <w:rPr>
                <w:sz w:val="21"/>
                <w:szCs w:val="21"/>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Executive Retirement Plan (SERP)</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31,514</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756,343</w:t>
            </w:r>
          </w:p>
        </w:tc>
      </w:tr>
      <w:tr>
        <w:trPr>
          <w:trHeight w:val="243"/>
        </w:trPr>
        <w:tc>
          <w:tcPr>
            <w:tcW w:w="2300" w:type="dxa"/>
            <w:vAlign w:val="bottom"/>
            <w:shd w:val="clear" w:color="auto" w:fill="CCEEFF"/>
          </w:tcPr>
          <w:p>
            <w:pPr>
              <w:spacing w:after="0"/>
              <w:rPr>
                <w:sz w:val="21"/>
                <w:szCs w:val="21"/>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 Plan</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6,321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55,418</w:t>
            </w:r>
          </w:p>
        </w:tc>
      </w:tr>
      <w:tr>
        <w:trPr>
          <w:trHeight w:val="263"/>
        </w:trPr>
        <w:tc>
          <w:tcPr>
            <w:tcW w:w="2300" w:type="dxa"/>
            <w:vAlign w:val="bottom"/>
            <w:shd w:val="clear" w:color="auto" w:fill="CCEEFF"/>
          </w:tcPr>
          <w:p>
            <w:pPr>
              <w:spacing w:after="0"/>
              <w:rPr>
                <w:sz w:val="22"/>
                <w:szCs w:val="22"/>
                <w:color w:val="auto"/>
              </w:rPr>
            </w:pP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Program</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3,886</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862,694</w:t>
            </w: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Roger W. Martin</w:t>
            </w:r>
          </w:p>
        </w:tc>
        <w:tc>
          <w:tcPr>
            <w:tcW w:w="5020" w:type="dxa"/>
            <w:vAlign w:val="bottom"/>
          </w:tcPr>
          <w:p>
            <w:pPr>
              <w:ind w:left="40"/>
              <w:spacing w:after="0"/>
              <w:rPr>
                <w:sz w:val="20"/>
                <w:szCs w:val="20"/>
                <w:color w:val="auto"/>
              </w:rPr>
            </w:pPr>
            <w:r>
              <w:rPr>
                <w:rFonts w:ascii="Arial" w:cs="Arial" w:eastAsia="Arial" w:hAnsi="Arial"/>
                <w:sz w:val="16"/>
                <w:szCs w:val="16"/>
                <w:color w:val="auto"/>
              </w:rPr>
              <w:t>Deferred Compensation Plan (1981)</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12,798</w:t>
            </w:r>
          </w:p>
        </w:tc>
      </w:tr>
      <w:tr>
        <w:trPr>
          <w:trHeight w:val="243"/>
        </w:trPr>
        <w:tc>
          <w:tcPr>
            <w:tcW w:w="23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Supplemental Executive Retirement Plan (SERP)</w:t>
            </w: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2,187</w:t>
            </w:r>
          </w:p>
        </w:tc>
        <w:tc>
          <w:tcPr>
            <w:tcW w:w="22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13,122</w:t>
            </w:r>
          </w:p>
        </w:tc>
      </w:tr>
      <w:tr>
        <w:trPr>
          <w:trHeight w:val="253"/>
        </w:trPr>
        <w:tc>
          <w:tcPr>
            <w:tcW w:w="23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Executive Share Option Program</w:t>
            </w: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6,978</w:t>
            </w:r>
          </w:p>
        </w:tc>
        <w:tc>
          <w:tcPr>
            <w:tcW w:w="22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68,891</w:t>
            </w:r>
          </w:p>
        </w:tc>
      </w:tr>
      <w:tr>
        <w:trPr>
          <w:trHeight w:val="307"/>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r>
              <w:rPr>
                <w:rFonts w:ascii="Arial" w:cs="Arial" w:eastAsia="Arial" w:hAnsi="Arial"/>
                <w:sz w:val="21"/>
                <w:szCs w:val="21"/>
                <w:color w:val="auto"/>
                <w:vertAlign w:val="superscript"/>
              </w:rPr>
              <w:t>(4)</w:t>
            </w:r>
          </w:p>
        </w:tc>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 Plan</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1,449</w:t>
            </w:r>
          </w:p>
        </w:tc>
      </w:tr>
      <w:tr>
        <w:trPr>
          <w:trHeight w:val="299"/>
        </w:trPr>
        <w:tc>
          <w:tcPr>
            <w:tcW w:w="2300" w:type="dxa"/>
            <w:vAlign w:val="bottom"/>
          </w:tcPr>
          <w:p>
            <w:pPr>
              <w:ind w:left="40"/>
              <w:spacing w:after="0"/>
              <w:rPr>
                <w:sz w:val="20"/>
                <w:szCs w:val="20"/>
                <w:color w:val="auto"/>
              </w:rPr>
            </w:pPr>
            <w:r>
              <w:rPr>
                <w:rFonts w:ascii="Arial" w:cs="Arial" w:eastAsia="Arial" w:hAnsi="Arial"/>
                <w:sz w:val="16"/>
                <w:szCs w:val="16"/>
                <w:color w:val="auto"/>
              </w:rPr>
              <w:t>William J. O'Leary</w:t>
            </w:r>
            <w:r>
              <w:rPr>
                <w:rFonts w:ascii="Arial" w:cs="Arial" w:eastAsia="Arial" w:hAnsi="Arial"/>
                <w:sz w:val="21"/>
                <w:szCs w:val="21"/>
                <w:color w:val="auto"/>
                <w:vertAlign w:val="superscript"/>
              </w:rPr>
              <w:t>(4)</w:t>
            </w:r>
          </w:p>
        </w:tc>
        <w:tc>
          <w:tcPr>
            <w:tcW w:w="5020" w:type="dxa"/>
            <w:vAlign w:val="bottom"/>
          </w:tcPr>
          <w:p>
            <w:pPr>
              <w:ind w:left="40"/>
              <w:spacing w:after="0"/>
              <w:rPr>
                <w:sz w:val="20"/>
                <w:szCs w:val="20"/>
                <w:color w:val="auto"/>
              </w:rPr>
            </w:pPr>
            <w:r>
              <w:rPr>
                <w:rFonts w:ascii="Arial" w:cs="Arial" w:eastAsia="Arial" w:hAnsi="Arial"/>
                <w:sz w:val="16"/>
                <w:szCs w:val="16"/>
                <w:color w:val="auto"/>
              </w:rPr>
              <w:t>Supplemental Executive Retirement Plan (SERP)</w:t>
            </w: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7,287</w:t>
            </w:r>
          </w:p>
        </w:tc>
        <w:tc>
          <w:tcPr>
            <w:tcW w:w="220" w:type="dxa"/>
            <w:vAlign w:val="bottom"/>
          </w:tcPr>
          <w:p>
            <w:pPr>
              <w:spacing w:after="0"/>
              <w:rPr>
                <w:sz w:val="24"/>
                <w:szCs w:val="24"/>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123,880</w:t>
            </w:r>
          </w:p>
        </w:tc>
      </w:tr>
      <w:tr>
        <w:trPr>
          <w:trHeight w:val="195"/>
        </w:trPr>
        <w:tc>
          <w:tcPr>
            <w:tcW w:w="2300" w:type="dxa"/>
            <w:vAlign w:val="bottom"/>
          </w:tcPr>
          <w:p>
            <w:pPr>
              <w:spacing w:after="0"/>
              <w:rPr>
                <w:sz w:val="16"/>
                <w:szCs w:val="16"/>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Executive Share Option Program</w:t>
            </w:r>
          </w:p>
        </w:tc>
        <w:tc>
          <w:tcPr>
            <w:tcW w:w="2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19,828</w:t>
            </w:r>
          </w:p>
        </w:tc>
        <w:tc>
          <w:tcPr>
            <w:tcW w:w="220" w:type="dxa"/>
            <w:vAlign w:val="bottom"/>
          </w:tcPr>
          <w:p>
            <w:pPr>
              <w:spacing w:after="0"/>
              <w:rPr>
                <w:sz w:val="16"/>
                <w:szCs w:val="16"/>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172,451</w:t>
            </w:r>
          </w:p>
        </w:tc>
      </w:tr>
    </w:tbl>
    <w:p>
      <w:pPr>
        <w:spacing w:after="0" w:line="186" w:lineRule="exact"/>
        <w:rPr>
          <w:sz w:val="20"/>
          <w:szCs w:val="20"/>
          <w:color w:val="auto"/>
        </w:rPr>
      </w:pPr>
    </w:p>
    <w:p>
      <w:pPr>
        <w:ind w:left="340" w:right="180" w:hanging="332"/>
        <w:spacing w:after="0" w:line="24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4"/>
          <w:szCs w:val="14"/>
          <w:color w:val="auto"/>
        </w:rPr>
        <w:t>In Fiscal 2011, Mr. Beebe was the only Named Executive Officer that contributed to the Executive Deferred Compensation Plan. This amount is also included in the amount designated as “Salary” in the Summary Compensation Table.</w:t>
      </w:r>
    </w:p>
    <w:p>
      <w:pPr>
        <w:ind w:left="340" w:hanging="332"/>
        <w:spacing w:after="0" w:line="24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4"/>
          <w:szCs w:val="14"/>
          <w:color w:val="auto"/>
        </w:rPr>
        <w:t>Mr. Olson's and Mr. Beebe's dollar amount under the Deferred Compensation Plan (1981) represents the additional vesting earned in Fiscal 2011. As of August 27, 2011, Mr. Martin had not qualified for early retirement under the Deferred Compensation Plan (1981), therefore the dollar amount under this plan represents a 6% earnings as is described in the Plan document. As of August 27, 2011, the change under the Supplemental Executive Retirement Plan (SERP) represents additional vesting earned in Fiscal 2011. The change under the Executive Share Option Program represents the change in the market price of the financial instruments from August 28, 2010 to August 27, 2011 in each of such Named Executive Officer's account. The amount under "Aggregate Earnings in Last FY" for the Executive Deferred Compensation Plan represents the change in the market price of the underlying investments from August 28, 2010 to August 27, 2011.</w:t>
      </w:r>
    </w:p>
    <w:p>
      <w:pPr>
        <w:spacing w:after="0" w:line="2" w:lineRule="exact"/>
        <w:rPr>
          <w:rFonts w:ascii="Arial" w:cs="Arial" w:eastAsia="Arial" w:hAnsi="Arial"/>
          <w:sz w:val="13"/>
          <w:szCs w:val="13"/>
          <w:color w:val="auto"/>
        </w:rPr>
      </w:pPr>
    </w:p>
    <w:p>
      <w:pPr>
        <w:ind w:left="340" w:right="60" w:hanging="332"/>
        <w:spacing w:after="0" w:line="244"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4"/>
          <w:szCs w:val="14"/>
          <w:color w:val="auto"/>
        </w:rPr>
        <w:t>The dollar amount under the Deferred Compensation Plan (1981) for Mr. Olson represents the total 15 year payout based on his respective Early Retirement Benefit. Mr. Beebe, who is of retirement age, has a benefit that reflects the total of the 15 years of payout based on the Normal Retirement Benefit, plus a 6% per year crediting rate, established by the Board, which is applied to each year worked past age 65. Mr. Martin had not qualified for the Early Retirement Benefit under the Deferred Compensation Plan (1981); however, his balance represents his contributions into the plan plus a 6% per year crediting rate from Fiscal1999 through Fiscal 2011. This plan was frozen as of 2001. Mr. Olson's, Mr. O'Leary's and Mr. Martin's dollar amount under SERP represents their benefit amounts adjusted for their current age (not age 65 yet) based on the early retirement formula in the plan. Mr. Beebe's dollar amount under the SERP plan represents the Normal Retirement Benefit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340" w:right="40"/>
        <w:spacing w:after="0" w:line="367" w:lineRule="auto"/>
        <w:rPr>
          <w:sz w:val="20"/>
          <w:szCs w:val="20"/>
          <w:color w:val="auto"/>
        </w:rPr>
      </w:pPr>
      <w:r>
        <w:rPr>
          <w:rFonts w:ascii="Arial" w:cs="Arial" w:eastAsia="Arial" w:hAnsi="Arial"/>
          <w:sz w:val="14"/>
          <w:szCs w:val="14"/>
          <w:color w:val="auto"/>
        </w:rPr>
        <w:t>stated in the Participation Agreement plus a 5% increase each full year of continuous service performed by the Participant for the Company after age 65. The dollar amount under the Executive Share Option Program represents the market price of the financial instruments as of August 27, 2011 in each of such Named Executive Officer's account. The dollar amount under the Executive Deferred Compensation Plan represents the market price of the financial instruments as of August 27, 2011 in Mr. Beebe's and Ms. Nielsen's account.</w:t>
      </w:r>
    </w:p>
    <w:p>
      <w:pPr>
        <w:spacing w:after="0" w:line="1" w:lineRule="exact"/>
        <w:rPr>
          <w:sz w:val="20"/>
          <w:szCs w:val="20"/>
          <w:color w:val="auto"/>
        </w:rPr>
      </w:pPr>
    </w:p>
    <w:p>
      <w:pPr>
        <w:ind w:left="340" w:right="160" w:hanging="332"/>
        <w:spacing w:after="0" w:line="258"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4"/>
          <w:szCs w:val="14"/>
          <w:color w:val="auto"/>
        </w:rPr>
        <w:t>Mr. Potts and Mr. O'Leary elected not to participate in the Deferred Compensation Plan (1981). The Board of Directors elected to freeze this plan to additional participants in 2001; therefore, Ms. Nielsen, who joined Winnebago Industries after 2001, could not participate.</w:t>
      </w:r>
    </w:p>
    <w:p>
      <w:pPr>
        <w:spacing w:after="0" w:line="16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Share Option Program was established in 1997 to provide executives with an opportunity to defer a portion of their compensation in the form of options to purchase mutual funds invested in companies other than Winnebago Industries. The Executive Share Option Program was frozen effective December 31, 2004. Accordingly, no new deferrals or contributions to the Executive Share Option Program have been made after that date and no new participants may enter the plan.</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Deferred Compensation Program Plan (1981)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To assist in funding the deferred compensation liability, we invested in corporate-owned life insurance policies. See “Compensation Discussion and Analysis-Deferred Compensation Plan (1981)” above for a description of this plan.</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Executive Deferred Compensation Plan permits Named Executive Officers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Supplemental Executive Retirement Plan (SERP) </w:t>
      </w:r>
      <w:r>
        <w:rPr>
          <w:rFonts w:ascii="Arial" w:cs="Arial" w:eastAsia="Arial" w:hAnsi="Arial"/>
          <w:sz w:val="16"/>
          <w:szCs w:val="16"/>
          <w:color w:val="auto"/>
        </w:rPr>
        <w:t>- In 1988, the Board of Directors approved the adoption of an Executive Split Dollar Life Insurance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certain executives. In October 2008, the Board of Directors took action to convert the Executive Split Dollar Life Insurance Program to the SERP as a result of changes in the tax and accounting regulations and rising administrative costs. See “Compensation Discussion and Analysis-Supplemental Executive Retirement Plan (SERP)/Split Dollar Life Insurance” above for a description of this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21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During Fiscal 2001, the Board of Directors approved Executive Change of Control Agreements for certain executive officers and, at later dates, approved agreements for certain other executive officers, including Named Executive Officers,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purpose of the Agreements is to reinforce and encourage executives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This multiple was arrived at through an analysis of certain Compensation Peers change of control agreements at the time these agreements were initially developed.</w:t>
      </w:r>
    </w:p>
    <w:p>
      <w:pPr>
        <w:spacing w:after="0" w:line="3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twenty percent or more of the outstanding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stock of the Company if such acquisition occurs in whole or in part following the date of that person's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 Payments</w:t>
      </w:r>
    </w:p>
    <w:p>
      <w:pPr>
        <w:spacing w:after="0" w:line="21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Incentive Compensation Plan Payments</w:t>
      </w:r>
    </w:p>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 Named Executive Officer, unvested awards of restricted stock will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vest to Named Executive Officers under the following circumstances:</w:t>
      </w:r>
    </w:p>
    <w:p>
      <w:pPr>
        <w:spacing w:after="0" w:line="152" w:lineRule="exact"/>
        <w:rPr>
          <w:sz w:val="20"/>
          <w:szCs w:val="20"/>
          <w:color w:val="auto"/>
        </w:rPr>
      </w:pPr>
    </w:p>
    <w:p>
      <w:pPr>
        <w:ind w:left="340" w:right="260" w:hanging="332"/>
        <w:spacing w:after="0" w:line="24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Named Executive Officer's termination of employment is due to his or her retirement and occurs after at least five consecutive years of employment with the Company, any unvested awards of restricted stock immediately vest if the participant is at least 60 years of age;</w:t>
      </w:r>
    </w:p>
    <w:p>
      <w:pPr>
        <w:ind w:left="340" w:right="560" w:hanging="332"/>
        <w:spacing w:after="0" w:line="24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Named Executive Officer's termination of employment is due to his or her disability (as defined in the 2004 Plan) and occurs after at least five consecutive years of employment with the Company, any unvested awards of restricted stock immediately vest; and</w:t>
      </w:r>
    </w:p>
    <w:p>
      <w:pPr>
        <w:ind w:left="340" w:right="120" w:hanging="332"/>
        <w:spacing w:after="0" w:line="260"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Named Executive Officer's termination of employment is due to his or her death and occurs after at least five consecutive years of employment with the Company or any subsidiary, any unvested awards of restricted stock shall immediately vest.</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any restricted shares that are not vested under the 2004 Plan will vest upon a “Change of Control” (as defined in the 2004 Plan) of the Company. In all other circumstances, in the event that a Named Executive Officer ceases to be employed by the Company or any subsidiary, any awards held by such grantee will terminate and thereafter, be null and void.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Any options not vested under the 2004 Plan will vest upon a “Change of Control” (as defined in the 2004 Plan) of the Company, pursuant to the terms of the 2004 Plan. In the event that a Named Executive Officer ceases to be employed by the Company, stock options held by such Named Executive Officer will vest as follows:</w:t>
      </w:r>
    </w:p>
    <w:p>
      <w:pPr>
        <w:spacing w:after="0" w:line="174" w:lineRule="exact"/>
        <w:rPr>
          <w:sz w:val="20"/>
          <w:szCs w:val="20"/>
          <w:color w:val="auto"/>
        </w:rPr>
      </w:pPr>
    </w:p>
    <w:p>
      <w:pPr>
        <w:ind w:left="340" w:right="8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Named Executive Officer's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1"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Named Executive Officer's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1"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Named Executive Officer's termination of employment is due to his or her death and occurs after at least five consecutive years of employment with the Company, the options shall become vested in full and immediately exercisable by the Named Executive Officer's estate or legal representative for a period of one year following such termination of employment and shall thereafter, terminate, for both incentive and non-qualified stock options.</w:t>
      </w:r>
    </w:p>
    <w:p>
      <w:pPr>
        <w:spacing w:after="0" w:line="17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 the event that a Named Executive Officer ceases to be employed by the Company other than because of retirement, disability or death or if retirement, disability or death occurs before the Named Executive Officer has completed five consecutive years of employment with the Company, any outstanding stock options held by the Named Executive Officer which have not vested as of the date of termination of employment will terminate and the Named Executive Officer may exercise any options in which he or she is vested at the date of termination of employment for a period of three months following such date of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2011</w:t>
      </w:r>
    </w:p>
    <w:p>
      <w:pPr>
        <w:spacing w:after="0" w:line="113"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The tables below reflect the payments and benefits payable to each of the Named Executive Officers in the event of a termination of the executive's employment under several different circumstances. The amounts shown assume that termination was effective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141" w:right="27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of August 27, 2011, at the executive's compensation and service levels as of that date, and are estimates of the amounts that would be payable to the Named Executive Officers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9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Payments relating to the Officers Incentive Compensation Plan Fiscal Period 2011 and the Long-Term Incentive Plan Fiscal 2009-2011, Long-Term Incentive Plan Fiscal 2010-2012 and Long-Term Incentive Plan Fiscal 2011-2013 are not currently applicable, as the Company did not meet or, as of August 27, 2011, is not forecasted to meet, the applicable threshold requirements of these plans as of the end of Fiscal 2011.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ROBERT J. OLSON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1,372,267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(2)(3)</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3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178,500</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178,500</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178,500</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178,500</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178,500</w:t>
            </w:r>
          </w:p>
        </w:tc>
      </w:tr>
      <w:tr>
        <w:trPr>
          <w:trHeight w:val="233"/>
        </w:trPr>
        <w:tc>
          <w:tcPr>
            <w:tcW w:w="38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(4)(5)</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921,152</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921,152</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921,152</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921,152</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921,152</w:t>
            </w:r>
          </w:p>
        </w:tc>
      </w:tr>
      <w:tr>
        <w:trPr>
          <w:trHeight w:val="243"/>
        </w:trPr>
        <w:tc>
          <w:tcPr>
            <w:tcW w:w="3880" w:type="dxa"/>
            <w:vAlign w:val="bottom"/>
          </w:tcPr>
          <w:p>
            <w:pPr>
              <w:ind w:left="180"/>
              <w:spacing w:after="0" w:line="243" w:lineRule="exact"/>
              <w:rPr>
                <w:sz w:val="20"/>
                <w:szCs w:val="20"/>
                <w:color w:val="auto"/>
              </w:rPr>
            </w:pPr>
            <w:r>
              <w:rPr>
                <w:rFonts w:ascii="Arial" w:cs="Arial" w:eastAsia="Arial" w:hAnsi="Arial"/>
                <w:sz w:val="28"/>
                <w:szCs w:val="28"/>
                <w:color w:val="auto"/>
                <w:vertAlign w:val="subscript"/>
              </w:rPr>
              <w:t>SERP</w:t>
            </w:r>
            <w:r>
              <w:rPr>
                <w:rFonts w:ascii="Arial" w:cs="Arial" w:eastAsia="Arial" w:hAnsi="Arial"/>
                <w:sz w:val="10"/>
                <w:szCs w:val="10"/>
                <w:color w:val="auto"/>
              </w:rPr>
              <w:t xml:space="preserve"> (4)(6)</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274,738</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274,738</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274,738</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274,738</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274,738</w:t>
            </w: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(7)</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980,814</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980,814</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980,814</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980,814</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980,814</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980,814</w:t>
            </w:r>
          </w:p>
        </w:tc>
      </w:tr>
      <w:tr>
        <w:trPr>
          <w:trHeight w:val="234"/>
        </w:trPr>
        <w:tc>
          <w:tcPr>
            <w:tcW w:w="38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2,355,204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2,355,204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980,814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3,727,471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2,355,204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2,355,204</w:t>
            </w: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right="220" w:hanging="332"/>
        <w:spacing w:after="0" w:line="24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Severance upon a Change of Control for Mr. Olson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$7.14 per share on August 26, 2011, the last trading day of Fiscal 2011.</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As of August 27, 2011, Mr. Olson had qualified for early retirement.</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This plan was frozen as of 2001. This amount reflects the total of the 15 years of payout based on Early Retirement Benefit. See “Deferred Compensation Plan (1981).”</w:t>
      </w:r>
    </w:p>
    <w:p>
      <w:pPr>
        <w:spacing w:after="0" w:line="1" w:lineRule="exact"/>
        <w:rPr>
          <w:rFonts w:ascii="Arial" w:cs="Arial" w:eastAsia="Arial" w:hAnsi="Arial"/>
          <w:sz w:val="13"/>
          <w:szCs w:val="13"/>
          <w:color w:val="auto"/>
        </w:rPr>
      </w:pPr>
    </w:p>
    <w:p>
      <w:pPr>
        <w:ind w:left="340" w:right="20" w:hanging="332"/>
        <w:spacing w:after="0" w:line="24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2011 for the Supplemental Executive Retirement Plan adjusted by the early retirement formula (frozen program).</w:t>
      </w: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 for the Executive Share Option Program reduced by the exercise price (frozen program).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RANDY J. POTTS </w:t>
      </w:r>
      <w:r>
        <w:rPr>
          <w:rFonts w:ascii="Arial" w:cs="Arial" w:eastAsia="Arial" w:hAnsi="Arial"/>
          <w:sz w:val="21"/>
          <w:szCs w:val="21"/>
          <w:color w:val="auto"/>
          <w:vertAlign w:val="superscript"/>
        </w:rPr>
        <w:t>(1)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63"/>
              <w:spacing w:after="0"/>
              <w:rPr>
                <w:sz w:val="20"/>
                <w:szCs w:val="20"/>
                <w:color w:val="auto"/>
              </w:rPr>
            </w:pPr>
            <w:r>
              <w:rPr>
                <w:rFonts w:ascii="Arial" w:cs="Arial" w:eastAsia="Arial" w:hAnsi="Arial"/>
                <w:sz w:val="14"/>
                <w:szCs w:val="14"/>
                <w:b w:val="1"/>
                <w:bCs w:val="1"/>
                <w:color w:val="auto"/>
              </w:rPr>
              <w:t>Change of Control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5"/>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3"/>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63"/>
              <w:spacing w:after="0"/>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3"/>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1120" w:type="dxa"/>
            <w:vAlign w:val="bottom"/>
          </w:tcPr>
          <w:p>
            <w:pPr>
              <w:jc w:val="right"/>
              <w:ind w:right="283"/>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1240" w:type="dxa"/>
            <w:vAlign w:val="bottom"/>
          </w:tcPr>
          <w:p>
            <w:pPr>
              <w:jc w:val="center"/>
              <w:ind w:right="63"/>
              <w:spacing w:after="0"/>
              <w:rPr>
                <w:sz w:val="20"/>
                <w:szCs w:val="20"/>
                <w:color w:val="auto"/>
              </w:rPr>
            </w:pPr>
            <w:r>
              <w:rPr>
                <w:rFonts w:ascii="Arial" w:cs="Arial" w:eastAsia="Arial" w:hAnsi="Arial"/>
                <w:sz w:val="14"/>
                <w:szCs w:val="14"/>
                <w:b w:val="1"/>
                <w:bCs w:val="1"/>
                <w:color w:val="auto"/>
              </w:rPr>
              <w:t>Without Cause /</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Good Reason</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822,155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3"/>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92,820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92,820</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92,820</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92,820</w:t>
            </w:r>
          </w:p>
        </w:tc>
      </w:tr>
      <w:tr>
        <w:trPr>
          <w:trHeight w:val="233"/>
        </w:trPr>
        <w:tc>
          <w:tcPr>
            <w:tcW w:w="45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(4)</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41,142</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41,142</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41,142</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41,142</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41,142</w:t>
            </w:r>
          </w:p>
        </w:tc>
      </w:tr>
      <w:tr>
        <w:trPr>
          <w:trHeight w:val="234"/>
        </w:trPr>
        <w:tc>
          <w:tcPr>
            <w:tcW w:w="45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133,962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956,117</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133,962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133,962</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As of August 27, 2011, Mr. Potts had not qualified for early retirement.</w:t>
      </w:r>
    </w:p>
    <w:p>
      <w:pPr>
        <w:spacing w:after="0" w:line="1" w:lineRule="exact"/>
        <w:rPr>
          <w:rFonts w:ascii="Arial" w:cs="Arial" w:eastAsia="Arial" w:hAnsi="Arial"/>
          <w:sz w:val="13"/>
          <w:szCs w:val="13"/>
          <w:color w:val="auto"/>
        </w:rPr>
      </w:pPr>
    </w:p>
    <w:p>
      <w:pPr>
        <w:ind w:left="340" w:right="280" w:hanging="332"/>
        <w:spacing w:after="0" w:line="241"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Severance upon a Change of Control for Mr. Potts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$7.14 per share on August 26, 2011, the last trading day of Fiscal 2011.</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 for the Executive Share Option Program reduced by the exercise price (frozen program).</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RAYMOND M. BEEBE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968,010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70"/>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(2)(3)</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3"/>
        </w:trPr>
        <w:tc>
          <w:tcPr>
            <w:tcW w:w="3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53,550</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53,550</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53,550</w:t>
            </w:r>
          </w:p>
        </w:tc>
      </w:tr>
      <w:tr>
        <w:trPr>
          <w:trHeight w:val="233"/>
        </w:trPr>
        <w:tc>
          <w:tcPr>
            <w:tcW w:w="38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(4)(5)</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3,097,077</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3,097,077</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3,097,077</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3,097,077</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3,097,077</w:t>
            </w:r>
          </w:p>
        </w:tc>
      </w:tr>
      <w:tr>
        <w:trPr>
          <w:trHeight w:val="243"/>
        </w:trPr>
        <w:tc>
          <w:tcPr>
            <w:tcW w:w="3880" w:type="dxa"/>
            <w:vAlign w:val="bottom"/>
          </w:tcPr>
          <w:p>
            <w:pPr>
              <w:ind w:left="180"/>
              <w:spacing w:after="0" w:line="243" w:lineRule="exact"/>
              <w:rPr>
                <w:sz w:val="20"/>
                <w:szCs w:val="20"/>
                <w:color w:val="auto"/>
              </w:rPr>
            </w:pPr>
            <w:r>
              <w:rPr>
                <w:rFonts w:ascii="Arial" w:cs="Arial" w:eastAsia="Arial" w:hAnsi="Arial"/>
                <w:sz w:val="28"/>
                <w:szCs w:val="28"/>
                <w:color w:val="auto"/>
                <w:vertAlign w:val="subscript"/>
              </w:rPr>
              <w:t>SERP</w:t>
            </w:r>
            <w:r>
              <w:rPr>
                <w:rFonts w:ascii="Arial" w:cs="Arial" w:eastAsia="Arial" w:hAnsi="Arial"/>
                <w:sz w:val="10"/>
                <w:szCs w:val="10"/>
                <w:color w:val="auto"/>
              </w:rPr>
              <w:t>(4)(6)</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756,343</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756,343</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756,343</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756,343</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756,343</w:t>
            </w: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(7)</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862,694</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862,694</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862,694</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862,694</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862,694</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862,694</w:t>
            </w:r>
          </w:p>
        </w:tc>
      </w:tr>
      <w:tr>
        <w:trPr>
          <w:trHeight w:val="243"/>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(8)</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55,418</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55,418</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55,418</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55,418</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55,418</w:t>
            </w:r>
          </w:p>
        </w:tc>
      </w:tr>
      <w:tr>
        <w:trPr>
          <w:trHeight w:val="23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4,825,082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4,825,082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862,694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5,793,092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4,825,082</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4,825,082</w:t>
            </w: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40" w:right="180" w:hanging="332"/>
        <w:spacing w:after="0" w:line="24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Severance upon a Change of Control for Mr. Beebe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$7.14 per share on August 26, 2011, the last trading day of Fiscal 2011.</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As of August 27, 2011, Mr. Beebe is of retirement age.</w:t>
      </w:r>
    </w:p>
    <w:p>
      <w:pPr>
        <w:spacing w:after="0" w:line="1" w:lineRule="exact"/>
        <w:rPr>
          <w:rFonts w:ascii="Arial" w:cs="Arial" w:eastAsia="Arial" w:hAnsi="Arial"/>
          <w:sz w:val="13"/>
          <w:szCs w:val="13"/>
          <w:color w:val="auto"/>
        </w:rPr>
      </w:pPr>
    </w:p>
    <w:p>
      <w:pPr>
        <w:ind w:left="340" w:right="740" w:hanging="332"/>
        <w:spacing w:after="0" w:line="24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This plan was frozen as of 2001. This amount reflects the total of the 15 years of payout based on the Normal Retirement Benefit, plus a 6% per year crediting rate established by the Board which is applied to each year worked past age 65. See “Deferred Compensation Plan (1981).”</w:t>
      </w:r>
    </w:p>
    <w:p>
      <w:pPr>
        <w:jc w:val="both"/>
        <w:ind w:left="340" w:right="80" w:hanging="332"/>
        <w:spacing w:after="0" w:line="24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2011 for the Supplemental Executive Retirement Plan (frozen program). The Normal Retirement Benefit stated in the Participation Agreement shall be increased by 5% for each full year of continuous service performed by the Participant for the Company after the Normal Retirement Date.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ROGER W. MARTIN </w:t>
      </w:r>
      <w:r>
        <w:rPr>
          <w:rFonts w:ascii="Arial" w:cs="Arial" w:eastAsia="Arial" w:hAnsi="Arial"/>
          <w:sz w:val="21"/>
          <w:szCs w:val="21"/>
          <w:color w:val="auto"/>
          <w:vertAlign w:val="superscript"/>
        </w:rPr>
        <w:t>(1)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Change of Control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5"/>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1120" w:type="dxa"/>
            <w:vAlign w:val="bottom"/>
          </w:tcPr>
          <w:p>
            <w:pPr>
              <w:jc w:val="right"/>
              <w:ind w:right="282"/>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Without Cause /</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Good Reason</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Disability</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790,848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(3)(4)</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3"/>
        </w:trPr>
        <w:tc>
          <w:tcPr>
            <w:tcW w:w="4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53,550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53,550</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53,550</w:t>
            </w:r>
          </w:p>
        </w:tc>
      </w:tr>
      <w:tr>
        <w:trPr>
          <w:trHeight w:val="233"/>
        </w:trPr>
        <w:tc>
          <w:tcPr>
            <w:tcW w:w="45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12,798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12,798</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12,798</w:t>
            </w: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(6)</w:t>
            </w:r>
          </w:p>
        </w:tc>
        <w:tc>
          <w:tcPr>
            <w:tcW w:w="2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13,122</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13,122</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13,122</w:t>
            </w:r>
          </w:p>
        </w:tc>
        <w:tc>
          <w:tcPr>
            <w:tcW w:w="28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13,122</w:t>
            </w: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(7)</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68,891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68,891</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68,891</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68,891</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68,891</w:t>
            </w:r>
          </w:p>
        </w:tc>
      </w:tr>
      <w:tr>
        <w:trPr>
          <w:trHeight w:val="234"/>
        </w:trPr>
        <w:tc>
          <w:tcPr>
            <w:tcW w:w="45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148,361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939,209</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148,361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148,361</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As of August 27, 2011, Mr. Martin had not qualified for early retirement.</w:t>
      </w:r>
    </w:p>
    <w:p>
      <w:pPr>
        <w:spacing w:after="0" w:line="1" w:lineRule="exact"/>
        <w:rPr>
          <w:rFonts w:ascii="Arial" w:cs="Arial" w:eastAsia="Arial" w:hAnsi="Arial"/>
          <w:sz w:val="13"/>
          <w:szCs w:val="13"/>
          <w:color w:val="auto"/>
        </w:rPr>
      </w:pPr>
    </w:p>
    <w:p>
      <w:pPr>
        <w:ind w:left="340" w:right="200" w:hanging="332"/>
        <w:spacing w:after="0" w:line="24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Severance upon a Change of Control for Mr. Martin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$7.14 per share on August 26, 2011, the last trading day of Fiscal 2011.</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This plan was frozen as of 2001. As Mr. Martin had not qualified for early retirement, this amount represents his contributions into the plan plus a 6% per year crediting rate.</w:t>
      </w:r>
    </w:p>
    <w:p>
      <w:pPr>
        <w:spacing w:after="0" w:line="1" w:lineRule="exact"/>
        <w:rPr>
          <w:rFonts w:ascii="Arial" w:cs="Arial" w:eastAsia="Arial" w:hAnsi="Arial"/>
          <w:sz w:val="13"/>
          <w:szCs w:val="13"/>
          <w:color w:val="auto"/>
        </w:rPr>
      </w:pPr>
    </w:p>
    <w:p>
      <w:pPr>
        <w:ind w:left="340" w:right="20" w:hanging="332"/>
        <w:spacing w:after="0" w:line="24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2011 for the Supplemental Executive Retirement Plan adjusted by the early retirement formula (frozen program).</w:t>
      </w: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 for the Executive Share Option Program reduced by the exercise price (frozen program).</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SARAH N. NIELSEN </w:t>
      </w:r>
      <w:r>
        <w:rPr>
          <w:rFonts w:ascii="Arial" w:cs="Arial" w:eastAsia="Arial" w:hAnsi="Arial"/>
          <w:sz w:val="21"/>
          <w:szCs w:val="21"/>
          <w:color w:val="auto"/>
          <w:vertAlign w:val="superscript"/>
        </w:rPr>
        <w:t>(1)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63"/>
              <w:spacing w:after="0"/>
              <w:rPr>
                <w:sz w:val="20"/>
                <w:szCs w:val="20"/>
                <w:color w:val="auto"/>
              </w:rPr>
            </w:pPr>
            <w:r>
              <w:rPr>
                <w:rFonts w:ascii="Arial" w:cs="Arial" w:eastAsia="Arial" w:hAnsi="Arial"/>
                <w:sz w:val="14"/>
                <w:szCs w:val="14"/>
                <w:b w:val="1"/>
                <w:bCs w:val="1"/>
                <w:color w:val="auto"/>
              </w:rPr>
              <w:t>Involuntary</w:t>
            </w:r>
          </w:p>
        </w:tc>
        <w:tc>
          <w:tcPr>
            <w:tcW w:w="280" w:type="dxa"/>
            <w:vAlign w:val="bottom"/>
          </w:tcPr>
          <w:p>
            <w:pPr>
              <w:spacing w:after="0"/>
              <w:rPr>
                <w:sz w:val="15"/>
                <w:szCs w:val="15"/>
                <w:color w:val="auto"/>
              </w:rPr>
            </w:pPr>
          </w:p>
        </w:tc>
        <w:tc>
          <w:tcPr>
            <w:tcW w:w="1420" w:type="dxa"/>
            <w:vAlign w:val="bottom"/>
          </w:tcPr>
          <w:p>
            <w:pPr>
              <w:jc w:val="center"/>
              <w:ind w:right="203"/>
              <w:spacing w:after="0"/>
              <w:rPr>
                <w:sz w:val="20"/>
                <w:szCs w:val="20"/>
                <w:color w:val="auto"/>
              </w:rPr>
            </w:pPr>
            <w:r>
              <w:rPr>
                <w:rFonts w:ascii="Arial" w:cs="Arial" w:eastAsia="Arial" w:hAnsi="Arial"/>
                <w:sz w:val="14"/>
                <w:szCs w:val="14"/>
                <w:b w:val="1"/>
                <w:bCs w:val="1"/>
                <w:color w:val="auto"/>
              </w:rPr>
              <w:t>Termination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63"/>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1420" w:type="dxa"/>
            <w:vAlign w:val="bottom"/>
          </w:tcPr>
          <w:p>
            <w:pPr>
              <w:jc w:val="center"/>
              <w:ind w:right="203"/>
              <w:spacing w:after="0"/>
              <w:rPr>
                <w:sz w:val="20"/>
                <w:szCs w:val="20"/>
                <w:color w:val="auto"/>
              </w:rPr>
            </w:pPr>
            <w:r>
              <w:rPr>
                <w:rFonts w:ascii="Arial" w:cs="Arial" w:eastAsia="Arial" w:hAnsi="Arial"/>
                <w:sz w:val="14"/>
                <w:szCs w:val="14"/>
                <w:b w:val="1"/>
                <w:bCs w:val="1"/>
                <w:color w:val="auto"/>
              </w:rPr>
              <w:t>Without Cause /</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For Cause</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Good Reason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3"/>
              <w:spacing w:after="0"/>
              <w:rPr>
                <w:sz w:val="20"/>
                <w:szCs w:val="20"/>
                <w:color w:val="auto"/>
              </w:rPr>
            </w:pPr>
            <w:r>
              <w:rPr>
                <w:rFonts w:ascii="Arial" w:cs="Arial" w:eastAsia="Arial" w:hAnsi="Arial"/>
                <w:sz w:val="16"/>
                <w:szCs w:val="16"/>
                <w:color w:val="auto"/>
              </w:rPr>
              <w:t>783,508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(3)(4)</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53,550</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53,550</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53,550</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(5)</w:t>
            </w:r>
          </w:p>
        </w:tc>
        <w:tc>
          <w:tcPr>
            <w:tcW w:w="2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1,449</w:t>
            </w: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1,449</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1,449</w:t>
            </w:r>
          </w:p>
        </w:tc>
      </w:tr>
      <w:tr>
        <w:trPr>
          <w:trHeight w:val="261"/>
        </w:trPr>
        <w:tc>
          <w:tcPr>
            <w:tcW w:w="526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54,999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838,507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54,999</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As of August 27, 2011, Ms. Nielsen had not qualified for early retirement.</w:t>
      </w:r>
    </w:p>
    <w:p>
      <w:pPr>
        <w:spacing w:after="0" w:line="1" w:lineRule="exact"/>
        <w:rPr>
          <w:rFonts w:ascii="Arial" w:cs="Arial" w:eastAsia="Arial" w:hAnsi="Arial"/>
          <w:sz w:val="13"/>
          <w:szCs w:val="13"/>
          <w:color w:val="auto"/>
        </w:rPr>
      </w:pPr>
    </w:p>
    <w:p>
      <w:pPr>
        <w:ind w:left="340" w:right="80" w:hanging="332"/>
        <w:spacing w:after="0" w:line="24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Severance upon a Change of Control for Ms. Nielsen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$7.14 per share on August 26, 2011, the last trading day of Fiscal 2011.</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EXECUTIVE: WILLIAM J. O'LEARY </w:t>
      </w:r>
      <w:r>
        <w:rPr>
          <w:rFonts w:ascii="Arial" w:cs="Arial" w:eastAsia="Arial" w:hAnsi="Arial"/>
          <w:sz w:val="21"/>
          <w:szCs w:val="21"/>
          <w:color w:val="auto"/>
          <w:vertAlign w:val="superscript"/>
        </w:rPr>
        <w:t>(1)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792,989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(2)(3)</w:t>
            </w: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3"/>
        </w:trPr>
        <w:tc>
          <w:tcPr>
            <w:tcW w:w="3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53,550</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53,550</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53,550</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53,550</w:t>
            </w:r>
          </w:p>
        </w:tc>
      </w:tr>
      <w:tr>
        <w:trPr>
          <w:trHeight w:val="260"/>
        </w:trPr>
        <w:tc>
          <w:tcPr>
            <w:tcW w:w="38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3880" w:type="dxa"/>
            <w:vAlign w:val="bottom"/>
            <w:shd w:val="clear" w:color="auto" w:fill="CCEEFF"/>
          </w:tcPr>
          <w:p>
            <w:pPr>
              <w:ind w:left="180"/>
              <w:spacing w:after="0" w:line="252" w:lineRule="exact"/>
              <w:rPr>
                <w:sz w:val="20"/>
                <w:szCs w:val="20"/>
                <w:color w:val="auto"/>
              </w:rPr>
            </w:pPr>
            <w:r>
              <w:rPr>
                <w:rFonts w:ascii="Arial" w:cs="Arial" w:eastAsia="Arial" w:hAnsi="Arial"/>
                <w:sz w:val="29"/>
                <w:szCs w:val="29"/>
                <w:color w:val="auto"/>
                <w:vertAlign w:val="subscript"/>
              </w:rPr>
              <w:t>SERP</w:t>
            </w:r>
            <w:r>
              <w:rPr>
                <w:rFonts w:ascii="Arial" w:cs="Arial" w:eastAsia="Arial" w:hAnsi="Arial"/>
                <w:sz w:val="10"/>
                <w:szCs w:val="10"/>
                <w:color w:val="auto"/>
              </w:rPr>
              <w:t xml:space="preserve"> (4)(5)</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123,880</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123,880</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123,880</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123,880</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123,880</w:t>
            </w:r>
          </w:p>
        </w:tc>
      </w:tr>
      <w:tr>
        <w:trPr>
          <w:trHeight w:val="243"/>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(6)</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172,451</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172,451</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172,451</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172,451</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172,451</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172,451</w:t>
            </w:r>
          </w:p>
        </w:tc>
      </w:tr>
      <w:tr>
        <w:trPr>
          <w:trHeight w:val="23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349,881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1,142,870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349,881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349,881</w:t>
            </w: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Severance upon a Change of Control for Mr. O'Leary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$7.14 per share on August 26, 2011, the last trading day of Fiscal 2011.</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As of August 27, 2011, Mr. O'Leary had qualified for early retirement.</w:t>
      </w:r>
    </w:p>
    <w:p>
      <w:pPr>
        <w:spacing w:after="0" w:line="1" w:lineRule="exact"/>
        <w:rPr>
          <w:rFonts w:ascii="Arial" w:cs="Arial" w:eastAsia="Arial" w:hAnsi="Arial"/>
          <w:sz w:val="13"/>
          <w:szCs w:val="13"/>
          <w:color w:val="auto"/>
        </w:rPr>
      </w:pPr>
    </w:p>
    <w:p>
      <w:pPr>
        <w:ind w:left="340" w:right="20" w:hanging="332"/>
        <w:spacing w:after="0" w:line="241"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2011 for the Supplemental Executive Retirement Plan adjusted by the early retirement formula (frozen program).</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market value balance as of August 26, 2011 for the Executive Share Option Program reduced by the exercise price (frozen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6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RATIFICATION OF THE APPOINTMENT OF INDEPENDENT REGISTERED PUBLIC ACCOUNTANTS FOR THE FISCAL YEAR ENDING AUGUST 25, 2012</w:t>
      </w:r>
    </w:p>
    <w:p>
      <w:pPr>
        <w:spacing w:after="0" w:line="12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Deloitte &amp; Touche LLP (“Deloitte &amp; Touche”) was appointed by the Audit Committee as our independent registered public accountants for the fiscal year ending August 25, 2012. We are asking our shareholders to ratify the appointment of Deloitte &amp; Touche. Deloitte &amp; Touche has served as our independent registered public accountants for over 25 years. For a description of the fees for services rendered by Deloitte &amp; Touche in Fiscal 2011 and Fiscal 2010, and a description of our policy regarding the approval of independent registered public accountants provisions of audit and nonaudit services, see “Independent Registered Public Accountants Fees and Services” below.</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2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AS INDEPENDENT REGISTERED PUBLIC ACCOUNTANTS FOR OUR FISCAL YEAR ENDING AUGUST 25, 2012.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Dodd-Frank Wall Street Reform and Consumer Protection Act, enacted in July 2010, requires the Board to provide our shareholders with the opportunity to vote, on a non-binding, advisory basis, on the compensation of our Named Executive Officers as set forth in this Proxy Statement in accordance with the compensation disclosure rules of the SEC. This proposal is also referred to as the "Say on Pay" vote.</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In accordance with these compensation objectives, the compensation of Winnebago's executives during Fiscal 2011 was limited to their base salaries and a special grant of restricted stock. Following improvements in the performance of the Company in the first and second fiscal quarters, previous salary reductions were reinstated to levels reduced in March 2009. However, as a result of slower than expected wholesale and retail sales in our third and fourth fiscal quarters, none of the Named Executive Officers received any of the performance based incentives under the plans described in the "Compensation Discussion and Analysis". The Board believes the compensation of the Named Executive Officers outlined in the Proxy Statement is appropriate based upon the performance of the Company.</w:t>
      </w:r>
    </w:p>
    <w:p>
      <w:pPr>
        <w:spacing w:after="0" w:line="180"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4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FOR AN ADVISORY VOTE ON THE FREQUENCY OF "SAY ON PAY" VOTES</w:t>
      </w:r>
    </w:p>
    <w:p>
      <w:pPr>
        <w:spacing w:after="0" w:line="214"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Dodd-Frank Wall Street Reform and Consumer Protection Act also requires that shareholders must be given the opportunity, at least once every six years, to cast a non-binding, advisory vote on whether a "Say on Pay" vote on the compensation of Named Executive Officers should be held every one, two, or three years.</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After careful consideration, the Board of Directors recommends annual ("1 Year") advisory votes on the compensation of the Named Executive Officers. The Board believes that annual votes will provide the clearest and most useful feedback from shareholders to the Company and the Human Resources Committee in this important area, and will confirm the Company's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commitment to frequent and transparent communications with investors.</w:t>
      </w:r>
    </w:p>
    <w:p>
      <w:pPr>
        <w:spacing w:after="0" w:line="24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Shareholders are not voting to approve or disapprove of the Board's recommendation. Instead, shareholders have four choices with respect to this Item: "1 Year", "2 Years", "3 Years", or "Abstain". For the reasons discussed above, we are asking our shareholders to vote for a frequency of "1 Year" when voting on this Item.</w:t>
      </w:r>
    </w:p>
    <w:p>
      <w:pPr>
        <w:spacing w:after="0" w:line="22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the vote is not binding on the Company or the Board and is advisory in nature.</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YOUR BOARD OF DIRECTORS UNANIMOUSLY RECOMMENDS A VOTE IN FAVOR OF CONDUCTING A NON-BINDING, ADVISORY VOTE ON EXECUTIVE COMPENSATION EACH YEAR (“1 YEAR”). PROXIES SOLICITED BY THE BOARD OF DIRECTORS WILL BE VOTED IN FAVOR OF CONDUCTING AN ADVISORY VOTE ON EXECUTIVE COMPENSATION EACH YEAR (“1 YEAR”) UNLESS A SHAREHOLDER INDICATES OTHERWISE IN VOTING THE PROXY.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the advisory approval to determine the frequency of an executive compensation vote,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25"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8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2011 Form 10-K with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95" w:lineRule="exact"/>
        <w:rPr>
          <w:sz w:val="20"/>
          <w:szCs w:val="20"/>
          <w:color w:val="auto"/>
        </w:rPr>
      </w:pPr>
    </w:p>
    <w:p>
      <w:pPr>
        <w:ind w:left="34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27, 2011 of Winnebago Industries, Inc. (the “Audited Financial Statements”) with Winnebago Industries, Inc.'s Management.</w:t>
      </w:r>
    </w:p>
    <w:p>
      <w:pPr>
        <w:ind w:left="340" w:right="24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has discussed with Deloitte &amp; Touche LLP, the Company's independent registered public accountants, the matters required to be discussed by Statement on Auditing Standards No. 61, as amended (AICPA, Professional Standards, Vol. 1. AU Section 380), as adopted by the Public Company Accounting Oversight Board in Rule 3200T.</w:t>
      </w:r>
    </w:p>
    <w:p>
      <w:pPr>
        <w:spacing w:after="0" w:line="1"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 w:lineRule="exact"/>
        <w:rPr>
          <w:rFonts w:ascii="Arial" w:cs="Arial" w:eastAsia="Arial" w:hAnsi="Arial"/>
          <w:sz w:val="16"/>
          <w:szCs w:val="16"/>
          <w:color w:val="auto"/>
        </w:rPr>
      </w:pPr>
    </w:p>
    <w:p>
      <w:pPr>
        <w:jc w:val="both"/>
        <w:ind w:left="340" w:right="240" w:hanging="332"/>
        <w:spacing w:after="0" w:line="253"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the review and discussion referred to in the first and third bullet points above, the Audit Committee recommended to the Board of Directors of Winnebago Industries, Inc., and the Board has approved, that the Audited Financial Statements be included in Winnebago Industries, Inc.'s Fiscal 2011 Form 10-K, for filing with the SEC.</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 copy of the Audit Committee Charter, as last amended as of December 20, 2010 is available on the Company's Web Site at http://www.winnebagoind.com/governance.html and in print free of charge to any shareholder who requests a copy in writing from: Winnebago Industries, Inc., Attn: Vice President-General Counsel and Secretary, 605 West Crystal Lake Road, Forest City, Iowa 60436.</w:t>
      </w:r>
    </w:p>
    <w:p>
      <w:pPr>
        <w:spacing w:after="0" w:line="161"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The Audit Commitee: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Lawrence A. Erickson (Chair)</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Irvin E. Aal</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Robert M. Chiusano</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Joseph W. England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214"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Deloitte &amp; Touche served as our independent registered public accountants in Fiscal 2011.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Deloitte &amp; Touche for the audit of our annual financial statements for fiscal years ended August 27, 2011 and August 28, 2010, and fees billed for other services rendered by Deloitte &amp; Touche during those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Fiscal 2011</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Fiscal 2010</w:t>
            </w: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500,000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475,000</w:t>
            </w:r>
          </w:p>
        </w:tc>
      </w:tr>
      <w:tr>
        <w:trPr>
          <w:trHeight w:val="243"/>
        </w:trPr>
        <w:tc>
          <w:tcPr>
            <w:tcW w:w="8420" w:type="dxa"/>
            <w:vAlign w:val="bottom"/>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49,307</w:t>
            </w:r>
          </w:p>
        </w:tc>
        <w:tc>
          <w:tcPr>
            <w:tcW w:w="4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22,900</w:t>
            </w: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74,825</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152,153</w:t>
            </w:r>
          </w:p>
        </w:tc>
      </w:tr>
      <w:tr>
        <w:trPr>
          <w:trHeight w:val="23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 Fees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624,132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650,053</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Professional services provided for the audit of our annual financial statements and review of our quarterly financial statements.</w:t>
      </w:r>
    </w:p>
    <w:p>
      <w:pPr>
        <w:ind w:left="340" w:hanging="332"/>
        <w:spacing w:after="0" w:line="20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Consultation regarding SEC comment letter, accounting related to the purchase of substantially all assets of SunnyBrook RV, Inc., and fees for the benefit plan audit.</w:t>
      </w: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Professional services related to tax compliance and tax planning.</w:t>
      </w:r>
    </w:p>
    <w:p>
      <w:pPr>
        <w:spacing w:after="0" w:line="20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Audit Committee considered whether the provision of tax, benefit plan audit and accounting consulting services by Deloitte &amp; Touche are compatible with maintaining the independence of Deloitte &amp; Touche and concluded that the independence of Deloitte &amp; Touche is not compromised by the provision of such services.</w:t>
      </w:r>
    </w:p>
    <w:p>
      <w:pPr>
        <w:spacing w:after="0" w:line="15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Accountants Provision of Audit and Nonaudit Services </w:t>
      </w:r>
      <w:r>
        <w:rPr>
          <w:rFonts w:ascii="Arial" w:cs="Arial" w:eastAsia="Arial" w:hAnsi="Arial"/>
          <w:sz w:val="16"/>
          <w:szCs w:val="16"/>
          <w:color w:val="auto"/>
        </w:rPr>
        <w:t>- The Audit Committee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if any, for services covered under the captions “Audit-Related Fees", “Tax Fees” and “All Other Fees” for Fiscal 2010 and Fiscal 2011.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2012 SHAREHOLDER PROPOSALS</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a shareholder intends to present a proposal at our Annual Meeting following Fiscal 2012, scheduled for December 11, 2012 and desires that the proposal be included in our 2012 proxy statement and form of proxy for that meeting, the proposal must be in compliance with Rule 14a-8 under the Exchange Act and received at our principal executive offices no later than June 26, 2012.</w:t>
      </w:r>
    </w:p>
    <w:p>
      <w:pPr>
        <w:spacing w:after="0" w:line="20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percent of the Company's Common Stock who may also submit nominations in accordance with the procedures in the Director Nomination Policy and except as otherwise provided in our By-Laws.</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2012,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percent of the Common Stock, to recommend nominees for director are set forth in the Director Nomination Policy, a copy of which is attached hereto as Appendix A and the By-Laws. A copy of our By-Laws may be obtained by written request to: Winnebago Industries, Inc., Attn: Vice President-General Counsel and Secretary, 605 West Crystal Lake Road, Forest City, Iowa 50436.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Deloitte &amp; Touche has been selected by the Audit Committee as our independent registered public accountants for the current fiscal year by the Audit Committee. Deloitte &amp; Touche has been our accountants for more than 25 years. Representatives of that firm are expected to be present at the Annual Meeting with the opportunity to make a statement if they desire to do so and to be available to respond to appropriate questions.</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their reasonable expenses in forwarding proxies and proxy material to the beneficial owners of such shares.</w:t>
      </w:r>
    </w:p>
    <w:p>
      <w:pPr>
        <w:spacing w:after="0" w:line="11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copy of our Annual Report for the fiscal year ended August 27, 2011,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6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6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8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By Order of the Board of Directors</w:t>
      </w:r>
    </w:p>
    <w:p>
      <w:pPr>
        <w:spacing w:after="0" w:line="356" w:lineRule="exact"/>
        <w:rPr>
          <w:sz w:val="20"/>
          <w:szCs w:val="20"/>
          <w:color w:val="auto"/>
        </w:rPr>
      </w:pPr>
    </w:p>
    <w:p>
      <w:pPr>
        <w:ind w:left="40"/>
        <w:spacing w:after="0"/>
        <w:tabs>
          <w:tab w:leader="none" w:pos="5980" w:val="left"/>
        </w:tabs>
        <w:rPr>
          <w:sz w:val="20"/>
          <w:szCs w:val="20"/>
          <w:color w:val="auto"/>
        </w:rPr>
      </w:pPr>
      <w:r>
        <w:rPr>
          <w:rFonts w:ascii="Arial" w:cs="Arial" w:eastAsia="Arial" w:hAnsi="Arial"/>
          <w:sz w:val="16"/>
          <w:szCs w:val="16"/>
          <w:color w:val="auto"/>
        </w:rPr>
        <w:t>October 25, 2011</w:t>
      </w:r>
      <w:r>
        <w:rPr>
          <w:sz w:val="20"/>
          <w:szCs w:val="20"/>
          <w:color w:val="auto"/>
        </w:rPr>
        <w:tab/>
      </w:r>
      <w:r>
        <w:rPr>
          <w:rFonts w:ascii="Arial" w:cs="Arial" w:eastAsia="Arial" w:hAnsi="Arial"/>
          <w:sz w:val="16"/>
          <w:szCs w:val="16"/>
          <w:color w:val="auto"/>
        </w:rPr>
        <w:t>/s/ 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19050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66"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Raymond M. Beebe</w:t>
      </w:r>
    </w:p>
    <w:p>
      <w:pPr>
        <w:spacing w:after="0" w:line="86"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Secretary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60"/>
          </w:cols>
          <w:pgMar w:left="240" w:top="141" w:right="29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2" w:lineRule="exact"/>
        <w:rPr>
          <w:sz w:val="20"/>
          <w:szCs w:val="20"/>
          <w:color w:val="auto"/>
        </w:rPr>
      </w:pPr>
    </w:p>
    <w:p>
      <w:pPr>
        <w:ind w:left="340" w:right="20" w:hanging="332"/>
        <w:spacing w:after="0" w:line="247"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12" w:lineRule="exact"/>
        <w:rPr>
          <w:rFonts w:ascii="Arial" w:cs="Arial" w:eastAsia="Arial" w:hAnsi="Arial"/>
          <w:sz w:val="16"/>
          <w:szCs w:val="16"/>
          <w:color w:val="auto"/>
        </w:rPr>
      </w:pPr>
    </w:p>
    <w:p>
      <w:pPr>
        <w:ind w:left="340" w:hanging="332"/>
        <w:spacing w:after="0" w:line="247"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12"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1" w:lineRule="exact"/>
        <w:rPr>
          <w:rFonts w:ascii="Arial" w:cs="Arial" w:eastAsia="Arial" w:hAnsi="Arial"/>
          <w:sz w:val="16"/>
          <w:szCs w:val="16"/>
          <w:color w:val="auto"/>
        </w:rPr>
      </w:pPr>
    </w:p>
    <w:p>
      <w:pPr>
        <w:ind w:left="340" w:right="480"/>
        <w:spacing w:after="0" w:line="260"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5" w:lineRule="exact"/>
        <w:rPr>
          <w:rFonts w:ascii="Arial" w:cs="Arial" w:eastAsia="Arial" w:hAnsi="Arial"/>
          <w:sz w:val="16"/>
          <w:szCs w:val="16"/>
          <w:color w:val="auto"/>
        </w:rPr>
      </w:pPr>
    </w:p>
    <w:p>
      <w:pPr>
        <w:ind w:left="660" w:right="900" w:hanging="328"/>
        <w:spacing w:after="0" w:line="246" w:lineRule="auto"/>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ind w:left="660" w:hanging="328"/>
        <w:spacing w:after="0"/>
        <w:tabs>
          <w:tab w:leader="none" w:pos="6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94" w:lineRule="exact"/>
        <w:rPr>
          <w:sz w:val="20"/>
          <w:szCs w:val="20"/>
          <w:color w:val="auto"/>
        </w:rPr>
      </w:pPr>
    </w:p>
    <w:p>
      <w:pPr>
        <w:jc w:val="both"/>
        <w:ind w:left="340" w:right="24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67"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67"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1"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1" w:lineRule="exact"/>
        <w:rPr>
          <w:rFonts w:ascii="Arial" w:cs="Arial" w:eastAsia="Arial" w:hAnsi="Arial"/>
          <w:sz w:val="16"/>
          <w:szCs w:val="16"/>
          <w:color w:val="auto"/>
        </w:rPr>
      </w:pPr>
    </w:p>
    <w:p>
      <w:pPr>
        <w:ind w:left="660" w:right="40" w:hanging="328"/>
        <w:spacing w:after="0" w:line="250"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49"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47" w:lineRule="exact"/>
        <w:rPr>
          <w:rFonts w:ascii="Arial" w:cs="Arial" w:eastAsia="Arial" w:hAnsi="Arial"/>
          <w:sz w:val="16"/>
          <w:szCs w:val="16"/>
          <w:color w:val="auto"/>
        </w:rPr>
      </w:pPr>
    </w:p>
    <w:p>
      <w:pPr>
        <w:jc w:val="both"/>
        <w:ind w:left="660" w:right="400" w:hanging="328"/>
        <w:spacing w:after="0" w:line="253"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47" w:lineRule="exact"/>
        <w:rPr>
          <w:rFonts w:ascii="Arial" w:cs="Arial" w:eastAsia="Arial" w:hAnsi="Arial"/>
          <w:sz w:val="16"/>
          <w:szCs w:val="16"/>
          <w:color w:val="auto"/>
        </w:rPr>
      </w:pPr>
    </w:p>
    <w:p>
      <w:pPr>
        <w:ind w:left="660" w:hanging="328"/>
        <w:spacing w:after="0"/>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67"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94" w:lineRule="exact"/>
        <w:rPr>
          <w:sz w:val="20"/>
          <w:szCs w:val="20"/>
          <w:color w:val="auto"/>
        </w:rPr>
      </w:pPr>
    </w:p>
    <w:p>
      <w:pPr>
        <w:ind w:left="660" w:right="340" w:hanging="328"/>
        <w:spacing w:after="0" w:line="253"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94" w:lineRule="exact"/>
        <w:rPr>
          <w:sz w:val="20"/>
          <w:szCs w:val="20"/>
          <w:color w:val="auto"/>
        </w:rPr>
      </w:pPr>
    </w:p>
    <w:p>
      <w:pPr>
        <w:ind w:left="340" w:right="200"/>
        <w:spacing w:after="0" w:line="251" w:lineRule="auto"/>
        <w:rPr>
          <w:sz w:val="20"/>
          <w:szCs w:val="20"/>
          <w:color w:val="auto"/>
        </w:rPr>
      </w:pPr>
      <w:r>
        <w:rPr>
          <w:rFonts w:ascii="Arial" w:cs="Arial" w:eastAsia="Arial" w:hAnsi="Arial"/>
          <w:sz w:val="16"/>
          <w:szCs w:val="16"/>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76" w:lineRule="exact"/>
        <w:rPr>
          <w:sz w:val="20"/>
          <w:szCs w:val="20"/>
          <w:color w:val="auto"/>
        </w:rPr>
      </w:pPr>
    </w:p>
    <w:p>
      <w:pPr>
        <w:ind w:left="340" w:right="140" w:hanging="332"/>
        <w:spacing w:after="0" w:line="249"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180"/>
        <w:spacing w:after="0" w:line="337"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left="340" w:hanging="332"/>
        <w:spacing w:after="0" w:line="253"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74" w:lineRule="exact"/>
        <w:rPr>
          <w:rFonts w:ascii="Arial" w:cs="Arial" w:eastAsia="Arial" w:hAnsi="Arial"/>
          <w:sz w:val="16"/>
          <w:szCs w:val="16"/>
          <w:color w:val="auto"/>
        </w:rPr>
      </w:pPr>
    </w:p>
    <w:p>
      <w:pPr>
        <w:ind w:left="860" w:hanging="528"/>
        <w:spacing w:after="0"/>
        <w:tabs>
          <w:tab w:leader="none" w:pos="8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207"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47" w:lineRule="exact"/>
        <w:rPr>
          <w:rFonts w:ascii="Arial" w:cs="Arial" w:eastAsia="Arial" w:hAnsi="Arial"/>
          <w:sz w:val="16"/>
          <w:szCs w:val="16"/>
          <w:color w:val="auto"/>
        </w:rPr>
      </w:pPr>
    </w:p>
    <w:p>
      <w:pPr>
        <w:ind w:left="340" w:right="700" w:hanging="332"/>
        <w:spacing w:after="0" w:line="260"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420"/>
          </w:cols>
          <w:pgMar w:left="240" w:top="141" w:right="239" w:bottom="1440" w:gutter="0" w:footer="0" w:header="0"/>
        </w:sectPr>
      </w:pPr>
    </w:p>
    <w:bookmarkStart w:id="47" w:name="page48"/>
    <w:bookmarkEnd w:id="47"/>
    <w:p>
      <w:pPr>
        <w:ind w:left="184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029335"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3771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121920</wp:posOffset>
            </wp:positionV>
            <wp:extent cx="218694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86940" cy="180340"/>
                    </a:xfrm>
                    <a:prstGeom prst="rect">
                      <a:avLst/>
                    </a:prstGeom>
                    <a:noFill/>
                  </pic:spPr>
                </pic:pic>
              </a:graphicData>
            </a:graphic>
          </wp:anchor>
        </w:drawing>
      </w:r>
    </w:p>
    <w:p>
      <w:pPr>
        <w:spacing w:after="0" w:line="195"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COMPANY #</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Three Ways to Appoint Your Proxy to Vote</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electronically by telephone:</w:t>
      </w:r>
    </w:p>
    <w:p>
      <w:pPr>
        <w:spacing w:after="0" w:line="53"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1-800-560-1965</w:t>
      </w:r>
    </w:p>
    <w:p>
      <w:pPr>
        <w:ind w:left="5740"/>
        <w:spacing w:after="0" w:line="237" w:lineRule="auto"/>
        <w:tabs>
          <w:tab w:leader="none" w:pos="59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Read the Proxy Statement and have the proxy card below at hand.</w:t>
      </w:r>
    </w:p>
    <w:p>
      <w:pPr>
        <w:ind w:left="5740"/>
        <w:spacing w:after="0" w:line="235" w:lineRule="auto"/>
        <w:tabs>
          <w:tab w:leader="none" w:pos="594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 xml:space="preserve">Call </w:t>
      </w:r>
      <w:r>
        <w:rPr>
          <w:rFonts w:ascii="Arial" w:cs="Arial" w:eastAsia="Arial" w:hAnsi="Arial"/>
          <w:sz w:val="12"/>
          <w:szCs w:val="12"/>
          <w:b w:val="1"/>
          <w:bCs w:val="1"/>
          <w:color w:val="auto"/>
        </w:rPr>
        <w:t>1-800-560-1965</w:t>
      </w:r>
      <w:r>
        <w:rPr>
          <w:rFonts w:ascii="Arial" w:cs="Arial" w:eastAsia="Arial" w:hAnsi="Arial"/>
          <w:sz w:val="12"/>
          <w:szCs w:val="12"/>
          <w:color w:val="auto"/>
        </w:rPr>
        <w:t>.</w:t>
      </w:r>
    </w:p>
    <w:p>
      <w:pPr>
        <w:ind w:left="5740"/>
        <w:spacing w:after="0"/>
        <w:tabs>
          <w:tab w:leader="none" w:pos="594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Follow the instructions.</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electronically via the Internet: www.eproxy.com/wgo/</w:t>
      </w:r>
    </w:p>
    <w:p>
      <w:pPr>
        <w:ind w:left="5740"/>
        <w:spacing w:after="0" w:line="219" w:lineRule="auto"/>
        <w:rPr>
          <w:sz w:val="20"/>
          <w:szCs w:val="20"/>
          <w:color w:val="auto"/>
        </w:rPr>
      </w:pPr>
      <w:r>
        <w:rPr>
          <w:rFonts w:ascii="Arial" w:cs="Arial" w:eastAsia="Arial" w:hAnsi="Arial"/>
          <w:sz w:val="13"/>
          <w:szCs w:val="13"/>
          <w:color w:val="auto"/>
        </w:rPr>
        <w:t>1) Read the Proxy Statement and have the proxy card below at hand.</w:t>
      </w:r>
    </w:p>
    <w:p>
      <w:pPr>
        <w:ind w:left="5740"/>
        <w:spacing w:after="0" w:line="217" w:lineRule="auto"/>
        <w:rPr>
          <w:sz w:val="20"/>
          <w:szCs w:val="20"/>
          <w:color w:val="auto"/>
        </w:rPr>
      </w:pPr>
      <w:r>
        <w:rPr>
          <w:rFonts w:ascii="Arial" w:cs="Arial" w:eastAsia="Arial" w:hAnsi="Arial"/>
          <w:sz w:val="13"/>
          <w:szCs w:val="13"/>
          <w:color w:val="auto"/>
        </w:rPr>
        <w:t xml:space="preserve">2) Go to website </w:t>
      </w:r>
      <w:r>
        <w:rPr>
          <w:rFonts w:ascii="Arial" w:cs="Arial" w:eastAsia="Arial" w:hAnsi="Arial"/>
          <w:sz w:val="13"/>
          <w:szCs w:val="13"/>
          <w:b w:val="1"/>
          <w:bCs w:val="1"/>
          <w:color w:val="auto"/>
        </w:rPr>
        <w:t>www.eproxy.com/wgo/</w:t>
      </w:r>
      <w:r>
        <w:rPr>
          <w:rFonts w:ascii="Arial" w:cs="Arial" w:eastAsia="Arial" w:hAnsi="Arial"/>
          <w:sz w:val="13"/>
          <w:szCs w:val="13"/>
          <w:color w:val="auto"/>
        </w:rPr>
        <w:t>.</w:t>
      </w:r>
    </w:p>
    <w:p>
      <w:pPr>
        <w:ind w:left="5740"/>
        <w:spacing w:after="0"/>
        <w:rPr>
          <w:sz w:val="20"/>
          <w:szCs w:val="20"/>
          <w:color w:val="auto"/>
        </w:rPr>
      </w:pPr>
      <w:r>
        <w:rPr>
          <w:rFonts w:ascii="Arial" w:cs="Arial" w:eastAsia="Arial" w:hAnsi="Arial"/>
          <w:sz w:val="13"/>
          <w:szCs w:val="13"/>
          <w:color w:val="auto"/>
        </w:rPr>
        <w:t>3) Follow the instructions provided on the website.</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by mail</w:t>
      </w:r>
    </w:p>
    <w:p>
      <w:pPr>
        <w:ind w:left="5740"/>
        <w:spacing w:after="0" w:line="219" w:lineRule="auto"/>
        <w:rPr>
          <w:sz w:val="20"/>
          <w:szCs w:val="20"/>
          <w:color w:val="auto"/>
        </w:rPr>
      </w:pPr>
      <w:r>
        <w:rPr>
          <w:rFonts w:ascii="Arial" w:cs="Arial" w:eastAsia="Arial" w:hAnsi="Arial"/>
          <w:sz w:val="13"/>
          <w:szCs w:val="13"/>
          <w:color w:val="auto"/>
        </w:rPr>
        <w:t>1) Read the Proxy Statement.</w:t>
      </w:r>
    </w:p>
    <w:p>
      <w:pPr>
        <w:ind w:left="5740"/>
        <w:spacing w:after="0" w:line="217" w:lineRule="auto"/>
        <w:rPr>
          <w:sz w:val="20"/>
          <w:szCs w:val="20"/>
          <w:color w:val="auto"/>
        </w:rPr>
      </w:pPr>
      <w:r>
        <w:rPr>
          <w:rFonts w:ascii="Arial" w:cs="Arial" w:eastAsia="Arial" w:hAnsi="Arial"/>
          <w:sz w:val="13"/>
          <w:szCs w:val="13"/>
          <w:color w:val="auto"/>
        </w:rPr>
        <w:t>2) Check the appropriate boxes on the proxy card below.</w:t>
      </w:r>
    </w:p>
    <w:p>
      <w:pPr>
        <w:ind w:left="5740"/>
        <w:spacing w:after="0" w:line="216" w:lineRule="auto"/>
        <w:rPr>
          <w:sz w:val="20"/>
          <w:szCs w:val="20"/>
          <w:color w:val="auto"/>
        </w:rPr>
      </w:pPr>
      <w:r>
        <w:rPr>
          <w:rFonts w:ascii="Arial" w:cs="Arial" w:eastAsia="Arial" w:hAnsi="Arial"/>
          <w:sz w:val="13"/>
          <w:szCs w:val="13"/>
          <w:color w:val="auto"/>
        </w:rPr>
        <w:t>3) Sign and date the proxy card.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4) Return the proxy card in the envelope provided.</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The deadline for voting is 12:00 p.m. (CST) on Monday, December 12, 2011.</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Your Vote is Important</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695960</wp:posOffset>
            </wp:positionV>
            <wp:extent cx="222885"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695960</wp:posOffset>
            </wp:positionV>
            <wp:extent cx="22288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327025</wp:posOffset>
            </wp:positionV>
            <wp:extent cx="1543685"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68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Board of Directors Recommends a Vote FOR Items 1, 2 and 3.</w:t>
      </w:r>
    </w:p>
    <w:p>
      <w:pPr>
        <w:spacing w:after="0" w:line="64"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280" w:type="dxa"/>
            <w:vAlign w:val="bottom"/>
          </w:tcPr>
          <w:p>
            <w:pPr>
              <w:ind w:left="80"/>
              <w:spacing w:after="0"/>
              <w:rPr>
                <w:sz w:val="20"/>
                <w:szCs w:val="20"/>
                <w:color w:val="auto"/>
              </w:rPr>
            </w:pPr>
            <w:r>
              <w:rPr>
                <w:rFonts w:ascii="Arial" w:cs="Arial" w:eastAsia="Arial" w:hAnsi="Arial"/>
                <w:sz w:val="14"/>
                <w:szCs w:val="14"/>
                <w:b w:val="1"/>
                <w:bCs w:val="1"/>
                <w:color w:val="auto"/>
              </w:rPr>
              <w:t>1.</w:t>
            </w:r>
          </w:p>
        </w:tc>
        <w:tc>
          <w:tcPr>
            <w:tcW w:w="2260" w:type="dxa"/>
            <w:vAlign w:val="bottom"/>
          </w:tcPr>
          <w:p>
            <w:pPr>
              <w:ind w:left="80"/>
              <w:spacing w:after="0"/>
              <w:rPr>
                <w:sz w:val="20"/>
                <w:szCs w:val="20"/>
                <w:color w:val="auto"/>
              </w:rPr>
            </w:pPr>
            <w:r>
              <w:rPr>
                <w:rFonts w:ascii="Arial" w:cs="Arial" w:eastAsia="Arial" w:hAnsi="Arial"/>
                <w:sz w:val="14"/>
                <w:szCs w:val="14"/>
                <w:color w:val="auto"/>
              </w:rPr>
              <w:t>Election of Class III directors: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600" w:type="dxa"/>
            <w:vAlign w:val="bottom"/>
          </w:tcPr>
          <w:p>
            <w:pPr>
              <w:ind w:left="100"/>
              <w:spacing w:after="0"/>
              <w:rPr>
                <w:sz w:val="20"/>
                <w:szCs w:val="20"/>
                <w:color w:val="auto"/>
              </w:rPr>
            </w:pPr>
            <w:r>
              <w:rPr>
                <w:rFonts w:ascii="Arial" w:cs="Arial" w:eastAsia="Arial" w:hAnsi="Arial"/>
                <w:sz w:val="14"/>
                <w:szCs w:val="14"/>
                <w:color w:val="auto"/>
              </w:rPr>
              <w:t>Robert J. Olson</w:t>
            </w:r>
          </w:p>
        </w:tc>
        <w:tc>
          <w:tcPr>
            <w:tcW w:w="340" w:type="dxa"/>
            <w:vAlign w:val="bottom"/>
          </w:tcPr>
          <w:p>
            <w:pPr>
              <w:ind w:left="180"/>
              <w:spacing w:after="0"/>
              <w:rPr>
                <w:sz w:val="20"/>
                <w:szCs w:val="20"/>
                <w:color w:val="auto"/>
              </w:rPr>
            </w:pPr>
            <w:r>
              <w:rPr>
                <w:rFonts w:ascii="Arial" w:cs="Arial" w:eastAsia="Arial" w:hAnsi="Arial"/>
                <w:sz w:val="16"/>
                <w:szCs w:val="16"/>
                <w:color w:val="auto"/>
              </w:rPr>
              <w:t>o</w:t>
            </w:r>
          </w:p>
        </w:tc>
        <w:tc>
          <w:tcPr>
            <w:tcW w:w="920" w:type="dxa"/>
            <w:vAlign w:val="bottom"/>
          </w:tcPr>
          <w:p>
            <w:pPr>
              <w:ind w:left="100"/>
              <w:spacing w:after="0"/>
              <w:rPr>
                <w:sz w:val="20"/>
                <w:szCs w:val="20"/>
                <w:color w:val="auto"/>
              </w:rPr>
            </w:pPr>
            <w:r>
              <w:rPr>
                <w:rFonts w:ascii="Arial" w:cs="Arial" w:eastAsia="Arial" w:hAnsi="Arial"/>
                <w:sz w:val="14"/>
                <w:szCs w:val="14"/>
                <w:color w:val="auto"/>
              </w:rPr>
              <w:t>Vote FOR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Arial" w:cs="Arial" w:eastAsia="Arial" w:hAnsi="Arial"/>
                <w:sz w:val="16"/>
                <w:szCs w:val="16"/>
                <w:color w:val="auto"/>
              </w:rPr>
              <w:t>o</w:t>
            </w:r>
          </w:p>
        </w:tc>
        <w:tc>
          <w:tcPr>
            <w:tcW w:w="2180" w:type="dxa"/>
            <w:vAlign w:val="bottom"/>
          </w:tcPr>
          <w:p>
            <w:pPr>
              <w:ind w:left="100"/>
              <w:spacing w:after="0"/>
              <w:rPr>
                <w:sz w:val="20"/>
                <w:szCs w:val="20"/>
                <w:color w:val="auto"/>
              </w:rPr>
            </w:pPr>
            <w:r>
              <w:rPr>
                <w:rFonts w:ascii="Arial" w:cs="Arial" w:eastAsia="Arial" w:hAnsi="Arial"/>
                <w:sz w:val="14"/>
                <w:szCs w:val="14"/>
                <w:color w:val="auto"/>
              </w:rPr>
              <w:t>Vote WITHHELD</w:t>
            </w: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2600" w:type="dxa"/>
            <w:vAlign w:val="bottom"/>
          </w:tcPr>
          <w:p>
            <w:pPr>
              <w:ind w:left="100"/>
              <w:spacing w:after="0"/>
              <w:rPr>
                <w:sz w:val="20"/>
                <w:szCs w:val="20"/>
                <w:color w:val="auto"/>
              </w:rPr>
            </w:pPr>
            <w:r>
              <w:rPr>
                <w:rFonts w:ascii="Arial" w:cs="Arial" w:eastAsia="Arial" w:hAnsi="Arial"/>
                <w:sz w:val="14"/>
                <w:szCs w:val="14"/>
                <w:color w:val="auto"/>
              </w:rPr>
              <w:t>Randy J. Potts</w:t>
            </w:r>
          </w:p>
        </w:tc>
        <w:tc>
          <w:tcPr>
            <w:tcW w:w="34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all nominees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from all nominees</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2600" w:type="dxa"/>
            <w:vAlign w:val="bottom"/>
          </w:tcPr>
          <w:p>
            <w:pPr>
              <w:ind w:left="100"/>
              <w:spacing w:after="0"/>
              <w:rPr>
                <w:sz w:val="20"/>
                <w:szCs w:val="20"/>
                <w:color w:val="auto"/>
              </w:rPr>
            </w:pPr>
            <w:r>
              <w:rPr>
                <w:rFonts w:ascii="Arial" w:cs="Arial" w:eastAsia="Arial" w:hAnsi="Arial"/>
                <w:sz w:val="14"/>
                <w:szCs w:val="14"/>
                <w:color w:val="auto"/>
              </w:rPr>
              <w:t>Mark T. Schroepfer</w:t>
            </w:r>
          </w:p>
        </w:tc>
        <w:tc>
          <w:tcPr>
            <w:tcW w:w="340" w:type="dxa"/>
            <w:vAlign w:val="bottom"/>
          </w:tcPr>
          <w:p>
            <w:pPr>
              <w:spacing w:after="0"/>
              <w:rPr>
                <w:sz w:val="23"/>
                <w:szCs w:val="23"/>
                <w:color w:val="auto"/>
              </w:rPr>
            </w:pPr>
          </w:p>
        </w:tc>
        <w:tc>
          <w:tcPr>
            <w:tcW w:w="1980" w:type="dxa"/>
            <w:vAlign w:val="bottom"/>
            <w:gridSpan w:val="3"/>
          </w:tcPr>
          <w:p>
            <w:pPr>
              <w:ind w:left="100"/>
              <w:spacing w:after="0"/>
              <w:rPr>
                <w:sz w:val="20"/>
                <w:szCs w:val="20"/>
                <w:color w:val="auto"/>
              </w:rPr>
            </w:pPr>
            <w:r>
              <w:rPr>
                <w:rFonts w:ascii="Arial" w:cs="Arial" w:eastAsia="Arial" w:hAnsi="Arial"/>
                <w:sz w:val="14"/>
                <w:szCs w:val="14"/>
                <w:color w:val="auto"/>
              </w:rPr>
              <w:t>(except as marked)</w:t>
            </w:r>
          </w:p>
        </w:tc>
        <w:tc>
          <w:tcPr>
            <w:tcW w:w="5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5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(Instructions: To withhold authority to vote any indicated nominee, write the</w:t>
            </w:r>
          </w:p>
        </w:tc>
        <w:tc>
          <w:tcPr>
            <w:tcW w:w="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20" w:type="dxa"/>
            <w:vAlign w:val="bottom"/>
            <w:gridSpan w:val="4"/>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20" w:type="dxa"/>
            <w:vAlign w:val="bottom"/>
            <w:gridSpan w:val="4"/>
          </w:tcPr>
          <w:p>
            <w:pPr>
              <w:spacing w:after="0"/>
              <w:rPr>
                <w:sz w:val="20"/>
                <w:szCs w:val="20"/>
                <w:color w:val="auto"/>
              </w:rPr>
            </w:pPr>
            <w:r>
              <w:rPr>
                <w:rFonts w:ascii="Arial" w:cs="Arial" w:eastAsia="Arial" w:hAnsi="Arial"/>
                <w:sz w:val="14"/>
                <w:szCs w:val="14"/>
                <w:b w:val="1"/>
                <w:bCs w:val="1"/>
                <w:color w:val="auto"/>
              </w:rPr>
              <w:t>number(s) of the nominee(s) in the box provided to the right.)</w:t>
            </w:r>
          </w:p>
        </w:tc>
        <w:tc>
          <w:tcPr>
            <w:tcW w:w="340" w:type="dxa"/>
            <w:vAlign w:val="bottom"/>
            <w:tcBorders>
              <w:right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2.</w:t>
            </w:r>
          </w:p>
        </w:tc>
        <w:tc>
          <w:tcPr>
            <w:tcW w:w="5440" w:type="dxa"/>
            <w:vAlign w:val="bottom"/>
            <w:gridSpan w:val="3"/>
          </w:tcPr>
          <w:p>
            <w:pPr>
              <w:ind w:left="80"/>
              <w:spacing w:after="0"/>
              <w:rPr>
                <w:sz w:val="20"/>
                <w:szCs w:val="20"/>
                <w:color w:val="auto"/>
              </w:rPr>
            </w:pPr>
            <w:r>
              <w:rPr>
                <w:rFonts w:ascii="Arial" w:cs="Arial" w:eastAsia="Arial" w:hAnsi="Arial"/>
                <w:sz w:val="14"/>
                <w:szCs w:val="14"/>
                <w:color w:val="auto"/>
              </w:rPr>
              <w:t>Ratification of the appointment of Deloitte &amp; Touche LLP as Winnebago Industries,</w:t>
            </w:r>
          </w:p>
        </w:tc>
        <w:tc>
          <w:tcPr>
            <w:tcW w:w="340" w:type="dxa"/>
            <w:vAlign w:val="bottom"/>
          </w:tcPr>
          <w:p>
            <w:pPr>
              <w:ind w:left="140"/>
              <w:spacing w:after="0"/>
              <w:rPr>
                <w:sz w:val="20"/>
                <w:szCs w:val="20"/>
                <w:color w:val="auto"/>
              </w:rPr>
            </w:pPr>
            <w:r>
              <w:rPr>
                <w:rFonts w:ascii="Arial" w:cs="Arial" w:eastAsia="Arial" w:hAnsi="Arial"/>
                <w:sz w:val="16"/>
                <w:szCs w:val="16"/>
                <w:color w:val="auto"/>
              </w:rPr>
              <w:t>o</w:t>
            </w:r>
          </w:p>
        </w:tc>
        <w:tc>
          <w:tcPr>
            <w:tcW w:w="920" w:type="dxa"/>
            <w:vAlign w:val="bottom"/>
          </w:tcPr>
          <w:p>
            <w:pPr>
              <w:ind w:left="40"/>
              <w:spacing w:after="0"/>
              <w:rPr>
                <w:sz w:val="20"/>
                <w:szCs w:val="20"/>
                <w:color w:val="auto"/>
              </w:rPr>
            </w:pPr>
            <w:r>
              <w:rPr>
                <w:rFonts w:ascii="Arial" w:cs="Arial" w:eastAsia="Arial" w:hAnsi="Arial"/>
                <w:sz w:val="14"/>
                <w:szCs w:val="14"/>
                <w:color w:val="auto"/>
              </w:rPr>
              <w:t>For</w:t>
            </w:r>
          </w:p>
        </w:tc>
        <w:tc>
          <w:tcPr>
            <w:tcW w:w="160" w:type="dxa"/>
            <w:vAlign w:val="bottom"/>
          </w:tcPr>
          <w:p>
            <w:pPr>
              <w:ind w:left="20"/>
              <w:spacing w:after="0"/>
              <w:rPr>
                <w:sz w:val="20"/>
                <w:szCs w:val="20"/>
                <w:color w:val="auto"/>
              </w:rPr>
            </w:pPr>
            <w:r>
              <w:rPr>
                <w:rFonts w:ascii="Arial" w:cs="Arial" w:eastAsia="Arial" w:hAnsi="Arial"/>
                <w:sz w:val="16"/>
                <w:szCs w:val="16"/>
                <w:color w:val="auto"/>
              </w:rPr>
              <w:t>o</w:t>
            </w:r>
          </w:p>
        </w:tc>
        <w:tc>
          <w:tcPr>
            <w:tcW w:w="900" w:type="dxa"/>
            <w:vAlign w:val="bottom"/>
          </w:tcPr>
          <w:p>
            <w:pPr>
              <w:ind w:left="80"/>
              <w:spacing w:after="0"/>
              <w:rPr>
                <w:sz w:val="20"/>
                <w:szCs w:val="20"/>
                <w:color w:val="auto"/>
              </w:rPr>
            </w:pPr>
            <w:r>
              <w:rPr>
                <w:rFonts w:ascii="Arial" w:cs="Arial" w:eastAsia="Arial" w:hAnsi="Arial"/>
                <w:sz w:val="14"/>
                <w:szCs w:val="14"/>
                <w:color w:val="auto"/>
              </w:rPr>
              <w:t>Against</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180" w:type="dxa"/>
            <w:vAlign w:val="bottom"/>
          </w:tcPr>
          <w:p>
            <w:pPr>
              <w:ind w:left="6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440" w:type="dxa"/>
            <w:vAlign w:val="bottom"/>
            <w:gridSpan w:val="3"/>
          </w:tcPr>
          <w:p>
            <w:pPr>
              <w:ind w:left="80"/>
              <w:spacing w:after="0"/>
              <w:rPr>
                <w:sz w:val="20"/>
                <w:szCs w:val="20"/>
                <w:color w:val="auto"/>
              </w:rPr>
            </w:pPr>
            <w:r>
              <w:rPr>
                <w:rFonts w:ascii="Arial" w:cs="Arial" w:eastAsia="Arial" w:hAnsi="Arial"/>
                <w:sz w:val="14"/>
                <w:szCs w:val="14"/>
                <w:color w:val="auto"/>
              </w:rPr>
              <w:t>Inc. Independent Registered Public Accountants for our fiscal year 2012.</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0"/>
        </w:trPr>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3.</w:t>
            </w:r>
          </w:p>
        </w:tc>
        <w:tc>
          <w:tcPr>
            <w:tcW w:w="5440" w:type="dxa"/>
            <w:vAlign w:val="bottom"/>
            <w:gridSpan w:val="3"/>
          </w:tcPr>
          <w:p>
            <w:pPr>
              <w:ind w:left="80"/>
              <w:spacing w:after="0"/>
              <w:rPr>
                <w:sz w:val="20"/>
                <w:szCs w:val="20"/>
                <w:color w:val="auto"/>
              </w:rPr>
            </w:pPr>
            <w:r>
              <w:rPr>
                <w:rFonts w:ascii="Arial" w:cs="Arial" w:eastAsia="Arial" w:hAnsi="Arial"/>
                <w:sz w:val="14"/>
                <w:szCs w:val="14"/>
                <w:color w:val="auto"/>
              </w:rPr>
              <w:t>Advisory approval of executive compensation, (the "say on pay" vote).</w:t>
            </w:r>
          </w:p>
        </w:tc>
        <w:tc>
          <w:tcPr>
            <w:tcW w:w="340" w:type="dxa"/>
            <w:vAlign w:val="bottom"/>
          </w:tcPr>
          <w:p>
            <w:pPr>
              <w:ind w:left="140"/>
              <w:spacing w:after="0"/>
              <w:rPr>
                <w:sz w:val="20"/>
                <w:szCs w:val="20"/>
                <w:color w:val="auto"/>
              </w:rPr>
            </w:pPr>
            <w:r>
              <w:rPr>
                <w:rFonts w:ascii="Arial" w:cs="Arial" w:eastAsia="Arial" w:hAnsi="Arial"/>
                <w:sz w:val="16"/>
                <w:szCs w:val="16"/>
                <w:color w:val="auto"/>
              </w:rPr>
              <w:t>o</w:t>
            </w:r>
          </w:p>
        </w:tc>
        <w:tc>
          <w:tcPr>
            <w:tcW w:w="920" w:type="dxa"/>
            <w:vAlign w:val="bottom"/>
          </w:tcPr>
          <w:p>
            <w:pPr>
              <w:ind w:left="40"/>
              <w:spacing w:after="0"/>
              <w:rPr>
                <w:sz w:val="20"/>
                <w:szCs w:val="20"/>
                <w:color w:val="auto"/>
              </w:rPr>
            </w:pPr>
            <w:r>
              <w:rPr>
                <w:rFonts w:ascii="Arial" w:cs="Arial" w:eastAsia="Arial" w:hAnsi="Arial"/>
                <w:sz w:val="14"/>
                <w:szCs w:val="14"/>
                <w:color w:val="auto"/>
              </w:rPr>
              <w:t>For</w:t>
            </w:r>
          </w:p>
        </w:tc>
        <w:tc>
          <w:tcPr>
            <w:tcW w:w="160" w:type="dxa"/>
            <w:vAlign w:val="bottom"/>
          </w:tcPr>
          <w:p>
            <w:pPr>
              <w:ind w:left="20"/>
              <w:spacing w:after="0"/>
              <w:rPr>
                <w:sz w:val="20"/>
                <w:szCs w:val="20"/>
                <w:color w:val="auto"/>
              </w:rPr>
            </w:pPr>
            <w:r>
              <w:rPr>
                <w:rFonts w:ascii="Arial" w:cs="Arial" w:eastAsia="Arial" w:hAnsi="Arial"/>
                <w:sz w:val="16"/>
                <w:szCs w:val="16"/>
                <w:color w:val="auto"/>
              </w:rPr>
              <w:t>o</w:t>
            </w:r>
          </w:p>
        </w:tc>
        <w:tc>
          <w:tcPr>
            <w:tcW w:w="900" w:type="dxa"/>
            <w:vAlign w:val="bottom"/>
          </w:tcPr>
          <w:p>
            <w:pPr>
              <w:ind w:left="80"/>
              <w:spacing w:after="0"/>
              <w:rPr>
                <w:sz w:val="20"/>
                <w:szCs w:val="20"/>
                <w:color w:val="auto"/>
              </w:rPr>
            </w:pPr>
            <w:r>
              <w:rPr>
                <w:rFonts w:ascii="Arial" w:cs="Arial" w:eastAsia="Arial" w:hAnsi="Arial"/>
                <w:sz w:val="14"/>
                <w:szCs w:val="14"/>
                <w:color w:val="auto"/>
              </w:rPr>
              <w:t>Against</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180" w:type="dxa"/>
            <w:vAlign w:val="bottom"/>
          </w:tcPr>
          <w:p>
            <w:pPr>
              <w:ind w:left="6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The Board of Directors Recommends a Vote for "1 Year" on Item 4.</w:t>
      </w:r>
    </w:p>
    <w:p>
      <w:pPr>
        <w:spacing w:after="0" w:line="91" w:lineRule="exact"/>
        <w:rPr>
          <w:sz w:val="20"/>
          <w:szCs w:val="20"/>
          <w:color w:val="auto"/>
        </w:rPr>
      </w:pPr>
    </w:p>
    <w:p>
      <w:pPr>
        <w:ind w:left="480"/>
        <w:spacing w:after="0"/>
        <w:tabs>
          <w:tab w:leader="none" w:pos="720" w:val="left"/>
          <w:tab w:leader="none" w:pos="6220" w:val="left"/>
          <w:tab w:leader="none" w:pos="6460" w:val="left"/>
          <w:tab w:leader="none" w:pos="7220" w:val="left"/>
          <w:tab w:leader="none" w:pos="7460" w:val="left"/>
          <w:tab w:leader="none" w:pos="8300" w:val="left"/>
          <w:tab w:leader="none" w:pos="85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Advisory approval on frequency of "say on pay" votes.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1 Year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2 Years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3 Years o  Abstain</w:t>
      </w:r>
    </w:p>
    <w:p>
      <w:pPr>
        <w:spacing w:after="0" w:line="388" w:lineRule="exact"/>
        <w:rPr>
          <w:sz w:val="20"/>
          <w:szCs w:val="20"/>
          <w:color w:val="auto"/>
        </w:rPr>
      </w:pPr>
    </w:p>
    <w:p>
      <w:pPr>
        <w:ind w:left="740" w:hanging="265"/>
        <w:spacing w:after="0"/>
        <w:tabs>
          <w:tab w:leader="none" w:pos="740" w:val="left"/>
        </w:tabs>
        <w:numPr>
          <w:ilvl w:val="0"/>
          <w:numId w:val="58"/>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329" w:lineRule="exact"/>
        <w:rPr>
          <w:sz w:val="20"/>
          <w:szCs w:val="20"/>
          <w:color w:val="auto"/>
        </w:rPr>
      </w:pPr>
    </w:p>
    <w:p>
      <w:pPr>
        <w:ind w:left="380"/>
        <w:spacing w:after="0"/>
        <w:tabs>
          <w:tab w:leader="none" w:pos="1680" w:val="left"/>
          <w:tab w:leader="none" w:pos="2440" w:val="left"/>
          <w:tab w:leader="none" w:pos="2680" w:val="left"/>
          <w:tab w:leader="none" w:pos="8360" w:val="left"/>
        </w:tabs>
        <w:rPr>
          <w:sz w:val="20"/>
          <w:szCs w:val="20"/>
          <w:color w:val="auto"/>
        </w:rPr>
      </w:pPr>
      <w:r>
        <w:rPr>
          <w:rFonts w:ascii="Arial" w:cs="Arial" w:eastAsia="Arial" w:hAnsi="Arial"/>
          <w:sz w:val="14"/>
          <w:szCs w:val="14"/>
          <w:color w:val="auto"/>
        </w:rPr>
        <w:t>Address Change?</w:t>
        <w:tab/>
        <w:t>Mark Box</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Indicate changes below:</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175260</wp:posOffset>
            </wp:positionV>
            <wp:extent cx="2967355"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39433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20955</wp:posOffset>
            </wp:positionV>
            <wp:extent cx="15093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Signature(s) in Box</w:t>
      </w:r>
    </w:p>
    <w:p>
      <w:pPr>
        <w:spacing w:after="0" w:line="55"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Please sign exactly as your name(s) appears on the Proxy. If held in</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joint tenancy, all persons should sign. Trustees, administrators, etc.,</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should include title and authority. Corporations should provide full name</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of corporation and title of authorized officer signing the Proxy.</w:t>
      </w:r>
    </w:p>
    <w:p>
      <w:pPr>
        <w:sectPr>
          <w:pgSz w:w="11900" w:h="16838" w:orient="portrait"/>
          <w:cols w:equalWidth="0" w:num="1">
            <w:col w:w="11140"/>
          </w:cols>
          <w:pgMar w:left="240" w:top="251" w:right="519" w:bottom="1440" w:gutter="0" w:footer="0" w:header="0"/>
        </w:sectPr>
      </w:pPr>
    </w:p>
    <w:bookmarkStart w:id="48" w:name="page49"/>
    <w:bookmarkEnd w:id="48"/>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1358265</wp:posOffset>
            </wp:positionH>
            <wp:positionV relativeFrom="page">
              <wp:posOffset>414655</wp:posOffset>
            </wp:positionV>
            <wp:extent cx="151765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54864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998220</wp:posOffset>
            </wp:positionV>
            <wp:extent cx="2512695" cy="3327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512695" cy="3327400"/>
                    </a:xfrm>
                    <a:prstGeom prst="rect">
                      <a:avLst/>
                    </a:prstGeom>
                    <a:noFill/>
                  </pic:spPr>
                </pic:pic>
              </a:graphicData>
            </a:graphic>
          </wp:anchor>
        </w:drawing>
      </w:r>
    </w:p>
    <w:p>
      <w:pPr>
        <w:jc w:val="center"/>
        <w:ind w:right="5235"/>
        <w:spacing w:after="0"/>
        <w:rPr>
          <w:sz w:val="20"/>
          <w:szCs w:val="20"/>
          <w:color w:val="auto"/>
        </w:rPr>
      </w:pPr>
      <w:r>
        <w:rPr>
          <w:rFonts w:ascii="Arial" w:cs="Arial" w:eastAsia="Arial" w:hAnsi="Arial"/>
          <w:sz w:val="13"/>
          <w:szCs w:val="13"/>
          <w:b w:val="1"/>
          <w:bCs w:val="1"/>
          <w:color w:val="auto"/>
        </w:rPr>
        <w:t>ANNUAL MEETING OF SHAREHOLDERS</w:t>
      </w:r>
    </w:p>
    <w:p>
      <w:pPr>
        <w:spacing w:after="0" w:line="124" w:lineRule="exact"/>
        <w:rPr>
          <w:sz w:val="20"/>
          <w:szCs w:val="20"/>
          <w:color w:val="auto"/>
        </w:rPr>
      </w:pPr>
    </w:p>
    <w:p>
      <w:pPr>
        <w:jc w:val="center"/>
        <w:ind w:right="5235"/>
        <w:spacing w:after="0"/>
        <w:rPr>
          <w:sz w:val="20"/>
          <w:szCs w:val="20"/>
          <w:color w:val="auto"/>
        </w:rPr>
      </w:pPr>
      <w:r>
        <w:rPr>
          <w:rFonts w:ascii="Arial" w:cs="Arial" w:eastAsia="Arial" w:hAnsi="Arial"/>
          <w:sz w:val="16"/>
          <w:szCs w:val="16"/>
          <w:b w:val="1"/>
          <w:bCs w:val="1"/>
          <w:color w:val="auto"/>
        </w:rPr>
        <w:t>Tuesday, December 13, 2011 4:00 p.m. Central Standard Time</w:t>
      </w:r>
    </w:p>
    <w:p>
      <w:pPr>
        <w:spacing w:after="0" w:line="194" w:lineRule="exact"/>
        <w:rPr>
          <w:sz w:val="20"/>
          <w:szCs w:val="20"/>
          <w:color w:val="auto"/>
        </w:rPr>
      </w:pPr>
    </w:p>
    <w:p>
      <w:pPr>
        <w:jc w:val="center"/>
        <w:ind w:right="5235"/>
        <w:spacing w:after="0"/>
        <w:rPr>
          <w:sz w:val="20"/>
          <w:szCs w:val="20"/>
          <w:color w:val="auto"/>
        </w:rPr>
      </w:pPr>
      <w:r>
        <w:rPr>
          <w:rFonts w:ascii="Arial" w:cs="Arial" w:eastAsia="Arial" w:hAnsi="Arial"/>
          <w:sz w:val="16"/>
          <w:szCs w:val="16"/>
          <w:b w:val="1"/>
          <w:bCs w:val="1"/>
          <w:color w:val="auto"/>
        </w:rPr>
        <w:t>Winnebago Industries' South Office Complex Theater,</w:t>
      </w:r>
    </w:p>
    <w:p>
      <w:pPr>
        <w:spacing w:after="0" w:line="25" w:lineRule="exact"/>
        <w:rPr>
          <w:sz w:val="20"/>
          <w:szCs w:val="20"/>
          <w:color w:val="auto"/>
        </w:rPr>
      </w:pPr>
    </w:p>
    <w:p>
      <w:pPr>
        <w:jc w:val="center"/>
        <w:ind w:right="5235"/>
        <w:spacing w:after="0"/>
        <w:rPr>
          <w:sz w:val="20"/>
          <w:szCs w:val="20"/>
          <w:color w:val="auto"/>
        </w:rPr>
      </w:pPr>
      <w:r>
        <w:rPr>
          <w:rFonts w:ascii="Arial" w:cs="Arial" w:eastAsia="Arial" w:hAnsi="Arial"/>
          <w:sz w:val="16"/>
          <w:szCs w:val="16"/>
          <w:b w:val="1"/>
          <w:bCs w:val="1"/>
          <w:color w:val="auto"/>
        </w:rPr>
        <w:t>605 W. Crystal Lake Road, Forest City, Iowa</w:t>
      </w:r>
    </w:p>
    <w:p>
      <w:pPr>
        <w:spacing w:after="0" w:line="238"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DIRECTIONS:</w:t>
      </w:r>
    </w:p>
    <w:p>
      <w:pPr>
        <w:spacing w:after="0" w:line="67" w:lineRule="exact"/>
        <w:rPr>
          <w:sz w:val="20"/>
          <w:szCs w:val="20"/>
          <w:color w:val="auto"/>
        </w:rPr>
      </w:pPr>
    </w:p>
    <w:p>
      <w:pPr>
        <w:ind w:left="185" w:hanging="185"/>
        <w:spacing w:after="0"/>
        <w:tabs>
          <w:tab w:leader="none" w:pos="185"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From I-35</w:t>
      </w:r>
    </w:p>
    <w:p>
      <w:pPr>
        <w:spacing w:after="0" w:line="1" w:lineRule="exact"/>
        <w:rPr>
          <w:rFonts w:ascii="Arial" w:cs="Arial" w:eastAsia="Arial" w:hAnsi="Arial"/>
          <w:sz w:val="13"/>
          <w:szCs w:val="13"/>
          <w:b w:val="1"/>
          <w:bCs w:val="1"/>
          <w:color w:val="auto"/>
        </w:rPr>
      </w:pPr>
    </w:p>
    <w:p>
      <w:pPr>
        <w:ind w:left="205" w:right="6500" w:hanging="35"/>
        <w:spacing w:after="0" w:line="234" w:lineRule="auto"/>
        <w:rPr>
          <w:rFonts w:ascii="Arial" w:cs="Arial" w:eastAsia="Arial" w:hAnsi="Arial"/>
          <w:sz w:val="13"/>
          <w:szCs w:val="13"/>
          <w:b w:val="1"/>
          <w:bCs w:val="1"/>
          <w:color w:val="auto"/>
        </w:rPr>
      </w:pPr>
      <w:r>
        <w:rPr>
          <w:rFonts w:ascii="Arial" w:cs="Arial" w:eastAsia="Arial" w:hAnsi="Arial"/>
          <w:sz w:val="12"/>
          <w:szCs w:val="12"/>
          <w:color w:val="auto"/>
        </w:rPr>
        <w:t>* From I-35, take exit number 203, and turn right (West) on IA-9 towards Forest City. * At Forest City turn left (South) on US-69 at the junction of IA-9 and US-69.</w:t>
      </w:r>
    </w:p>
    <w:p>
      <w:pPr>
        <w:ind w:left="285" w:hanging="88"/>
        <w:spacing w:after="0" w:line="218"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165" w:right="5240" w:firstLine="32"/>
        <w:spacing w:after="0" w:line="230" w:lineRule="auto"/>
        <w:tabs>
          <w:tab w:leader="none" w:pos="284" w:val="left"/>
        </w:tabs>
        <w:numPr>
          <w:ilvl w:val="1"/>
          <w:numId w:val="60"/>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pacing w:after="0" w:line="48" w:lineRule="exact"/>
        <w:rPr>
          <w:rFonts w:ascii="Arial" w:cs="Arial" w:eastAsia="Arial" w:hAnsi="Arial"/>
          <w:sz w:val="13"/>
          <w:szCs w:val="13"/>
          <w:color w:val="auto"/>
        </w:rPr>
      </w:pPr>
    </w:p>
    <w:p>
      <w:pPr>
        <w:ind w:left="185" w:hanging="185"/>
        <w:spacing w:after="0"/>
        <w:tabs>
          <w:tab w:leader="none" w:pos="185"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From I-80</w:t>
      </w:r>
    </w:p>
    <w:p>
      <w:pPr>
        <w:spacing w:after="0" w:line="1" w:lineRule="exact"/>
        <w:rPr>
          <w:rFonts w:ascii="Arial" w:cs="Arial" w:eastAsia="Arial" w:hAnsi="Arial"/>
          <w:sz w:val="13"/>
          <w:szCs w:val="13"/>
          <w:b w:val="1"/>
          <w:bCs w:val="1"/>
          <w:color w:val="auto"/>
        </w:rPr>
      </w:pP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From I-80, take exit number 137B, turning on to I-35 North towards Minneapolis.</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Take exit number 203, IA-9 (West) towards Forest City.</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165" w:right="5240" w:firstLine="32"/>
        <w:spacing w:after="0" w:line="230" w:lineRule="auto"/>
        <w:tabs>
          <w:tab w:leader="none" w:pos="284" w:val="left"/>
        </w:tabs>
        <w:numPr>
          <w:ilvl w:val="1"/>
          <w:numId w:val="60"/>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pacing w:after="0" w:line="48" w:lineRule="exact"/>
        <w:rPr>
          <w:rFonts w:ascii="Arial" w:cs="Arial" w:eastAsia="Arial" w:hAnsi="Arial"/>
          <w:sz w:val="13"/>
          <w:szCs w:val="13"/>
          <w:color w:val="auto"/>
        </w:rPr>
      </w:pPr>
    </w:p>
    <w:p>
      <w:pPr>
        <w:ind w:left="185" w:hanging="185"/>
        <w:spacing w:after="0"/>
        <w:tabs>
          <w:tab w:leader="none" w:pos="185"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From I-90</w:t>
      </w:r>
    </w:p>
    <w:p>
      <w:pPr>
        <w:spacing w:after="0" w:line="1" w:lineRule="exact"/>
        <w:rPr>
          <w:rFonts w:ascii="Arial" w:cs="Arial" w:eastAsia="Arial" w:hAnsi="Arial"/>
          <w:sz w:val="13"/>
          <w:szCs w:val="13"/>
          <w:b w:val="1"/>
          <w:bCs w:val="1"/>
          <w:color w:val="auto"/>
        </w:rPr>
      </w:pP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From I-90, take exit number 159A, turning on to I-35 South towards Albert Lea.</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Exit I-35 on exit number 203, IA-9 right (West) towards Forest City.</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285" w:hanging="88"/>
        <w:spacing w:after="0" w:line="216" w:lineRule="auto"/>
        <w:tabs>
          <w:tab w:leader="none" w:pos="2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165" w:right="5240" w:firstLine="32"/>
        <w:spacing w:after="0" w:line="230" w:lineRule="auto"/>
        <w:tabs>
          <w:tab w:leader="none" w:pos="284" w:val="left"/>
        </w:tabs>
        <w:numPr>
          <w:ilvl w:val="1"/>
          <w:numId w:val="60"/>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ectPr>
          <w:pgSz w:w="11900" w:h="16838" w:orient="portrait"/>
          <w:cols w:equalWidth="0" w:num="1">
            <w:col w:w="11345"/>
          </w:cols>
          <w:pgMar w:left="275"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5"/>
        <w:spacing w:after="0"/>
        <w:rPr>
          <w:sz w:val="20"/>
          <w:szCs w:val="20"/>
          <w:color w:val="auto"/>
        </w:rPr>
      </w:pPr>
      <w:r>
        <w:rPr>
          <w:rFonts w:ascii="Arial" w:cs="Arial" w:eastAsia="Arial" w:hAnsi="Arial"/>
          <w:sz w:val="12"/>
          <w:szCs w:val="12"/>
          <w:b w:val="1"/>
          <w:bCs w:val="1"/>
          <w:color w:val="auto"/>
        </w:rPr>
        <w:t>Winnebago Industries, Inc.</w:t>
      </w:r>
    </w:p>
    <w:p>
      <w:pPr>
        <w:spacing w:after="0" w:line="13" w:lineRule="exact"/>
        <w:rPr>
          <w:sz w:val="20"/>
          <w:szCs w:val="20"/>
          <w:color w:val="auto"/>
        </w:rPr>
      </w:pPr>
    </w:p>
    <w:p>
      <w:pPr>
        <w:ind w:left="125"/>
        <w:spacing w:after="0"/>
        <w:rPr>
          <w:sz w:val="20"/>
          <w:szCs w:val="20"/>
          <w:color w:val="auto"/>
        </w:rPr>
      </w:pPr>
      <w:r>
        <w:rPr>
          <w:rFonts w:ascii="Arial" w:cs="Arial" w:eastAsia="Arial" w:hAnsi="Arial"/>
          <w:sz w:val="13"/>
          <w:szCs w:val="13"/>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12065</wp:posOffset>
            </wp:positionV>
            <wp:extent cx="70834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45" w:lineRule="exact"/>
        <w:rPr>
          <w:sz w:val="20"/>
          <w:szCs w:val="20"/>
          <w:color w:val="auto"/>
        </w:rPr>
      </w:pPr>
    </w:p>
    <w:p>
      <w:pPr>
        <w:sectPr>
          <w:pgSz w:w="11900" w:h="16838" w:orient="portrait"/>
          <w:cols w:equalWidth="0" w:num="2">
            <w:col w:w="9825" w:space="720"/>
            <w:col w:w="800"/>
          </w:cols>
          <w:pgMar w:left="275" w:top="1440" w:right="279" w:bottom="1440" w:gutter="0" w:footer="0" w:header="0"/>
          <w:type w:val="continuous"/>
        </w:sectPr>
      </w:pPr>
    </w:p>
    <w:p>
      <w:pPr>
        <w:ind w:left="145"/>
        <w:spacing w:after="0"/>
        <w:rPr>
          <w:sz w:val="20"/>
          <w:szCs w:val="20"/>
          <w:color w:val="auto"/>
        </w:rPr>
      </w:pPr>
      <w:r>
        <w:rPr>
          <w:rFonts w:ascii="Arial" w:cs="Arial" w:eastAsia="Arial" w:hAnsi="Arial"/>
          <w:sz w:val="18"/>
          <w:szCs w:val="18"/>
          <w:b w:val="1"/>
          <w:bCs w:val="1"/>
          <w:color w:val="auto"/>
        </w:rPr>
        <w:t>Proxy solicited on behalf of the Board of Directors of the Company for Annual Meeting on December 13, 2011.</w:t>
      </w:r>
    </w:p>
    <w:p>
      <w:pPr>
        <w:spacing w:after="0" w:line="196" w:lineRule="exact"/>
        <w:rPr>
          <w:sz w:val="20"/>
          <w:szCs w:val="20"/>
          <w:color w:val="auto"/>
        </w:rPr>
      </w:pPr>
    </w:p>
    <w:p>
      <w:pPr>
        <w:ind w:left="145"/>
        <w:spacing w:after="0" w:line="251" w:lineRule="auto"/>
        <w:rPr>
          <w:sz w:val="20"/>
          <w:szCs w:val="20"/>
          <w:color w:val="auto"/>
        </w:rPr>
      </w:pPr>
      <w:r>
        <w:rPr>
          <w:rFonts w:ascii="Arial" w:cs="Arial" w:eastAsia="Arial" w:hAnsi="Arial"/>
          <w:sz w:val="16"/>
          <w:szCs w:val="16"/>
          <w:color w:val="auto"/>
        </w:rPr>
        <w:t>The undersigned hereby appoints Robert J. Olson and Raymond M. Beebe,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13th day of December, 2011,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4"/>
        <w:spacing w:after="0"/>
        <w:rPr>
          <w:sz w:val="20"/>
          <w:szCs w:val="20"/>
          <w:color w:val="auto"/>
        </w:rPr>
      </w:pPr>
      <w:r>
        <w:rPr>
          <w:rFonts w:ascii="Arial" w:cs="Arial" w:eastAsia="Arial" w:hAnsi="Arial"/>
          <w:sz w:val="13"/>
          <w:szCs w:val="13"/>
          <w:i w:val="1"/>
          <w:iCs w:val="1"/>
          <w:color w:val="auto"/>
        </w:rPr>
        <w:t>(Continued, and to be signed and dated, on the other side.)</w:t>
      </w:r>
    </w:p>
    <w:sectPr>
      <w:pgSz w:w="11900" w:h="16838" w:orient="portrait"/>
      <w:cols w:equalWidth="0" w:num="1">
        <w:col w:w="11345"/>
      </w:cols>
      <w:pgMar w:left="275" w:top="14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o"/>
      <w:numFmt w:val="bullet"/>
      <w:start w:val="1"/>
    </w:lvl>
  </w:abstractNum>
  <w:abstractNum w:abstractNumId="1">
    <w:nsid w:val="7C3DBD3D"/>
    <w:multiLevelType w:val="hybridMultilevel"/>
    <w:lvl w:ilvl="0">
      <w:lvlJc w:val="left"/>
      <w:lvlText w:val="x"/>
      <w:numFmt w:val="bullet"/>
      <w:start w:val="1"/>
    </w:lvl>
  </w:abstractNum>
  <w:abstractNum w:abstractNumId="2">
    <w:nsid w:val="737B8DDC"/>
    <w:multiLevelType w:val="hybridMultilevel"/>
    <w:lvl w:ilvl="0">
      <w:lvlJc w:val="left"/>
      <w:lvlText w:val="o"/>
      <w:numFmt w:val="bullet"/>
      <w:start w:val="1"/>
    </w:lvl>
    <w:lvl w:ilvl="1">
      <w:lvlJc w:val="left"/>
      <w:lvlText w:val="(%2)"/>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lowerRoman"/>
      <w:start w:val="3"/>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lvl w:ilvl="1">
      <w:lvlJc w:val="left"/>
      <w:lvlText w:val="(%2)"/>
      <w:numFmt w:val="lowerRoman"/>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3"/>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5"/>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4"/>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lvl w:ilvl="1">
      <w:lvlJc w:val="left"/>
      <w:lvlText w:val="•"/>
      <w:numFmt w:val="bullet"/>
      <w:start w:val="1"/>
    </w:lvl>
  </w:abstractNum>
  <w:abstractNum w:abstractNumId="53">
    <w:nsid w:val="1CF10FD8"/>
    <w:multiLevelType w:val="hybridMultilevel"/>
    <w:lvl w:ilvl="0">
      <w:lvlJc w:val="left"/>
      <w:lvlText w:val="%1."/>
      <w:numFmt w:val="decimal"/>
      <w:start w:val="4"/>
    </w:lvl>
    <w:lvl w:ilvl="1">
      <w:lvlJc w:val="left"/>
      <w:lvlText w:val="(%2)"/>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5"/>
    </w:lvl>
  </w:abstractNum>
  <w:abstractNum w:abstractNumId="56">
    <w:nsid w:val="47398C89"/>
    <w:multiLevelType w:val="hybridMultilevel"/>
    <w:lvl w:ilvl="0">
      <w:lvlJc w:val="left"/>
      <w:lvlText w:val="%1."/>
      <w:numFmt w:val="decimal"/>
      <w:start w:val="6"/>
    </w:lvl>
    <w:lvl w:ilvl="1">
      <w:lvlJc w:val="left"/>
      <w:lvlText w:val="(%2)"/>
      <w:numFmt w:val="decimal"/>
      <w:start w:val="1"/>
    </w:lvl>
  </w:abstractNum>
  <w:abstractNum w:abstractNumId="57">
    <w:nsid w:val="354FE9F9"/>
    <w:multiLevelType w:val="hybridMultilevel"/>
    <w:lvl w:ilvl="0">
      <w:lvlJc w:val="left"/>
      <w:lvlText w:val="%1."/>
      <w:numFmt w:val="decimal"/>
      <w:start w:val="5"/>
    </w:lvl>
  </w:abstractNum>
  <w:abstractNum w:abstractNumId="58">
    <w:nsid w:val="15B5AF5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9">
    <w:nsid w:val="741226B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2019-12-10T04:07:22Z</dcterms:created>
  <dcterms:modified xsi:type="dcterms:W3CDTF">2019-12-10T04:07:22Z</dcterms:modified>
</cp:coreProperties>
</file>