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For the quarterly period ended June 1, 2013</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31750</wp:posOffset>
            </wp:positionV>
            <wp:extent cx="227266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June 27, 2013 was 27,922,110.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gridSpan w:val="9"/>
          </w:tcPr>
          <w:p>
            <w:pPr>
              <w:jc w:val="center"/>
              <w:ind w:right="20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54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Glossary</w:t>
              </w:r>
            </w:hyperlink>
          </w:p>
        </w:tc>
        <w:tc>
          <w:tcPr>
            <w:tcW w:w="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FF"/>
                <w:w w:val="95"/>
              </w:rPr>
              <w:t>PART I</w:t>
            </w:r>
          </w:p>
        </w:tc>
        <w:tc>
          <w:tcPr>
            <w:tcW w:w="400" w:type="dxa"/>
            <w:vAlign w:val="bottom"/>
            <w:gridSpan w:val="4"/>
          </w:tcPr>
          <w:p>
            <w:pPr>
              <w:spacing w:after="0"/>
              <w:rPr>
                <w:sz w:val="24"/>
                <w:szCs w:val="24"/>
                <w:color w:val="auto"/>
              </w:rPr>
            </w:pPr>
          </w:p>
        </w:tc>
        <w:tc>
          <w:tcPr>
            <w:tcW w:w="6360" w:type="dxa"/>
            <w:vAlign w:val="bottom"/>
            <w:gridSpan w:val="30"/>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FINANCIAL INFORMATION</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400" w:type="dxa"/>
            <w:vAlign w:val="bottom"/>
            <w:gridSpan w:val="4"/>
          </w:tcPr>
          <w:p>
            <w:pPr>
              <w:spacing w:after="0"/>
              <w:rPr>
                <w:sz w:val="19"/>
                <w:szCs w:val="19"/>
                <w:color w:val="auto"/>
              </w:rPr>
            </w:pPr>
          </w:p>
        </w:tc>
        <w:tc>
          <w:tcPr>
            <w:tcW w:w="6360" w:type="dxa"/>
            <w:vAlign w:val="bottom"/>
            <w:gridSpan w:val="30"/>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Borders>
              <w:bottom w:val="single" w:sz="8" w:color="0000FF"/>
            </w:tcBorders>
            <w:gridSpan w:val="2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Operations and Comprehensive Income</w:t>
              </w:r>
            </w:hyperlink>
          </w:p>
        </w:tc>
        <w:tc>
          <w:tcPr>
            <w:tcW w:w="12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FF"/>
            </w:tcBorders>
            <w:gridSpan w:val="1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Statements of Cash Flows</w:t>
              </w:r>
            </w:hyperlink>
          </w:p>
        </w:tc>
        <w:tc>
          <w:tcPr>
            <w:tcW w:w="3240" w:type="dxa"/>
            <w:vAlign w:val="bottom"/>
            <w:gridSpan w:val="1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9"/>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Consolidated Notes to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10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1: Basis of Presentation</w:t>
              </w:r>
            </w:hyperlink>
          </w:p>
        </w:tc>
        <w:tc>
          <w:tcPr>
            <w:tcW w:w="820" w:type="dxa"/>
            <w:vAlign w:val="bottom"/>
            <w:tcBorders>
              <w:top w:val="single" w:sz="8" w:color="0000FF"/>
            </w:tcBorders>
            <w:gridSpan w:val="5"/>
          </w:tcPr>
          <w:p>
            <w:pPr>
              <w:spacing w:after="0"/>
              <w:rPr>
                <w:sz w:val="21"/>
                <w:szCs w:val="21"/>
                <w:color w:val="auto"/>
              </w:rPr>
            </w:pPr>
          </w:p>
        </w:tc>
        <w:tc>
          <w:tcPr>
            <w:tcW w:w="298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3: Fair Value Measurements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4: Investments</w:t>
              </w:r>
            </w:hyperlink>
          </w:p>
        </w:tc>
        <w:tc>
          <w:tcPr>
            <w:tcW w:w="960" w:type="dxa"/>
            <w:vAlign w:val="bottom"/>
            <w:tcBorders>
              <w:top w:val="single" w:sz="8" w:color="0000FF"/>
            </w:tcBorders>
            <w:gridSpan w:val="9"/>
          </w:tcPr>
          <w:p>
            <w:pPr>
              <w:spacing w:after="0"/>
              <w:rPr>
                <w:sz w:val="21"/>
                <w:szCs w:val="21"/>
                <w:color w:val="auto"/>
              </w:rPr>
            </w:pPr>
          </w:p>
        </w:tc>
        <w:tc>
          <w:tcPr>
            <w:tcW w:w="350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FF"/>
            </w:tcBorders>
            <w:gridSpan w:val="6"/>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5: Inventories</w:t>
              </w:r>
            </w:hyperlink>
          </w:p>
        </w:tc>
        <w:tc>
          <w:tcPr>
            <w:tcW w:w="4540" w:type="dxa"/>
            <w:vAlign w:val="bottom"/>
            <w:gridSpan w:val="2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6: Property, Plant and Equipment and Assets Held for Sale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80" w:type="dxa"/>
            <w:vAlign w:val="bottom"/>
            <w:tcBorders>
              <w:top w:val="single" w:sz="8" w:color="0000FF"/>
            </w:tcBorders>
            <w:gridSpan w:val="26"/>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7: Goodwill and Other Intangible Assets</w:t>
              </w:r>
            </w:hyperlink>
          </w:p>
        </w:tc>
        <w:tc>
          <w:tcPr>
            <w:tcW w:w="132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8: Credit Facilities</w:t>
              </w:r>
            </w:hyperlink>
          </w:p>
        </w:tc>
        <w:tc>
          <w:tcPr>
            <w:tcW w:w="1540" w:type="dxa"/>
            <w:vAlign w:val="bottom"/>
            <w:tcBorders>
              <w:top w:val="single" w:sz="8" w:color="0000FF"/>
            </w:tcBorders>
            <w:gridSpan w:val="12"/>
          </w:tcPr>
          <w:p>
            <w:pPr>
              <w:spacing w:after="0"/>
              <w:rPr>
                <w:sz w:val="21"/>
                <w:szCs w:val="21"/>
                <w:color w:val="auto"/>
              </w:rPr>
            </w:pPr>
          </w:p>
        </w:tc>
        <w:tc>
          <w:tcPr>
            <w:tcW w:w="26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11">
              <w:r>
                <w:rPr>
                  <w:rFonts w:ascii="Arial" w:cs="Arial" w:eastAsia="Arial" w:hAnsi="Arial"/>
                  <w:sz w:val="16"/>
                  <w:szCs w:val="16"/>
                  <w:color w:val="0000FF"/>
                  <w:w w:val="99"/>
                </w:rPr>
                <w:t>Note 9: Warranty</w:t>
              </w:r>
            </w:hyperlink>
          </w:p>
        </w:tc>
        <w:tc>
          <w:tcPr>
            <w:tcW w:w="4680" w:type="dxa"/>
            <w:vAlign w:val="bottom"/>
            <w:gridSpan w:val="2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10: Employee and Retiree Benefits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11: Stock-Based Compensation Plans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12: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9"/>
              </w:rPr>
            </w:pPr>
            <w:hyperlink w:anchor="page13">
              <w:r>
                <w:rPr>
                  <w:rFonts w:ascii="Arial" w:cs="Arial" w:eastAsia="Arial" w:hAnsi="Arial"/>
                  <w:sz w:val="16"/>
                  <w:szCs w:val="16"/>
                  <w:color w:val="0000FF"/>
                  <w:w w:val="99"/>
                </w:rPr>
                <w:t>Note 13: Income Taxes</w:t>
              </w:r>
            </w:hyperlink>
          </w:p>
        </w:tc>
        <w:tc>
          <w:tcPr>
            <w:tcW w:w="1840" w:type="dxa"/>
            <w:vAlign w:val="bottom"/>
            <w:tcBorders>
              <w:top w:val="single" w:sz="8" w:color="0000FF"/>
            </w:tcBorders>
            <w:gridSpan w:val="14"/>
          </w:tcPr>
          <w:p>
            <w:pPr>
              <w:spacing w:after="0"/>
              <w:rPr>
                <w:sz w:val="21"/>
                <w:szCs w:val="21"/>
                <w:color w:val="auto"/>
              </w:rPr>
            </w:pPr>
          </w:p>
        </w:tc>
        <w:tc>
          <w:tcPr>
            <w:tcW w:w="240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Note 14: Earnings Per Share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Note 15: Subsequent Event</w:t>
              </w:r>
            </w:hyperlink>
          </w:p>
        </w:tc>
        <w:tc>
          <w:tcPr>
            <w:tcW w:w="80" w:type="dxa"/>
            <w:vAlign w:val="bottom"/>
            <w:tcBorders>
              <w:top w:val="single" w:sz="8" w:color="0000FF"/>
            </w:tcBorders>
          </w:tcPr>
          <w:p>
            <w:pPr>
              <w:spacing w:after="0"/>
              <w:rPr>
                <w:sz w:val="21"/>
                <w:szCs w:val="21"/>
                <w:color w:val="auto"/>
              </w:rPr>
            </w:pPr>
          </w:p>
        </w:tc>
        <w:tc>
          <w:tcPr>
            <w:tcW w:w="3840" w:type="dxa"/>
            <w:vAlign w:val="bottom"/>
            <w:gridSpan w:val="14"/>
          </w:tcPr>
          <w:p>
            <w:pPr>
              <w:spacing w:after="0"/>
              <w:rPr>
                <w:sz w:val="21"/>
                <w:szCs w:val="21"/>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FF"/>
            </w:tcBorders>
            <w:gridSpan w:val="30"/>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Management's Discussion and Analysis of Financial Condition and Results of Operations</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26"/>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Quantitative and Qualitative Disclosures About Market Risk</w:t>
              </w:r>
            </w:hyperlink>
          </w:p>
        </w:tc>
        <w:tc>
          <w:tcPr>
            <w:tcW w:w="2120" w:type="dxa"/>
            <w:vAlign w:val="bottom"/>
            <w:gridSpan w:val="4"/>
          </w:tcPr>
          <w:p>
            <w:pPr>
              <w:spacing w:after="0"/>
              <w:rPr>
                <w:sz w:val="19"/>
                <w:szCs w:val="19"/>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30"/>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Controls and Procedures</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24">
              <w:r>
                <w:rPr>
                  <w:rFonts w:ascii="Arial" w:cs="Arial" w:eastAsia="Arial" w:hAnsi="Arial"/>
                  <w:sz w:val="16"/>
                  <w:szCs w:val="16"/>
                  <w:b w:val="1"/>
                  <w:bCs w:val="1"/>
                  <w:color w:val="0000FF"/>
                  <w:w w:val="94"/>
                </w:rPr>
                <w:t>PART II</w:t>
              </w:r>
            </w:hyperlink>
          </w:p>
        </w:tc>
        <w:tc>
          <w:tcPr>
            <w:tcW w:w="360" w:type="dxa"/>
            <w:vAlign w:val="bottom"/>
            <w:gridSpan w:val="3"/>
          </w:tcPr>
          <w:p>
            <w:pPr>
              <w:spacing w:after="0"/>
              <w:rPr>
                <w:sz w:val="24"/>
                <w:szCs w:val="24"/>
                <w:color w:val="auto"/>
              </w:rPr>
            </w:pPr>
          </w:p>
        </w:tc>
        <w:tc>
          <w:tcPr>
            <w:tcW w:w="1740" w:type="dxa"/>
            <w:vAlign w:val="bottom"/>
            <w:tcBorders>
              <w:top w:val="single" w:sz="8" w:color="0000FF"/>
              <w:bottom w:val="single" w:sz="8" w:color="0000FF"/>
            </w:tcBorders>
            <w:gridSpan w:val="6"/>
          </w:tcPr>
          <w:p>
            <w:pPr>
              <w:spacing w:after="0"/>
              <w:rPr>
                <w:rFonts w:ascii="Arial" w:cs="Arial" w:eastAsia="Arial" w:hAnsi="Arial"/>
                <w:sz w:val="16"/>
                <w:szCs w:val="16"/>
                <w:b w:val="1"/>
                <w:bCs w:val="1"/>
                <w:color w:val="0000FF"/>
                <w:w w:val="99"/>
              </w:rPr>
            </w:pPr>
            <w:hyperlink w:anchor="page24">
              <w:r>
                <w:rPr>
                  <w:rFonts w:ascii="Arial" w:cs="Arial" w:eastAsia="Arial" w:hAnsi="Arial"/>
                  <w:sz w:val="16"/>
                  <w:szCs w:val="16"/>
                  <w:b w:val="1"/>
                  <w:bCs w:val="1"/>
                  <w:color w:val="0000FF"/>
                  <w:w w:val="99"/>
                </w:rPr>
                <w:t>OTHER INFORMATION</w:t>
              </w:r>
            </w:hyperlink>
          </w:p>
        </w:tc>
        <w:tc>
          <w:tcPr>
            <w:tcW w:w="40" w:type="dxa"/>
            <w:vAlign w:val="bottom"/>
            <w:tcBorders>
              <w:top w:val="single" w:sz="8" w:color="0000FF"/>
            </w:tcBorders>
          </w:tcPr>
          <w:p>
            <w:pPr>
              <w:spacing w:after="0"/>
              <w:rPr>
                <w:sz w:val="24"/>
                <w:szCs w:val="24"/>
                <w:color w:val="auto"/>
              </w:rPr>
            </w:pPr>
          </w:p>
        </w:tc>
        <w:tc>
          <w:tcPr>
            <w:tcW w:w="4580" w:type="dxa"/>
            <w:vAlign w:val="bottom"/>
            <w:gridSpan w:val="23"/>
          </w:tcPr>
          <w:p>
            <w:pPr>
              <w:spacing w:after="0"/>
              <w:rPr>
                <w:sz w:val="24"/>
                <w:szCs w:val="24"/>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24">
              <w:r>
                <w:rPr>
                  <w:rFonts w:ascii="Arial" w:cs="Arial" w:eastAsia="Arial" w:hAnsi="Arial"/>
                  <w:sz w:val="16"/>
                  <w:szCs w:val="16"/>
                  <w:color w:val="0000FF"/>
                  <w:w w:val="99"/>
                </w:rPr>
                <w:t>Legal Proceedings</w:t>
              </w:r>
            </w:hyperlink>
          </w:p>
        </w:tc>
        <w:tc>
          <w:tcPr>
            <w:tcW w:w="5020" w:type="dxa"/>
            <w:vAlign w:val="bottom"/>
            <w:gridSpan w:val="26"/>
          </w:tcPr>
          <w:p>
            <w:pPr>
              <w:spacing w:after="0"/>
              <w:rPr>
                <w:sz w:val="21"/>
                <w:szCs w:val="21"/>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30"/>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Unregistered Sales of Equity Securities and Use of Proceeds</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FF"/>
            </w:tcBorders>
            <w:gridSpan w:val="27"/>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Exhibits</w:t>
              </w:r>
            </w:hyperlink>
          </w:p>
        </w:tc>
        <w:tc>
          <w:tcPr>
            <w:tcW w:w="2000" w:type="dxa"/>
            <w:vAlign w:val="bottom"/>
            <w:gridSpan w:val="3"/>
          </w:tcPr>
          <w:p>
            <w:pPr>
              <w:spacing w:after="0"/>
              <w:rPr>
                <w:sz w:val="19"/>
                <w:szCs w:val="19"/>
                <w:color w:val="auto"/>
              </w:rPr>
            </w:pPr>
          </w:p>
        </w:tc>
      </w:tr>
      <w:tr>
        <w:trPr>
          <w:trHeight w:val="223"/>
        </w:trPr>
        <w:tc>
          <w:tcPr>
            <w:tcW w:w="920" w:type="dxa"/>
            <w:vAlign w:val="bottom"/>
            <w:gridSpan w:val="5"/>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Signatures</w:t>
              </w:r>
            </w:hyperlink>
          </w:p>
        </w:tc>
        <w:tc>
          <w:tcPr>
            <w:tcW w:w="2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23</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ARS</w:t>
            </w:r>
          </w:p>
        </w:tc>
        <w:tc>
          <w:tcPr>
            <w:tcW w:w="9640" w:type="dxa"/>
            <w:vAlign w:val="bottom"/>
          </w:tcPr>
          <w:p>
            <w:pPr>
              <w:ind w:left="4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ASP</w:t>
            </w:r>
          </w:p>
        </w:tc>
        <w:tc>
          <w:tcPr>
            <w:tcW w:w="9640" w:type="dxa"/>
            <w:vAlign w:val="bottom"/>
          </w:tcPr>
          <w:p>
            <w:pPr>
              <w:ind w:left="4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COLI</w:t>
            </w:r>
          </w:p>
        </w:tc>
        <w:tc>
          <w:tcPr>
            <w:tcW w:w="9640" w:type="dxa"/>
            <w:vAlign w:val="bottom"/>
          </w:tcPr>
          <w:p>
            <w:pPr>
              <w:ind w:left="4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rPr>
                <w:sz w:val="16"/>
                <w:szCs w:val="16"/>
                <w:color w:val="auto"/>
              </w:rPr>
            </w:pP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 Borrowers, and General Electric Capital Corporation, as Agent</w:t>
            </w:r>
          </w:p>
        </w:tc>
        <w:tc>
          <w:tcPr>
            <w:tcW w:w="0" w:type="dxa"/>
            <w:vAlign w:val="bottom"/>
          </w:tcPr>
          <w:p>
            <w:pPr>
              <w:spacing w:after="0"/>
              <w:rPr>
                <w:sz w:val="1"/>
                <w:szCs w:val="1"/>
                <w:color w:val="auto"/>
              </w:rPr>
            </w:pPr>
          </w:p>
        </w:tc>
      </w:tr>
      <w:tr>
        <w:trPr>
          <w:trHeight w:val="74"/>
        </w:trPr>
        <w:tc>
          <w:tcPr>
            <w:tcW w:w="1780" w:type="dxa"/>
            <w:vAlign w:val="bottom"/>
            <w:shd w:val="clear" w:color="auto" w:fill="CCEEFF"/>
          </w:tcPr>
          <w:p>
            <w:pPr>
              <w:spacing w:after="0"/>
              <w:rPr>
                <w:sz w:val="6"/>
                <w:szCs w:val="6"/>
                <w:color w:val="auto"/>
              </w:rPr>
            </w:pPr>
          </w:p>
        </w:tc>
        <w:tc>
          <w:tcPr>
            <w:tcW w:w="9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DCF</w:t>
            </w:r>
          </w:p>
        </w:tc>
        <w:tc>
          <w:tcPr>
            <w:tcW w:w="9640" w:type="dxa"/>
            <w:vAlign w:val="bottom"/>
          </w:tcPr>
          <w:p>
            <w:pPr>
              <w:ind w:left="48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FIFO</w:t>
            </w:r>
          </w:p>
        </w:tc>
        <w:tc>
          <w:tcPr>
            <w:tcW w:w="9640" w:type="dxa"/>
            <w:vAlign w:val="bottom"/>
          </w:tcPr>
          <w:p>
            <w:pPr>
              <w:ind w:left="4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224"/>
        </w:trPr>
        <w:tc>
          <w:tcPr>
            <w:tcW w:w="178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640" w:type="dxa"/>
            <w:vAlign w:val="bottom"/>
          </w:tcPr>
          <w:p>
            <w:pPr>
              <w:ind w:left="4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1780" w:type="dxa"/>
            <w:vAlign w:val="bottom"/>
            <w:vMerge w:val="continue"/>
          </w:tcPr>
          <w:p>
            <w:pPr>
              <w:spacing w:after="0"/>
              <w:rPr>
                <w:sz w:val="5"/>
                <w:szCs w:val="5"/>
                <w:color w:val="auto"/>
              </w:rPr>
            </w:pPr>
          </w:p>
        </w:tc>
        <w:tc>
          <w:tcPr>
            <w:tcW w:w="9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LIBOR</w:t>
            </w:r>
          </w:p>
        </w:tc>
        <w:tc>
          <w:tcPr>
            <w:tcW w:w="9640" w:type="dxa"/>
            <w:vAlign w:val="bottom"/>
          </w:tcPr>
          <w:p>
            <w:pPr>
              <w:ind w:left="4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218"/>
        </w:trPr>
        <w:tc>
          <w:tcPr>
            <w:tcW w:w="1780" w:type="dxa"/>
            <w:vAlign w:val="bottom"/>
          </w:tcPr>
          <w:p>
            <w:pPr>
              <w:ind w:left="40"/>
              <w:spacing w:after="0"/>
              <w:rPr>
                <w:sz w:val="20"/>
                <w:szCs w:val="20"/>
                <w:color w:val="auto"/>
              </w:rPr>
            </w:pPr>
            <w:r>
              <w:rPr>
                <w:rFonts w:ascii="Arial" w:cs="Arial" w:eastAsia="Arial" w:hAnsi="Arial"/>
                <w:sz w:val="16"/>
                <w:szCs w:val="16"/>
                <w:color w:val="auto"/>
              </w:rPr>
              <w:t>Loan Agreement</w:t>
            </w:r>
          </w:p>
        </w:tc>
        <w:tc>
          <w:tcPr>
            <w:tcW w:w="9640" w:type="dxa"/>
            <w:vAlign w:val="bottom"/>
          </w:tcPr>
          <w:p>
            <w:pPr>
              <w:ind w:left="48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9640" w:type="dxa"/>
            <w:vAlign w:val="bottom"/>
          </w:tcPr>
          <w:p>
            <w:pPr>
              <w:ind w:left="480"/>
              <w:spacing w:after="0"/>
              <w:rPr>
                <w:sz w:val="20"/>
                <w:szCs w:val="20"/>
                <w:color w:val="auto"/>
              </w:rPr>
            </w:pPr>
            <w:r>
              <w:rPr>
                <w:rFonts w:ascii="Arial" w:cs="Arial" w:eastAsia="Arial" w:hAnsi="Arial"/>
                <w:sz w:val="16"/>
                <w:szCs w:val="16"/>
                <w:color w:val="auto"/>
              </w:rPr>
              <w:t>National Association, as successor to Burdale Capital Finance, Inc., as Agent</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NYSE</w:t>
            </w:r>
          </w:p>
        </w:tc>
        <w:tc>
          <w:tcPr>
            <w:tcW w:w="9640" w:type="dxa"/>
            <w:vAlign w:val="bottom"/>
          </w:tcPr>
          <w:p>
            <w:pPr>
              <w:ind w:left="4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RVIA</w:t>
            </w:r>
          </w:p>
        </w:tc>
        <w:tc>
          <w:tcPr>
            <w:tcW w:w="9640" w:type="dxa"/>
            <w:vAlign w:val="bottom"/>
          </w:tcPr>
          <w:p>
            <w:pPr>
              <w:ind w:left="4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SERP</w:t>
            </w:r>
          </w:p>
        </w:tc>
        <w:tc>
          <w:tcPr>
            <w:tcW w:w="9640" w:type="dxa"/>
            <w:vAlign w:val="bottom"/>
          </w:tcPr>
          <w:p>
            <w:pPr>
              <w:ind w:left="4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640" w:type="dxa"/>
            <w:vAlign w:val="bottom"/>
          </w:tcPr>
          <w:p>
            <w:pPr>
              <w:ind w:left="4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US</w:t>
            </w:r>
          </w:p>
        </w:tc>
        <w:tc>
          <w:tcPr>
            <w:tcW w:w="964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845"/>
        </w:trPr>
        <w:tc>
          <w:tcPr>
            <w:tcW w:w="178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1,</w:t>
            </w:r>
          </w:p>
        </w:tc>
        <w:tc>
          <w:tcPr>
            <w:tcW w:w="4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May 26,</w:t>
            </w:r>
          </w:p>
        </w:tc>
        <w:tc>
          <w:tcPr>
            <w:tcW w:w="30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1,</w:t>
            </w:r>
          </w:p>
        </w:tc>
        <w:tc>
          <w:tcPr>
            <w:tcW w:w="300" w:type="dxa"/>
            <w:vAlign w:val="bottom"/>
          </w:tcPr>
          <w:p>
            <w:pPr>
              <w:spacing w:after="0"/>
              <w:rPr>
                <w:sz w:val="15"/>
                <w:szCs w:val="15"/>
                <w:color w:val="auto"/>
              </w:rPr>
            </w:pPr>
          </w:p>
        </w:tc>
        <w:tc>
          <w:tcPr>
            <w:tcW w:w="1220" w:type="dxa"/>
            <w:vAlign w:val="bottom"/>
          </w:tcPr>
          <w:p>
            <w:pPr>
              <w:jc w:val="right"/>
              <w:ind w:right="440"/>
              <w:spacing w:after="0"/>
              <w:rPr>
                <w:sz w:val="20"/>
                <w:szCs w:val="20"/>
                <w:color w:val="auto"/>
              </w:rPr>
            </w:pPr>
            <w:r>
              <w:rPr>
                <w:rFonts w:ascii="Arial" w:cs="Arial" w:eastAsia="Arial" w:hAnsi="Arial"/>
                <w:sz w:val="14"/>
                <w:szCs w:val="14"/>
                <w:b w:val="1"/>
                <w:bCs w:val="1"/>
                <w:color w:val="auto"/>
              </w:rPr>
              <w:t>May 26,</w:t>
            </w:r>
          </w:p>
        </w:tc>
      </w:tr>
      <w:tr>
        <w:trPr>
          <w:trHeight w:val="19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218,199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155,709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588,919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419,146</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197,002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143,638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529,784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391,733</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21,197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12,071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59,135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27,413</w:t>
            </w:r>
          </w:p>
        </w:tc>
      </w:tr>
      <w:tr>
        <w:trPr>
          <w:trHeight w:val="254"/>
        </w:trPr>
        <w:tc>
          <w:tcPr>
            <w:tcW w:w="50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4,857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4,331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13,649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12,485</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6,092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4,213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16,392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11,938</w:t>
            </w:r>
          </w:p>
        </w:tc>
      </w:tr>
      <w:tr>
        <w:trPr>
          <w:trHeight w:val="273"/>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sale of asset held for sale</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5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10,949</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8,544</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30,069</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24,423</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10,248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3,527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29,066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2,990</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549</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10,392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3,929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29,805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3,539</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2,731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8,468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(525)</w:t>
            </w: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7,661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3,941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21,337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4,064</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5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0.14</w:t>
            </w: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0.14</w:t>
            </w:r>
          </w:p>
        </w:tc>
      </w:tr>
      <w:tr>
        <w:trPr>
          <w:trHeight w:val="284"/>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27,987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29,225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28,128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29,171</w:t>
            </w: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28,087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29,263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28,218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29,243</w:t>
            </w:r>
          </w:p>
        </w:tc>
      </w:tr>
      <w:tr>
        <w:trPr>
          <w:trHeight w:val="284"/>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7,661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21,337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4,064</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8"/>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$514, $(803), $1,430 and $0)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(3,371)</w:t>
            </w:r>
          </w:p>
        </w:tc>
      </w:tr>
      <w:tr>
        <w:trPr>
          <w:trHeight w:val="218"/>
        </w:trPr>
        <w:tc>
          <w:tcPr>
            <w:tcW w:w="504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4"/>
        </w:trPr>
        <w:tc>
          <w:tcPr>
            <w:tcW w:w="5040" w:type="dxa"/>
            <w:vAlign w:val="bottom"/>
          </w:tcPr>
          <w:p>
            <w:pPr>
              <w:ind w:left="360"/>
              <w:spacing w:after="0"/>
              <w:rPr>
                <w:sz w:val="20"/>
                <w:szCs w:val="20"/>
                <w:color w:val="auto"/>
              </w:rPr>
            </w:pPr>
            <w:r>
              <w:rPr>
                <w:rFonts w:ascii="Arial" w:cs="Arial" w:eastAsia="Arial" w:hAnsi="Arial"/>
                <w:sz w:val="16"/>
                <w:szCs w:val="16"/>
                <w:color w:val="auto"/>
              </w:rPr>
              <w:t>(net of tax of $(90), $(184), $206 and $0)</w:t>
            </w:r>
          </w:p>
        </w:tc>
        <w:tc>
          <w:tcPr>
            <w:tcW w:w="300" w:type="dxa"/>
            <w:vAlign w:val="bottom"/>
          </w:tcPr>
          <w:p>
            <w:pPr>
              <w:spacing w:after="0"/>
              <w:rPr>
                <w:sz w:val="17"/>
                <w:szCs w:val="17"/>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768</w:t>
            </w:r>
          </w:p>
        </w:tc>
      </w:tr>
      <w:tr>
        <w:trPr>
          <w:trHeight w:val="228"/>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$0, $0, $1,613 and $0)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4,598</w:t>
            </w:r>
          </w:p>
        </w:tc>
      </w:tr>
      <w:tr>
        <w:trPr>
          <w:trHeight w:val="218"/>
        </w:trPr>
        <w:tc>
          <w:tcPr>
            <w:tcW w:w="5040" w:type="dxa"/>
            <w:vAlign w:val="bottom"/>
          </w:tcPr>
          <w:p>
            <w:pPr>
              <w:ind w:left="280"/>
              <w:spacing w:after="0"/>
              <w:rPr>
                <w:sz w:val="20"/>
                <w:szCs w:val="20"/>
                <w:color w:val="auto"/>
              </w:rPr>
            </w:pPr>
            <w:r>
              <w:rPr>
                <w:rFonts w:ascii="Arial" w:cs="Arial" w:eastAsia="Arial" w:hAnsi="Arial"/>
                <w:sz w:val="16"/>
                <w:szCs w:val="16"/>
                <w:color w:val="auto"/>
              </w:rPr>
              <w:t>Unrealized appreciation (depreciation) of investments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8"/>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of tax of $(96), $212, $(63) and $202)</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(335)</w:t>
            </w:r>
          </w:p>
        </w:tc>
      </w:tr>
      <w:tr>
        <w:trPr>
          <w:trHeight w:val="25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1,660</w:t>
            </w:r>
          </w:p>
        </w:tc>
      </w:tr>
      <w:tr>
        <w:trPr>
          <w:trHeight w:val="240"/>
        </w:trPr>
        <w:tc>
          <w:tcPr>
            <w:tcW w:w="50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7,471</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22,750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5,724</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1,</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2012</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42,422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62,683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less allowance for doubtful accounts ($234 and $175)</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31,421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22,726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112,951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87,094</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4,509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 and prepaid</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1,603</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4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10,515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8,453</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211,048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187,068</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20,158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19,978</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400" w:type="dxa"/>
            <w:vAlign w:val="bottom"/>
          </w:tcPr>
          <w:p>
            <w:pPr>
              <w:spacing w:after="0"/>
              <w:rPr>
                <w:sz w:val="22"/>
                <w:szCs w:val="22"/>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550</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4,385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9,074</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24,826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23,127</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30,520</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641</w:t>
            </w:r>
          </w:p>
        </w:tc>
      </w:tr>
      <w:tr>
        <w:trPr>
          <w:trHeight w:val="26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12,537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13,886</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302,871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286,072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24,920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400" w:type="dxa"/>
            <w:vAlign w:val="bottom"/>
          </w:tcPr>
          <w:p>
            <w:pPr>
              <w:spacing w:after="0"/>
              <w:rPr>
                <w:sz w:val="22"/>
                <w:szCs w:val="22"/>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348</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19,961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16,038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4,137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2,661</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4,329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5,297</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69,486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61,018</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long-term liabilities:</w:t>
            </w:r>
          </w:p>
        </w:tc>
        <w:tc>
          <w:tcPr>
            <w:tcW w:w="4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4,931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5,228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4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70,354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75,135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long-term liabilities</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75,285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80,363</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28,960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28,496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498,827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477,490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22"/>
                <w:szCs w:val="22"/>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(3,686)</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(23,854 and 23,122 shares)</w:t>
            </w:r>
          </w:p>
        </w:tc>
        <w:tc>
          <w:tcPr>
            <w:tcW w:w="4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(393,302)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(383,497)</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158,100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144,691</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302,871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286,072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1"/>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12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1,</w:t>
            </w:r>
          </w:p>
        </w:tc>
        <w:tc>
          <w:tcPr>
            <w:tcW w:w="340" w:type="dxa"/>
            <w:vAlign w:val="bottom"/>
          </w:tcPr>
          <w:p>
            <w:pPr>
              <w:spacing w:after="0"/>
              <w:rPr>
                <w:sz w:val="17"/>
                <w:szCs w:val="17"/>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26,</w:t>
            </w:r>
          </w:p>
        </w:tc>
      </w:tr>
      <w:tr>
        <w:trPr>
          <w:trHeight w:val="228"/>
        </w:trPr>
        <w:tc>
          <w:tcPr>
            <w:tcW w:w="7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2012</w:t>
            </w: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21,337</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4,064</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3,786</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844</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863</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510</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(Gain) loss on disposal of property</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20</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(281)</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(523)</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579</w:t>
            </w: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(26,295)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(1,283)</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(10,819)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1,893</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105</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9,895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4,950</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(3,359)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(3,053)</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(6,934)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11,749</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1,404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(1,527)</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COLI borrowings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(558)</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(11,123)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(343)</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(11,217)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(310)</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(20,261)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11,524</w:t>
            </w:r>
          </w:p>
        </w:tc>
      </w:tr>
      <w:tr>
        <w:trPr>
          <w:trHeight w:val="27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8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42,422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80,831</w:t>
            </w:r>
          </w:p>
        </w:tc>
      </w:tr>
      <w:tr>
        <w:trPr>
          <w:trHeight w:val="267"/>
        </w:trPr>
        <w:tc>
          <w:tcPr>
            <w:tcW w:w="1260" w:type="dxa"/>
            <w:vAlign w:val="bottom"/>
            <w:shd w:val="clear" w:color="auto" w:fill="CCEEFF"/>
          </w:tcPr>
          <w:p>
            <w:pPr>
              <w:spacing w:after="0"/>
              <w:rPr>
                <w:sz w:val="23"/>
                <w:szCs w:val="23"/>
                <w:color w:val="auto"/>
              </w:rPr>
            </w:pPr>
          </w:p>
        </w:tc>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June 1, 2013 and the consolidated results of operations and comprehensive income and consolidated cash flows for the first nine months of Fiscal 2013 and 2012. The consolidated statement of operations and comprehensive income for the first nine months of Fiscal 2013 is not necessarily indicative of the results to be expected for the full year. The consolidated balance sheet data as of August 25, 2012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25, 2012.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jc w:val="both"/>
        <w:ind w:right="60"/>
        <w:spacing w:after="0" w:line="191" w:lineRule="exact"/>
        <w:rPr>
          <w:sz w:val="20"/>
          <w:szCs w:val="20"/>
          <w:color w:val="auto"/>
        </w:rPr>
      </w:pPr>
      <w:r>
        <w:rPr>
          <w:rFonts w:ascii="Arial" w:cs="Arial" w:eastAsia="Arial" w:hAnsi="Arial"/>
          <w:sz w:val="16"/>
          <w:szCs w:val="16"/>
          <w:color w:val="auto"/>
        </w:rPr>
        <w:t>We follow a 52-/53-week fiscal year, ending the last Saturday in August. Fiscal 2013 is a 53-week fiscal year; the first quarter ending December 1, 2012 was a 14-week quarter, and the nine months ending June 1, 2013 had 40 weeks. Fiscal 2012 was a 52</w:t>
      </w:r>
      <w:r>
        <w:rPr>
          <w:rFonts w:ascii="MS PGothic" w:cs="MS PGothic" w:eastAsia="MS PGothic" w:hAnsi="MS PGothic"/>
          <w:sz w:val="16"/>
          <w:szCs w:val="16"/>
          <w:color w:val="auto"/>
        </w:rPr>
        <w:t>‑</w:t>
      </w:r>
      <w:r>
        <w:rPr>
          <w:rFonts w:ascii="Arial" w:cs="Arial" w:eastAsia="Arial" w:hAnsi="Arial"/>
          <w:sz w:val="16"/>
          <w:szCs w:val="16"/>
          <w:color w:val="auto"/>
        </w:rPr>
        <w:t>week year; the first quarter ending November 26, 2011 was a 13-week quarter, and the nine months ending May 26, 2012 had 39 weeks.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Specifically, the new guidance requires an entity to present components of net income and other comprehensive income in one continuous statement, referred to as the statement of comprehensive income, or in two separate but consecutive statements. While the new guidance changed the presentation of comprehensive income, there are no changes to the components that are recognized in net income or other comprehensive income. ASU 2011-05 is effective for fiscal years beginning after December 15, 2011 (our Fiscal 2013). We adopted this guidance as of August 26, 2012, and have presented total comprehensive income in our Unaudited Consolidated Statements of Operations and Comprehensive Income.</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We do not believe that the adoption of this ASU will have a significant impact on our consolidated financial statements.</w:t>
      </w:r>
    </w:p>
    <w:p>
      <w:pPr>
        <w:spacing w:after="0" w:line="157"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which expands the presentation of changes in AOCI. The new guidance requires an entity to disaggregate the total change of each component of other comprehensive income either on the face of the net income statement or as a separate disclosure in the notes. ASU 2013-02 is effective for fiscal years beginning after December 15, 2012 (our Fiscal 2014). We do not believe that the adoption of this ASU will have a significant impact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1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One of our dealer organizations accounted for 26.9% and 26.1% of our consolidated net revenue for the first nine months of Fiscal 2013 and Fiscal 2012, respectively. A second dealer organization, accounted for 13.6% and 8.8% of our consolidated net revenue for the first nine months of Fiscal 2013 and Fiscal 2012, respectively. The loss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182"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June 1, 2013 and August 25, 2012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June 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 with pending redemption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4,605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2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4,385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4,385</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Fixed income funds</w:t>
            </w:r>
          </w:p>
        </w:tc>
        <w:tc>
          <w:tcPr>
            <w:tcW w:w="2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25,</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9,074</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0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26,</w:t>
            </w:r>
          </w:p>
        </w:tc>
      </w:tr>
      <w:tr>
        <w:trPr>
          <w:trHeight w:val="22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9,074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10,627</w:t>
            </w:r>
          </w:p>
        </w:tc>
      </w:tr>
      <w:tr>
        <w:trPr>
          <w:trHeight w:val="260"/>
        </w:trPr>
        <w:tc>
          <w:tcPr>
            <w:tcW w:w="468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30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(500)</w:t>
            </w:r>
          </w:p>
        </w:tc>
      </w:tr>
      <w:tr>
        <w:trPr>
          <w:trHeight w:val="280"/>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(536)</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300" w:type="dxa"/>
            <w:vAlign w:val="bottom"/>
          </w:tcPr>
          <w:p>
            <w:pPr>
              <w:spacing w:after="0"/>
              <w:rPr>
                <w:sz w:val="22"/>
                <w:szCs w:val="22"/>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(500)</w:t>
            </w:r>
          </w:p>
        </w:tc>
      </w:tr>
      <w:tr>
        <w:trPr>
          <w:trHeight w:val="240"/>
        </w:trPr>
        <w:tc>
          <w:tcPr>
            <w:tcW w:w="46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9,091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4,385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9,091</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85"/>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presents quantitative information regarding unobservable inputs that were significant to the valuation of assets measured at fair value on a recurring basis at June 1, 2013 using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Range</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00" w:type="dxa"/>
            <w:vAlign w:val="bottom"/>
            <w:tcBorders>
              <w:bottom w:val="single" w:sz="8" w:color="CCEEFF"/>
            </w:tcBorders>
          </w:tcPr>
          <w:p>
            <w:pPr>
              <w:spacing w:after="0"/>
              <w:rPr>
                <w:sz w:val="22"/>
                <w:szCs w:val="22"/>
                <w:color w:val="auto"/>
              </w:rPr>
            </w:pP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High</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Student loan 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4,385</w:t>
            </w:r>
          </w:p>
        </w:tc>
        <w:tc>
          <w:tcPr>
            <w:tcW w:w="12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DCF</w:t>
            </w: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Projected ARS yield</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60" w:type="dxa"/>
            <w:vAlign w:val="bottom"/>
            <w:gridSpan w:val="3"/>
            <w:shd w:val="clear" w:color="auto" w:fill="CCEEFF"/>
          </w:tcPr>
          <w:p>
            <w:pPr>
              <w:jc w:val="center"/>
              <w:ind w:left="279"/>
              <w:spacing w:after="0"/>
              <w:rPr>
                <w:sz w:val="20"/>
                <w:szCs w:val="20"/>
                <w:color w:val="auto"/>
              </w:rPr>
            </w:pPr>
            <w:r>
              <w:rPr>
                <w:rFonts w:ascii="Arial" w:cs="Arial" w:eastAsia="Arial" w:hAnsi="Arial"/>
                <w:sz w:val="16"/>
                <w:szCs w:val="16"/>
                <w:color w:val="auto"/>
              </w:rPr>
              <w:t>2.03%</w:t>
            </w:r>
          </w:p>
        </w:tc>
      </w:tr>
      <w:tr>
        <w:trPr>
          <w:trHeight w:val="251"/>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2"/>
          </w:tcPr>
          <w:p>
            <w:pPr>
              <w:ind w:left="40"/>
              <w:spacing w:after="0"/>
              <w:rPr>
                <w:sz w:val="20"/>
                <w:szCs w:val="20"/>
                <w:color w:val="auto"/>
              </w:rPr>
            </w:pPr>
            <w:r>
              <w:rPr>
                <w:rFonts w:ascii="Arial" w:cs="Arial" w:eastAsia="Arial" w:hAnsi="Arial"/>
                <w:sz w:val="16"/>
                <w:szCs w:val="16"/>
                <w:color w:val="auto"/>
              </w:rPr>
              <w:t>Discount for lack of marketability</w:t>
            </w:r>
          </w:p>
        </w:tc>
        <w:tc>
          <w:tcPr>
            <w:tcW w:w="660" w:type="dxa"/>
            <w:vAlign w:val="bottom"/>
          </w:tcPr>
          <w:p>
            <w:pPr>
              <w:jc w:val="right"/>
              <w:spacing w:after="0"/>
              <w:rPr>
                <w:sz w:val="20"/>
                <w:szCs w:val="20"/>
                <w:color w:val="auto"/>
              </w:rPr>
            </w:pPr>
            <w:r>
              <w:rPr>
                <w:rFonts w:ascii="Arial" w:cs="Arial" w:eastAsia="Arial" w:hAnsi="Arial"/>
                <w:sz w:val="16"/>
                <w:szCs w:val="16"/>
                <w:color w:val="auto"/>
              </w:rPr>
              <w:t>2.94%</w:t>
            </w:r>
          </w:p>
        </w:tc>
        <w:tc>
          <w:tcPr>
            <w:tcW w:w="1260" w:type="dxa"/>
            <w:vAlign w:val="bottom"/>
            <w:gridSpan w:val="3"/>
          </w:tcPr>
          <w:p>
            <w:pPr>
              <w:jc w:val="center"/>
              <w:ind w:left="279"/>
              <w:spacing w:after="0"/>
              <w:rPr>
                <w:sz w:val="20"/>
                <w:szCs w:val="20"/>
                <w:color w:val="auto"/>
              </w:rPr>
            </w:pPr>
            <w:r>
              <w:rPr>
                <w:rFonts w:ascii="Arial" w:cs="Arial" w:eastAsia="Arial" w:hAnsi="Arial"/>
                <w:sz w:val="16"/>
                <w:szCs w:val="16"/>
                <w:color w:val="auto"/>
              </w:rPr>
              <w:t>3.70%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and Short-Term Investments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long-term and short-term investments are comprised of ARS. Our long-term ARS investments are classified as Level 3, as quoted prices were unavailable due to events described in Note 4. Due to limited market information, we utilized a DCF model to derive an estimate of fair value for the ARS at June 1, 2013.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All of our short-term ARS portfolio is classified as Level 2 as they are also in an inactive market, but inputs other than quoted prices were observable and used to value the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10),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nine months of Fiscal 2013, no impairments were recorded for non-financial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171" w:lineRule="exact"/>
        <w:rPr>
          <w:sz w:val="20"/>
          <w:szCs w:val="20"/>
          <w:color w:val="auto"/>
        </w:rPr>
      </w:pPr>
    </w:p>
    <w:p>
      <w:pPr>
        <w:jc w:val="both"/>
        <w:ind w:right="280"/>
        <w:spacing w:after="0" w:line="281"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AOCI, a component of stockholders' equity.</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June 1, 2013, we held $9.4 million (par value)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rated AAA by Standard &amp; Poor's Ratings Services and AAA to A by Fitch Ratings, and are collateralized by student loans guaranteed by the US Government under the Federal Family Education Loan Program.</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Since February 2008, most ARS auctions have failed and there is no assurance that future auctions for our ARS will succeed.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but also due to the partial redemptions we have received over the last five fiscal years at par value. However, redemption could take until final maturity of the ARS (up to 29 years) to realize the par value of our investments. On June 5, 2013 we received a partial redemption on one of our ARS holdings of $150,000 at par. In May 2013 we entered into an agreement to sell $4.5 million of our ARS holdings at 99% of par value; this sale was finalized on June 12, 2013. Due to these two events, we have classified $4.6 million as short-term investments at June 1, 2013. We believe the recovery period for the remaining portfolio of ARS investments is likely to be longer than 12 months and as a result, we have classified our $4.8 million (par value) of these investments as long-term as of June 1, 2013.</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June 1, 2013, there was insufficient observable ARS market information available to determine the fair value of our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an unrealized temporary impairment of $409,000 in AOCI before tax considerations related to our ARS investments of $9.4 million (par value) at June 1, 2013.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5: Inventories</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1,</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2012</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50,781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30,054</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48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48,300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45,240</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45,332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42,824</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21"/>
                <w:szCs w:val="21"/>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144,413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118,118</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(31,462)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(31,024)</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112,951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87,094</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$144.4 million and $118.1 million inventory at June 1, 2013 and August 25, 2012, respectively, $137.2 million and $110.1 million is valued on a LIFO basis. Towables inventory of $7.2 million and $8.0 million at June 1, 2013 and August 25, 2012,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1,</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2012</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50,428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49,641</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90,671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90,775</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w:t>
            </w:r>
          </w:p>
        </w:tc>
        <w:tc>
          <w:tcPr>
            <w:tcW w:w="4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8,858</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150,720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150,031</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4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(130,562)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(130,053)</w:t>
            </w:r>
          </w:p>
        </w:tc>
      </w:tr>
      <w:tr>
        <w:trPr>
          <w:trHeight w:val="24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20,158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19,978</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During the first quarter of Fiscal 2013, an idled fiberglass facility in Hampton, Iowa classified as held for sale, was sold. The sale was finalized on August 30, 2012 and generated $550,000 in gross proceeds, selling costs of $28,000 and a loss of $28,000.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Amortizable Intangible Assets</w:t>
      </w:r>
    </w:p>
    <w:p>
      <w:pPr>
        <w:spacing w:after="0" w:line="214"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Goodwill and intangible assets are the result of the acquisition of SunnyBrook during Fiscal 2011. Goodwill of $1.2 million is not subject to amortization for financial statement purposes, but is amortizable for tax return purposes. Amortizable intangible assets are amortized on a straight-line basis. The weighted average remaining amortization period at June 1, 2013 is 7.3 years.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Amortizable intangible assets consist of the following:</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June 1, 2013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Trademarks</w:t>
            </w:r>
          </w:p>
        </w:tc>
        <w:tc>
          <w:tcPr>
            <w:tcW w:w="3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Non-compete agreement</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Table of Contents</w:t>
              </w:r>
            </w:hyperlink>
          </w:p>
        </w:tc>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47"/>
        </w:trPr>
        <w:tc>
          <w:tcPr>
            <w:tcW w:w="10400" w:type="dxa"/>
            <w:vAlign w:val="bottom"/>
            <w:gridSpan w:val="3"/>
          </w:tcPr>
          <w:p>
            <w:pPr>
              <w:spacing w:after="0"/>
              <w:rPr>
                <w:sz w:val="20"/>
                <w:szCs w:val="20"/>
                <w:color w:val="auto"/>
              </w:rPr>
            </w:pPr>
            <w:r>
              <w:rPr>
                <w:rFonts w:ascii="Arial" w:cs="Arial" w:eastAsia="Arial" w:hAnsi="Arial"/>
                <w:sz w:val="16"/>
                <w:szCs w:val="16"/>
                <w:color w:val="auto"/>
              </w:rPr>
              <w:t>Estimated amortization expense of intangible assets for next five fiscal years is as follows: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9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9020" w:type="dxa"/>
            <w:vAlign w:val="bottom"/>
            <w:shd w:val="clear" w:color="auto" w:fill="CCEEFF"/>
          </w:tcPr>
          <w:p>
            <w:pPr>
              <w:jc w:val="right"/>
              <w:ind w:right="8079"/>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60"/>
        </w:trPr>
        <w:tc>
          <w:tcPr>
            <w:tcW w:w="1260" w:type="dxa"/>
            <w:vAlign w:val="bottom"/>
          </w:tcPr>
          <w:p>
            <w:pPr>
              <w:spacing w:after="0"/>
              <w:rPr>
                <w:sz w:val="22"/>
                <w:szCs w:val="22"/>
                <w:color w:val="auto"/>
              </w:rPr>
            </w:pPr>
          </w:p>
        </w:tc>
        <w:tc>
          <w:tcPr>
            <w:tcW w:w="9020" w:type="dxa"/>
            <w:vAlign w:val="bottom"/>
          </w:tcPr>
          <w:p>
            <w:pPr>
              <w:jc w:val="right"/>
              <w:ind w:right="807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80"/>
        </w:trPr>
        <w:tc>
          <w:tcPr>
            <w:tcW w:w="1260" w:type="dxa"/>
            <w:vAlign w:val="bottom"/>
            <w:shd w:val="clear" w:color="auto" w:fill="CCEEFF"/>
          </w:tcPr>
          <w:p>
            <w:pPr>
              <w:spacing w:after="0"/>
              <w:rPr>
                <w:sz w:val="24"/>
                <w:szCs w:val="24"/>
                <w:color w:val="auto"/>
              </w:rPr>
            </w:pPr>
          </w:p>
        </w:tc>
        <w:tc>
          <w:tcPr>
            <w:tcW w:w="9020" w:type="dxa"/>
            <w:vAlign w:val="bottom"/>
            <w:shd w:val="clear" w:color="auto" w:fill="CCEEFF"/>
          </w:tcPr>
          <w:p>
            <w:pPr>
              <w:jc w:val="right"/>
              <w:ind w:right="8079"/>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60"/>
        </w:trPr>
        <w:tc>
          <w:tcPr>
            <w:tcW w:w="1260" w:type="dxa"/>
            <w:vAlign w:val="bottom"/>
          </w:tcPr>
          <w:p>
            <w:pPr>
              <w:spacing w:after="0"/>
              <w:rPr>
                <w:sz w:val="22"/>
                <w:szCs w:val="22"/>
                <w:color w:val="auto"/>
              </w:rPr>
            </w:pPr>
          </w:p>
        </w:tc>
        <w:tc>
          <w:tcPr>
            <w:tcW w:w="9020" w:type="dxa"/>
            <w:vAlign w:val="bottom"/>
          </w:tcPr>
          <w:p>
            <w:pPr>
              <w:jc w:val="right"/>
              <w:ind w:right="807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280"/>
        </w:trPr>
        <w:tc>
          <w:tcPr>
            <w:tcW w:w="1260" w:type="dxa"/>
            <w:vAlign w:val="bottom"/>
            <w:shd w:val="clear" w:color="auto" w:fill="CCEEFF"/>
          </w:tcPr>
          <w:p>
            <w:pPr>
              <w:spacing w:after="0"/>
              <w:rPr>
                <w:sz w:val="24"/>
                <w:szCs w:val="24"/>
                <w:color w:val="auto"/>
              </w:rPr>
            </w:pPr>
          </w:p>
        </w:tc>
        <w:tc>
          <w:tcPr>
            <w:tcW w:w="9020" w:type="dxa"/>
            <w:vAlign w:val="bottom"/>
            <w:shd w:val="clear" w:color="auto" w:fill="CCEEFF"/>
          </w:tcPr>
          <w:p>
            <w:pPr>
              <w:jc w:val="right"/>
              <w:ind w:right="807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Facilities</w:t>
      </w:r>
    </w:p>
    <w:p>
      <w:pPr>
        <w:spacing w:after="0" w:line="187"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On October 13, 2012, we terminated our Loan Agreement with Wells Fargo Bank, National Association in accordance with its terms. There was no termination fee associated with this agreement, and no borrowings had been made.</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Interest on loans made under the new facility will be based on LIBOR plus a margin of 3.0%. The initial unused line fee associated with the Credit Agreement is 0.5% per annum and has the ability to be lowered based upon facility usage.</w:t>
      </w:r>
    </w:p>
    <w:p>
      <w:pPr>
        <w:spacing w:after="0" w:line="232"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230" w:lineRule="exact"/>
        <w:rPr>
          <w:sz w:val="20"/>
          <w:szCs w:val="20"/>
          <w:color w:val="auto"/>
        </w:rPr>
      </w:pPr>
    </w:p>
    <w:p>
      <w:pPr>
        <w:ind w:right="1560"/>
        <w:spacing w:after="0" w:line="471" w:lineRule="auto"/>
        <w:rPr>
          <w:sz w:val="20"/>
          <w:szCs w:val="20"/>
          <w:color w:val="auto"/>
        </w:rPr>
      </w:pPr>
      <w:r>
        <w:rPr>
          <w:rFonts w:ascii="Arial" w:cs="Arial" w:eastAsia="Arial" w:hAnsi="Arial"/>
          <w:sz w:val="16"/>
          <w:szCs w:val="16"/>
          <w:color w:val="auto"/>
        </w:rPr>
        <w:t xml:space="preserve">As of the date of this report, we are in compliance with all terms of the Credit Agreement, and no borrowings have been made thereunder. </w:t>
      </w:r>
      <w:r>
        <w:rPr>
          <w:rFonts w:ascii="Arial" w:cs="Arial" w:eastAsia="Arial" w:hAnsi="Arial"/>
          <w:sz w:val="16"/>
          <w:szCs w:val="16"/>
          <w:b w:val="1"/>
          <w:bCs w:val="1"/>
          <w:color w:val="auto"/>
        </w:rPr>
        <w:t>Note 9: Warranty</w:t>
      </w:r>
    </w:p>
    <w:p>
      <w:pPr>
        <w:spacing w:after="0" w:line="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405"/>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4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26,</w:t>
            </w:r>
          </w:p>
        </w:tc>
      </w:tr>
      <w:tr>
        <w:trPr>
          <w:trHeight w:val="22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257"/>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7,335</w:t>
            </w:r>
          </w:p>
        </w:tc>
      </w:tr>
      <w:tr>
        <w:trPr>
          <w:trHeight w:val="26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7,032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3,928</w:t>
            </w:r>
          </w:p>
        </w:tc>
      </w:tr>
      <w:tr>
        <w:trPr>
          <w:trHeight w:val="27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(5,581)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(4,668)</w:t>
            </w:r>
          </w:p>
        </w:tc>
      </w:tr>
      <w:tr>
        <w:trPr>
          <w:trHeight w:val="24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8,441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6,595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8,441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6,595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12"/>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7"/>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1,</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2012</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41,576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22,687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23,630</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7,798</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4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3,342</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4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102</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74,995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80,004</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portion</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(4,641)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(4,869)</w:t>
            </w:r>
          </w:p>
        </w:tc>
      </w:tr>
      <w:tr>
        <w:trPr>
          <w:trHeight w:val="24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70,354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75,135</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2012 the employer established dollar caps were reduced by 10%, which reduced our liability for postretirement health care by $4.6 million and is being amortized as prior service credit over 7.8 years.</w:t>
      </w:r>
    </w:p>
    <w:p>
      <w:pPr>
        <w:ind w:left="340" w:right="80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2013 the employer established dollar caps were further reduced by 10%, which reduced our liability for postretirement health care by approximately $4.3 million and is being amortized as prior service credit over 7.5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26,</w:t>
            </w:r>
          </w:p>
        </w:tc>
      </w:tr>
      <w:tr>
        <w:trPr>
          <w:trHeight w:val="228"/>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257"/>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1,397</w:t>
            </w: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407</w:t>
            </w:r>
          </w:p>
        </w:tc>
      </w:tr>
      <w:tr>
        <w:trPr>
          <w:trHeight w:val="28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(3,803)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(3,372)</w:t>
            </w:r>
          </w:p>
        </w:tc>
      </w:tr>
      <w:tr>
        <w:trPr>
          <w:trHeight w:val="264"/>
        </w:trPr>
        <w:tc>
          <w:tcPr>
            <w:tcW w:w="4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1,195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766</w:t>
            </w:r>
          </w:p>
        </w:tc>
      </w:tr>
      <w:tr>
        <w:trPr>
          <w:trHeight w:val="24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(802)</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7"/>
        </w:trPr>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916</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Stock-Based Compensation Plans</w:t>
      </w:r>
    </w:p>
    <w:p>
      <w:pPr>
        <w:spacing w:after="0" w:line="187" w:lineRule="exact"/>
        <w:rPr>
          <w:sz w:val="20"/>
          <w:szCs w:val="20"/>
          <w:color w:val="auto"/>
        </w:rPr>
      </w:pPr>
    </w:p>
    <w:p>
      <w:pPr>
        <w:jc w:val="both"/>
        <w:ind w:right="360"/>
        <w:spacing w:after="0" w:line="26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w:t>
      </w:r>
    </w:p>
    <w:p>
      <w:pPr>
        <w:spacing w:after="0" w:line="14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October 10, 2012 the Board of Directors granted an aggregate of 155,600 shares of restricted common stock to our key employees and non-employee directors. The value of the restricted stock award is determined using the intrinsic value method which, in this case, is based on the number of shares granted and the closing price of our common stock on the date of grant.</w:t>
      </w:r>
    </w:p>
    <w:p>
      <w:pPr>
        <w:spacing w:after="0" w:line="147"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Stock-based compensation expense was $262,000 and $114,000 during the third quarters of Fiscal 2013 and 2012, respectively. Stock-based compensation expense was $1,258,000 and $863,000 during the nine months of Fiscal 2013 and 2012, respectively. Of the $1,258,000 in Fiscal 2013, $852,000 related to the October 10, 2012 grant of 155,600 shares. The remainder is related to the amortization of previously granted restricted stock awards, as well as nonemployee director stock units issued in lieu of their fees. Compensation expense is recognized over the requisite service period of the award or over a period ending with the employee's eligible retirement date, if earlier.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w:t>
      </w:r>
    </w:p>
    <w:p>
      <w:pPr>
        <w:sectPr>
          <w:pgSz w:w="11900" w:h="16838" w:orient="portrait"/>
          <w:cols w:equalWidth="0" w:num="1">
            <w:col w:w="11420"/>
          </w:cols>
          <w:pgMar w:left="240" w:top="118"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company lends the dealer all, or substantially all, of the purchase price, collateralized by a security interest in the recreation vehicles purchased.</w:t>
      </w:r>
    </w:p>
    <w:p>
      <w:pPr>
        <w:spacing w:after="0" w:line="16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$244.9 million and $165.4 million at June 1, 2013 and August 25, 2012,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$7.4 million and $5.0 million at June 1, 2013 and August 25, 2012,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$1.3 million as of June 1, 2013 and $627,000 as of August 25, 2012.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June 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May 26,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June 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26,</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06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2"/>
                <w:szCs w:val="22"/>
                <w:color w:val="auto"/>
              </w:rPr>
            </w:pP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1,113</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June 1, 2013 would have affected net income by approximately $270,000.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Based on ASC 740 guidelines, as of June 1, 2013 and August 25, 2012, we have applied a valuation allowance of $1.8 million and $1.6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371"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those years may still be adjusted upon examination by the IRS or state taxing authorities if they either have been or will be used in a future period. Due to such carryback claims, our federal returns from Fiscal 2004 to present continue to be subject to review by the IRS. As such, the IRS is currently reviewing our Fiscal 2011 federal tax return.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As of June 1, 2013, our unrecognized tax benefits were $4.8 million, of which if realized $3.0 million could have a positive impact on the overall effective tax rate. It is our policy to recognize interest and penalties accrued relative to unrecognized tax benefits as tax expense. As of June 1, 2013, we had accrued $2.0 million in interest and penalties which are included in unrecognized tax benefits. We do not anticipate any significant changes in unrecognized tax benefits within the next twelve months. Actual results may differ materially from this estimate.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1,</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26,</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1,</w:t>
            </w: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26,</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7,661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3,941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21,337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4,064</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29,171</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0.14</w:t>
            </w:r>
          </w:p>
        </w:tc>
      </w:tr>
      <w:tr>
        <w:trPr>
          <w:trHeight w:val="293"/>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4,064</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27,987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29,171</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28,087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29,243</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At the end of the third quarters of Fiscal 2013 and Fiscal 2012, there were options outstanding to purchase 669,494 shares and 772,832 shares, respectively, of common stock at an average price of $29.83 and $29.02,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June 1, 2013 and the date of issuance of the financial statements that would require recognition or disclosure in the financial statements. There were no material subsequent events, except as described in Note 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This management's discussion should be read in conjunction with the Financial Statements contained in this Form 10-Q as well as the Management's Discussion and Analysis and Risk Factors included in our Annual Report on Form 10-K for the fiscal year ended August 25, 2012.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revise any “forward-looking statements” whether as a result of new information, future events or otherwise, except as required by law or the rules of the NYSE.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of our travel trailer and fifth wheels in Indiana. We distribute our products primarily through independent dealers throughout the US and Canada, who then retail the products to the end consumer.</w:t>
      </w:r>
    </w:p>
    <w:p>
      <w:pPr>
        <w:spacing w:after="0" w:line="161"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rPr>
              <w:t>Through April 30</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65"/>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17"/>
                <w:szCs w:val="17"/>
                <w:color w:val="auto"/>
              </w:rPr>
            </w:pPr>
          </w:p>
        </w:tc>
      </w:tr>
      <w:tr>
        <w:trPr>
          <w:trHeight w:val="250"/>
        </w:trPr>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9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600" w:type="dxa"/>
            <w:vAlign w:val="bottom"/>
            <w:tcBorders>
              <w:top w:val="single" w:sz="8" w:color="auto"/>
              <w:bottom w:val="single" w:sz="8" w:color="auto"/>
            </w:tcBorders>
            <w:gridSpan w:val="3"/>
          </w:tcPr>
          <w:p>
            <w:pPr>
              <w:jc w:val="center"/>
              <w:ind w:right="45"/>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23.2%</w:t>
            </w:r>
          </w:p>
        </w:tc>
        <w:tc>
          <w:tcPr>
            <w:tcW w:w="90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22.2%</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24.2%</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22.2%</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23.7%</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17.7%</w:t>
            </w:r>
          </w:p>
        </w:tc>
        <w:tc>
          <w:tcPr>
            <w:tcW w:w="90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6"/>
                <w:szCs w:val="16"/>
                <w:color w:val="auto"/>
              </w:rPr>
              <w:t>20.1%</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19.4%</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17.6%</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15.2%</w:t>
            </w:r>
          </w:p>
        </w:tc>
      </w:tr>
      <w:tr>
        <w:trPr>
          <w:trHeight w:val="257"/>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21.1%</w:t>
            </w:r>
          </w:p>
        </w:tc>
        <w:tc>
          <w:tcPr>
            <w:tcW w:w="90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20.2%</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19.5%</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15.5%</w:t>
            </w:r>
          </w:p>
        </w:tc>
        <w:tc>
          <w:tcPr>
            <w:tcW w:w="90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18.3%</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17.4%</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17.9%</w:t>
            </w:r>
          </w:p>
        </w:tc>
      </w:tr>
      <w:tr>
        <w:trPr>
          <w:trHeight w:val="240"/>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9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18.4%</w:t>
            </w:r>
          </w:p>
        </w:tc>
        <w:tc>
          <w:tcPr>
            <w:tcW w:w="90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20.1%</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20.5%</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19.0%</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18.8%</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4"/>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4"/>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9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19.0%</w:t>
            </w:r>
          </w:p>
        </w:tc>
        <w:tc>
          <w:tcPr>
            <w:tcW w:w="90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15.6%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17.6%</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7.9%</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15.6%</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rPr>
              <w:t>Through April 30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65"/>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24"/>
                <w:szCs w:val="24"/>
                <w:color w:val="auto"/>
              </w:rPr>
            </w:pPr>
          </w:p>
        </w:tc>
      </w:tr>
      <w:tr>
        <w:trPr>
          <w:trHeight w:val="250"/>
        </w:trPr>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9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600" w:type="dxa"/>
            <w:vAlign w:val="bottom"/>
            <w:tcBorders>
              <w:top w:val="single" w:sz="8" w:color="auto"/>
              <w:bottom w:val="single" w:sz="8" w:color="auto"/>
            </w:tcBorders>
            <w:gridSpan w:val="3"/>
          </w:tcPr>
          <w:p>
            <w:pPr>
              <w:jc w:val="center"/>
              <w:ind w:right="45"/>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12.0%</w:t>
            </w:r>
          </w:p>
        </w:tc>
        <w:tc>
          <w:tcPr>
            <w:tcW w:w="90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16.5%</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14.9%</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16.4%</w:t>
            </w:r>
          </w:p>
        </w:tc>
        <w:tc>
          <w:tcPr>
            <w:tcW w:w="90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6"/>
                <w:szCs w:val="16"/>
                <w:color w:val="auto"/>
              </w:rPr>
              <w:t>17.1%</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17.3%</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18.0%</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9.9%</w:t>
            </w:r>
          </w:p>
        </w:tc>
      </w:tr>
      <w:tr>
        <w:trPr>
          <w:trHeight w:val="257"/>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13.6%</w:t>
            </w:r>
          </w:p>
        </w:tc>
        <w:tc>
          <w:tcPr>
            <w:tcW w:w="90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17.1%</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12.6%</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15.3%</w:t>
            </w:r>
          </w:p>
        </w:tc>
        <w:tc>
          <w:tcPr>
            <w:tcW w:w="90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6"/>
                <w:szCs w:val="16"/>
                <w:color w:val="auto"/>
              </w:rPr>
              <w:t>10.6%</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14.9%</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15.9%</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13.8%</w:t>
            </w:r>
          </w:p>
        </w:tc>
      </w:tr>
      <w:tr>
        <w:trPr>
          <w:trHeight w:val="240"/>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9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14.5%</w:t>
            </w:r>
          </w:p>
        </w:tc>
        <w:tc>
          <w:tcPr>
            <w:tcW w:w="90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12.8%</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16.5%</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13.2%</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4"/>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4"/>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9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17.5%</w:t>
            </w:r>
          </w:p>
        </w:tc>
        <w:tc>
          <w:tcPr>
            <w:tcW w:w="90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7.1%</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4.8%</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31"/>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5"/>
          </w:tcPr>
          <w:p>
            <w:pPr>
              <w:jc w:val="right"/>
              <w:ind w:right="888"/>
              <w:spacing w:after="0"/>
              <w:rPr>
                <w:sz w:val="20"/>
                <w:szCs w:val="20"/>
                <w:color w:val="auto"/>
              </w:rPr>
            </w:pPr>
            <w:r>
              <w:rPr>
                <w:rFonts w:ascii="Arial" w:cs="Arial" w:eastAsia="Arial" w:hAnsi="Arial"/>
                <w:sz w:val="14"/>
                <w:szCs w:val="14"/>
                <w:b w:val="1"/>
                <w:bCs w:val="1"/>
                <w:color w:val="auto"/>
              </w:rPr>
              <w:t>US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865"/>
              <w:spacing w:after="0"/>
              <w:rPr>
                <w:sz w:val="20"/>
                <w:szCs w:val="20"/>
                <w:color w:val="auto"/>
              </w:rPr>
            </w:pPr>
            <w:r>
              <w:rPr>
                <w:rFonts w:ascii="Arial" w:cs="Arial" w:eastAsia="Arial" w:hAnsi="Arial"/>
                <w:sz w:val="14"/>
                <w:szCs w:val="14"/>
                <w:b w:val="1"/>
                <w:bCs w:val="1"/>
                <w:color w:val="auto"/>
              </w:rPr>
              <w:t>Canadian</w:t>
            </w:r>
          </w:p>
        </w:tc>
        <w:tc>
          <w:tcPr>
            <w:tcW w:w="1160" w:type="dxa"/>
            <w:vAlign w:val="bottom"/>
          </w:tcPr>
          <w:p>
            <w:pPr>
              <w:spacing w:after="0"/>
              <w:rPr>
                <w:sz w:val="24"/>
                <w:szCs w:val="24"/>
                <w:color w:val="auto"/>
              </w:rPr>
            </w:pPr>
          </w:p>
        </w:tc>
      </w:tr>
      <w:tr>
        <w:trPr>
          <w:trHeight w:val="39"/>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2"/>
          </w:tcPr>
          <w:p>
            <w:pPr>
              <w:spacing w:after="0"/>
              <w:rPr>
                <w:sz w:val="3"/>
                <w:szCs w:val="3"/>
                <w:color w:val="auto"/>
              </w:rPr>
            </w:pPr>
          </w:p>
        </w:tc>
      </w:tr>
      <w:tr>
        <w:trPr>
          <w:trHeight w:val="258"/>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Through April 30</w:t>
            </w: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4"/>
                <w:szCs w:val="14"/>
                <w:b w:val="1"/>
                <w:bCs w:val="1"/>
                <w:color w:val="auto"/>
              </w:rPr>
              <w:t>Calendar Year</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Through April 30</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Retail Towables: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2011</w:t>
            </w:r>
          </w:p>
        </w:tc>
      </w:tr>
      <w:tr>
        <w:trPr>
          <w:trHeight w:val="256"/>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9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280" w:type="dxa"/>
            <w:vAlign w:val="bottom"/>
            <w:gridSpan w:val="5"/>
            <w:shd w:val="clear" w:color="auto" w:fill="CCEEFF"/>
          </w:tcPr>
          <w:p>
            <w:pPr>
              <w:jc w:val="right"/>
              <w:ind w:right="28"/>
              <w:spacing w:after="0"/>
              <w:rPr>
                <w:sz w:val="20"/>
                <w:szCs w:val="20"/>
                <w:color w:val="auto"/>
              </w:rPr>
            </w:pPr>
            <w:r>
              <w:rPr>
                <w:rFonts w:ascii="Arial" w:cs="Arial" w:eastAsia="Arial" w:hAnsi="Arial"/>
                <w:sz w:val="16"/>
                <w:szCs w:val="16"/>
                <w:color w:val="auto"/>
              </w:rPr>
              <w:t>0.8%</w:t>
            </w:r>
          </w:p>
        </w:tc>
        <w:tc>
          <w:tcPr>
            <w:tcW w:w="122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8"/>
              </w:rPr>
              <w:t>0.6%</w:t>
            </w:r>
          </w:p>
        </w:tc>
        <w:tc>
          <w:tcPr>
            <w:tcW w:w="138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0.9%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6"/>
                <w:szCs w:val="16"/>
                <w:color w:val="auto"/>
              </w:rPr>
              <w:t>0.6%</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r>
      <w:tr>
        <w:trPr>
          <w:trHeight w:val="264"/>
        </w:trPr>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0.8%</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1.1%</w:t>
            </w:r>
          </w:p>
        </w:tc>
        <w:tc>
          <w:tcPr>
            <w:tcW w:w="1220" w:type="dxa"/>
            <w:vAlign w:val="bottom"/>
            <w:tcBorders>
              <w:bottom w:val="single" w:sz="8" w:color="auto"/>
            </w:tcBorders>
          </w:tcPr>
          <w:p>
            <w:pPr>
              <w:jc w:val="center"/>
              <w:ind w:left="501"/>
              <w:spacing w:after="0"/>
              <w:rPr>
                <w:sz w:val="20"/>
                <w:szCs w:val="20"/>
                <w:color w:val="auto"/>
              </w:rPr>
            </w:pPr>
            <w:r>
              <w:rPr>
                <w:rFonts w:ascii="Arial" w:cs="Arial" w:eastAsia="Arial" w:hAnsi="Arial"/>
                <w:sz w:val="16"/>
                <w:szCs w:val="16"/>
                <w:color w:val="auto"/>
                <w:w w:val="98"/>
              </w:rPr>
              <w:t>0.5%</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0.6%</w:t>
            </w:r>
          </w:p>
        </w:tc>
      </w:tr>
      <w:tr>
        <w:trPr>
          <w:trHeight w:val="240"/>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9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280" w:type="dxa"/>
            <w:vAlign w:val="bottom"/>
            <w:gridSpan w:val="5"/>
            <w:shd w:val="clear" w:color="auto" w:fill="CCEEFF"/>
          </w:tcPr>
          <w:p>
            <w:pPr>
              <w:jc w:val="right"/>
              <w:ind w:right="28"/>
              <w:spacing w:after="0"/>
              <w:rPr>
                <w:sz w:val="20"/>
                <w:szCs w:val="20"/>
                <w:color w:val="auto"/>
              </w:rPr>
            </w:pPr>
            <w:r>
              <w:rPr>
                <w:rFonts w:ascii="Arial" w:cs="Arial" w:eastAsia="Arial" w:hAnsi="Arial"/>
                <w:sz w:val="16"/>
                <w:szCs w:val="16"/>
                <w:color w:val="auto"/>
              </w:rPr>
              <w:t>0.9%</w:t>
            </w:r>
          </w:p>
        </w:tc>
        <w:tc>
          <w:tcPr>
            <w:tcW w:w="122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8"/>
              </w:rPr>
              <w:t>0.6%</w:t>
            </w:r>
          </w:p>
        </w:tc>
        <w:tc>
          <w:tcPr>
            <w:tcW w:w="138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6"/>
                <w:szCs w:val="16"/>
                <w:color w:val="auto"/>
              </w:rPr>
              <w:t>0.9%</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93"/>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62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Class A, B &amp; C Motorhomes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 2011</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1,088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966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Q1 2012</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1,040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1,146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Q3 2012</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1,280</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4,409</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4,537</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2,001</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1,659</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June 2011-May 2012</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1,321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Q1 2013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1,534</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2,045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2,118</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1,555</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 2013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1,419</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2,392</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2,752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1,775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Q3 2013</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1,978</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1,736</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2,634</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2,846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713</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846</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1,642</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6,252</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5,558</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2,513</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2,241</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June 2012-May 2013</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Highlights of the first nine months of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Motorized performance:</w:t>
      </w:r>
    </w:p>
    <w:p>
      <w:pPr>
        <w:spacing w:after="0" w:line="5" w:lineRule="exact"/>
        <w:rPr>
          <w:sz w:val="20"/>
          <w:szCs w:val="20"/>
          <w:color w:val="auto"/>
        </w:rPr>
      </w:pPr>
    </w:p>
    <w:p>
      <w:pPr>
        <w:ind w:left="340" w:right="10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first three quarters of Fiscal 2013 motor home deliveries increased by approximately 48.5% as compared to the first three fiscal quarters of 2012. In addition retail demand for our motorized products grew 26.9% when comparing the first three fiscal quarters of 2013 to fiscal 2012. As a result, dealer inventory grew by 35.8% when comparing the same time periods. We view this as a reflection of our dealer network's confidence in our products and the overall industry as they prepare for the historically stronger summer selling season. Our belief of improving dealer confidence is further supported by the continued growth in our sales order backlog. Even as we delivered nearly 2,000 motor homes in the fiscal third quarter of 2013; our strongest unit volume quarter since the first fiscal quarter of 2008, our sales order backlog grew by approximately 3% on a consecutive fiscal quarter comparison.</w:t>
      </w:r>
    </w:p>
    <w:p>
      <w:pPr>
        <w:spacing w:after="0" w:line="2"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continuing strong demand for our motorized products has led to enhanced financial performance. The sales incentive environment has improved as compared to a year ago and the incremental volume has provided operating leverage in multiple areas. Motorized operating profit increased by over 900% when comparing the first three fiscal quarters of 2013 to the first three quarters of fiscal 2012.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Towables performance:</w:t>
      </w:r>
    </w:p>
    <w:p>
      <w:pPr>
        <w:spacing w:after="0" w:line="5" w:lineRule="exact"/>
        <w:rPr>
          <w:sz w:val="20"/>
          <w:szCs w:val="20"/>
          <w:color w:val="auto"/>
        </w:rPr>
      </w:pPr>
    </w:p>
    <w:p>
      <w:pPr>
        <w:jc w:val="both"/>
        <w:ind w:left="340" w:right="30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Towables generated an operating loss of $3.0 million in the first nine months of Fiscal 2013 compared to an operating loss of $115,000 in the first nine months of Fiscal 2012. The two most significant issues that negatively impacted Towables' operating performance during the first nine months of Fiscal 2013 were increased warranty expense due to escalating negative claim experience and unfavorable overhead variances due to lower production.</w:t>
      </w:r>
    </w:p>
    <w:p>
      <w:pPr>
        <w:spacing w:after="0" w:line="1" w:lineRule="exact"/>
        <w:rPr>
          <w:rFonts w:ascii="Arial" w:cs="Arial" w:eastAsia="Arial" w:hAnsi="Arial"/>
          <w:sz w:val="16"/>
          <w:szCs w:val="16"/>
          <w:color w:val="auto"/>
        </w:rPr>
      </w:pPr>
    </w:p>
    <w:p>
      <w:pPr>
        <w:ind w:left="340" w:right="20"/>
        <w:spacing w:after="0" w:line="246" w:lineRule="auto"/>
        <w:rPr>
          <w:rFonts w:ascii="Arial" w:cs="Arial" w:eastAsia="Arial" w:hAnsi="Arial"/>
          <w:sz w:val="16"/>
          <w:szCs w:val="16"/>
          <w:color w:val="auto"/>
        </w:rPr>
      </w:pPr>
      <w:r>
        <w:rPr>
          <w:rFonts w:ascii="Arial" w:cs="Arial" w:eastAsia="Arial" w:hAnsi="Arial"/>
          <w:sz w:val="16"/>
          <w:szCs w:val="16"/>
          <w:color w:val="auto"/>
        </w:rPr>
        <w:t>Significant changes have been made throughout the first half of Fiscal 2013 in key management positions to address the recent performance problems. Notably, a new Towables President was named in January 2013 and leadership responsibilities of warranty and service were centralized to the Company's headquarters in Iowa to better leverage the Company's industry leading capabilities, processes and expertise of long time motorized resources. During February 2013, production was idled in one of the assembly plants where production issues had been pervasive and only a small core group of employees were retained to train and work in the other assembly plant that has not experienced similar issues. Production is expected to resume in this plant during the fourth quarter of Fiscal 2013.</w:t>
      </w:r>
    </w:p>
    <w:p>
      <w:pPr>
        <w:spacing w:after="0" w:line="2" w:lineRule="exact"/>
        <w:rPr>
          <w:rFonts w:ascii="Arial" w:cs="Arial" w:eastAsia="Arial" w:hAnsi="Arial"/>
          <w:sz w:val="16"/>
          <w:szCs w:val="16"/>
          <w:color w:val="auto"/>
        </w:rPr>
      </w:pPr>
    </w:p>
    <w:p>
      <w:pPr>
        <w:ind w:left="340" w:right="140" w:hanging="332"/>
        <w:spacing w:after="0" w:line="25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third quarter much progress was made at Towables. New product was introduced and we believe was well received at our Dealer Day event held in late April as evidenced by the increase in sales order backlog of 16.3% on a consecutive fiscal quarter comparison. Retail registrations also grew as compared to the same quarter last year by 29.8%, reflecting the growing consumer demand of our Towable product. Positive cash flow was generated from operations in the quarter, primarily due to inventory reductions of $3.9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06"/>
        </w:trPr>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(Decrease)</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Q1</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6,869</w:t>
            </w:r>
          </w:p>
        </w:tc>
        <w:tc>
          <w:tcPr>
            <w:tcW w:w="3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6,888</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5,706</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5,114</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592</w:t>
            </w:r>
          </w:p>
        </w:tc>
        <w:tc>
          <w:tcPr>
            <w:tcW w:w="980" w:type="dxa"/>
            <w:vAlign w:val="bottom"/>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22"/>
                <w:szCs w:val="22"/>
                <w:color w:val="auto"/>
              </w:rPr>
            </w:pPr>
          </w:p>
        </w:tc>
      </w:tr>
      <w:tr>
        <w:trPr>
          <w:trHeight w:val="280"/>
        </w:trPr>
        <w:tc>
          <w:tcPr>
            <w:tcW w:w="23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7,707</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7,868</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8,206</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8,140</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Q3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6,678</w:t>
            </w:r>
          </w:p>
        </w:tc>
        <w:tc>
          <w:tcPr>
            <w:tcW w:w="3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5,267</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1,411</w:t>
            </w:r>
          </w:p>
        </w:tc>
        <w:tc>
          <w:tcPr>
            <w:tcW w:w="1060" w:type="dxa"/>
            <w:vAlign w:val="bottom"/>
          </w:tcPr>
          <w:p>
            <w:pPr>
              <w:jc w:val="right"/>
              <w:spacing w:after="0"/>
              <w:rPr>
                <w:sz w:val="20"/>
                <w:szCs w:val="20"/>
                <w:color w:val="auto"/>
              </w:rPr>
            </w:pPr>
            <w:r>
              <w:rPr>
                <w:rFonts w:ascii="Arial" w:cs="Arial" w:eastAsia="Arial" w:hAnsi="Arial"/>
                <w:sz w:val="16"/>
                <w:szCs w:val="16"/>
                <w:color w:val="auto"/>
              </w:rPr>
              <w:t>26.8 %</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6,916</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6,102</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814</w:t>
            </w: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2"/>
                <w:szCs w:val="22"/>
                <w:color w:val="auto"/>
              </w:rPr>
            </w:pPr>
          </w:p>
        </w:tc>
      </w:tr>
      <w:tr>
        <w:trPr>
          <w:trHeight w:val="273"/>
        </w:trPr>
        <w:tc>
          <w:tcPr>
            <w:tcW w:w="23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6,944</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4,807</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2,137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44.5 %</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4,922</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4,623</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23"/>
                <w:szCs w:val="23"/>
                <w:color w:val="auto"/>
              </w:rPr>
            </w:pPr>
          </w:p>
        </w:tc>
      </w:tr>
      <w:tr>
        <w:trPr>
          <w:trHeight w:val="307"/>
        </w:trPr>
        <w:tc>
          <w:tcPr>
            <w:tcW w:w="2300" w:type="dxa"/>
            <w:vAlign w:val="bottom"/>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28,198</w:t>
            </w:r>
          </w:p>
        </w:tc>
        <w:tc>
          <w:tcPr>
            <w:tcW w:w="36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24,830</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3,368</w:t>
            </w:r>
          </w:p>
        </w:tc>
        <w:tc>
          <w:tcPr>
            <w:tcW w:w="1060" w:type="dxa"/>
            <w:vAlign w:val="bottom"/>
          </w:tcPr>
          <w:p>
            <w:pPr>
              <w:jc w:val="right"/>
              <w:spacing w:after="0"/>
              <w:rPr>
                <w:sz w:val="20"/>
                <w:szCs w:val="20"/>
                <w:color w:val="auto"/>
              </w:rPr>
            </w:pPr>
            <w:r>
              <w:rPr>
                <w:rFonts w:ascii="Arial" w:cs="Arial" w:eastAsia="Arial" w:hAnsi="Arial"/>
                <w:sz w:val="16"/>
                <w:szCs w:val="16"/>
                <w:color w:val="auto"/>
              </w:rPr>
              <w:t>13.6 %</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25,750</w:t>
            </w:r>
          </w:p>
        </w:tc>
        <w:tc>
          <w:tcPr>
            <w:tcW w:w="3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23,979</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1,771</w:t>
            </w: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4"/>
                <w:szCs w:val="24"/>
                <w:color w:val="auto"/>
              </w:rPr>
            </w:pPr>
          </w:p>
        </w:tc>
      </w:tr>
      <w:tr>
        <w:trPr>
          <w:trHeight w:val="146"/>
        </w:trPr>
        <w:tc>
          <w:tcPr>
            <w:tcW w:w="2300" w:type="dxa"/>
            <w:vAlign w:val="bottom"/>
            <w:tcBorders>
              <w:top w:val="single" w:sz="8" w:color="CCEEFF"/>
              <w:left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2012</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Q1</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8,500</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6,869</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1,631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23.7 %</w:t>
            </w: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7,050</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5,706</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1,344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20" w:type="dxa"/>
            <w:vAlign w:val="bottom"/>
            <w:tcBorders>
              <w:bottom w:val="single" w:sz="8" w:color="auto"/>
            </w:tcBorders>
          </w:tcPr>
          <w:p>
            <w:pPr>
              <w:spacing w:after="0"/>
              <w:rPr>
                <w:sz w:val="22"/>
                <w:szCs w:val="22"/>
                <w:color w:val="auto"/>
              </w:rPr>
            </w:pPr>
          </w:p>
        </w:tc>
      </w:tr>
      <w:tr>
        <w:trPr>
          <w:trHeight w:val="270"/>
        </w:trPr>
        <w:tc>
          <w:tcPr>
            <w:tcW w:w="23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April</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3,780</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2,552</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1,228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48.1 %</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2,640</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shd w:val="clear" w:color="auto" w:fill="000000"/>
          </w:tcPr>
          <w:p>
            <w:pPr>
              <w:spacing w:after="0"/>
              <w:rPr>
                <w:sz w:val="23"/>
                <w:szCs w:val="23"/>
                <w:color w:val="auto"/>
              </w:rPr>
            </w:pPr>
          </w:p>
        </w:tc>
      </w:tr>
      <w:tr>
        <w:trPr>
          <w:trHeight w:val="260"/>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May</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3,698</w:t>
            </w:r>
          </w:p>
        </w:tc>
        <w:tc>
          <w:tcPr>
            <w:tcW w:w="3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2,829</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869</w:t>
            </w:r>
          </w:p>
        </w:tc>
        <w:tc>
          <w:tcPr>
            <w:tcW w:w="1060" w:type="dxa"/>
            <w:vAlign w:val="bottom"/>
          </w:tcPr>
          <w:p>
            <w:pPr>
              <w:jc w:val="right"/>
              <w:spacing w:after="0"/>
              <w:rPr>
                <w:sz w:val="20"/>
                <w:szCs w:val="20"/>
                <w:color w:val="auto"/>
              </w:rPr>
            </w:pPr>
            <w:r>
              <w:rPr>
                <w:rFonts w:ascii="Arial" w:cs="Arial" w:eastAsia="Arial" w:hAnsi="Arial"/>
                <w:sz w:val="16"/>
                <w:szCs w:val="16"/>
                <w:color w:val="auto"/>
              </w:rPr>
              <w:t>30.7 %</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2,883</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73"/>
        </w:trPr>
        <w:tc>
          <w:tcPr>
            <w:tcW w:w="2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June</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3,089</w:t>
            </w:r>
          </w:p>
        </w:tc>
        <w:tc>
          <w:tcPr>
            <w:tcW w:w="3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2,326</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763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32.8 %</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2,683</w:t>
            </w:r>
          </w:p>
        </w:tc>
        <w:tc>
          <w:tcPr>
            <w:tcW w:w="1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10,567</w:t>
            </w: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7,707</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2,860</w:t>
            </w:r>
          </w:p>
        </w:tc>
        <w:tc>
          <w:tcPr>
            <w:tcW w:w="1060" w:type="dxa"/>
            <w:vAlign w:val="bottom"/>
          </w:tcPr>
          <w:p>
            <w:pPr>
              <w:jc w:val="right"/>
              <w:spacing w:after="0"/>
              <w:rPr>
                <w:sz w:val="20"/>
                <w:szCs w:val="20"/>
                <w:color w:val="auto"/>
              </w:rPr>
            </w:pPr>
            <w:r>
              <w:rPr>
                <w:rFonts w:ascii="Arial" w:cs="Arial" w:eastAsia="Arial" w:hAnsi="Arial"/>
                <w:sz w:val="16"/>
                <w:szCs w:val="16"/>
                <w:color w:val="auto"/>
              </w:rPr>
              <w:t>37.1 %</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8,206</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23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8,000</w:t>
            </w: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6,678</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1,322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6,916</w:t>
            </w:r>
          </w:p>
        </w:tc>
        <w:tc>
          <w:tcPr>
            <w:tcW w:w="1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7,501</w:t>
            </w:r>
          </w:p>
        </w:tc>
        <w:tc>
          <w:tcPr>
            <w:tcW w:w="3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6,944</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4,922</w:t>
            </w:r>
          </w:p>
        </w:tc>
        <w:tc>
          <w:tcPr>
            <w:tcW w:w="1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23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34,568</w:t>
            </w:r>
          </w:p>
        </w:tc>
        <w:tc>
          <w:tcPr>
            <w:tcW w:w="3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28,198</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6,370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25,750</w:t>
            </w:r>
          </w:p>
        </w:tc>
        <w:tc>
          <w:tcPr>
            <w:tcW w:w="1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10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Class A, B and C wholesale shipments are based upon the forecast prepared by Dr. Richard Curtin of the University of Michigan Consumer Survey Research Center for RVIA and reported in the Roadsigns RV Summer 2013 Industry Forecast Issue. The RVIA annual 2013 wholesale shipment forecast was 33,500 (prior to actual April and May shipments being available). The RVIA 2014 wholesale shipment forecast is 35,600.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2013 retail demand for this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Calendar Year</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Calendar Year</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Increase</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60,402</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54,132</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6,270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33,698</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5,395</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60" w:type="dxa"/>
            <w:vAlign w:val="bottom"/>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71,095</w:t>
            </w:r>
          </w:p>
        </w:tc>
        <w:tc>
          <w:tcPr>
            <w:tcW w:w="34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65,987</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5,108</w:t>
            </w: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83,990</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79,155</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4,835</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56,601</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47,547</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9,054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67,344</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63,014</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4,330</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54,782</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45,266</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32,469</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30,044</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2,425</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16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242,880</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212,932</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29,948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222,896</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205,911</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16,985</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Increase</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6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66,745</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60,402</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6,343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42,261</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3,168</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1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April</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26,716</w:t>
            </w:r>
          </w:p>
        </w:tc>
        <w:tc>
          <w:tcPr>
            <w:tcW w:w="34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22,751</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3,965</w:t>
            </w:r>
          </w:p>
        </w:tc>
        <w:tc>
          <w:tcPr>
            <w:tcW w:w="940" w:type="dxa"/>
            <w:vAlign w:val="bottom"/>
          </w:tcPr>
          <w:p>
            <w:pPr>
              <w:jc w:val="right"/>
              <w:spacing w:after="0"/>
              <w:rPr>
                <w:sz w:val="20"/>
                <w:szCs w:val="20"/>
                <w:color w:val="auto"/>
              </w:rPr>
            </w:pPr>
            <w:r>
              <w:rPr>
                <w:rFonts w:ascii="Arial" w:cs="Arial" w:eastAsia="Arial" w:hAnsi="Arial"/>
                <w:sz w:val="16"/>
                <w:szCs w:val="16"/>
                <w:color w:val="auto"/>
              </w:rPr>
              <w:t>17.4%</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27,258</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24,950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2,308</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27,179</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24,546</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30,390</w:t>
            </w:r>
          </w:p>
        </w:tc>
        <w:tc>
          <w:tcPr>
            <w:tcW w:w="1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June</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24,714</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23,798</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28,650</w:t>
            </w:r>
          </w:p>
        </w:tc>
        <w:tc>
          <w:tcPr>
            <w:tcW w:w="1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78,609</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71,095</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83,990</w:t>
            </w: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60" w:type="dxa"/>
            <w:vAlign w:val="bottom"/>
          </w:tcPr>
          <w:p>
            <w:pPr>
              <w:ind w:left="40"/>
              <w:spacing w:after="0"/>
              <w:rPr>
                <w:sz w:val="20"/>
                <w:szCs w:val="20"/>
                <w:color w:val="auto"/>
              </w:rPr>
            </w:pPr>
            <w:r>
              <w:rPr>
                <w:rFonts w:ascii="Arial" w:cs="Arial" w:eastAsia="Arial" w:hAnsi="Arial"/>
                <w:sz w:val="16"/>
                <w:szCs w:val="16"/>
                <w:color w:val="auto"/>
              </w:rPr>
              <w:t>Q3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62,700</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56,601</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6,099</w:t>
            </w: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67,344</w:t>
            </w:r>
          </w:p>
        </w:tc>
        <w:tc>
          <w:tcPr>
            <w:tcW w:w="1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56,000</w:t>
            </w: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54,782</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1,218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32,469</w:t>
            </w: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16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264,054</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0" w:type="dxa"/>
            <w:vAlign w:val="bottom"/>
            <w:vMerge w:val="restart"/>
          </w:tcPr>
          <w:p>
            <w:pPr>
              <w:jc w:val="right"/>
              <w:ind w:right="99"/>
              <w:spacing w:after="0"/>
              <w:rPr>
                <w:sz w:val="20"/>
                <w:szCs w:val="20"/>
                <w:color w:val="auto"/>
              </w:rPr>
            </w:pPr>
            <w:r>
              <w:rPr>
                <w:rFonts w:ascii="Arial" w:cs="Arial" w:eastAsia="Arial" w:hAnsi="Arial"/>
                <w:sz w:val="16"/>
                <w:szCs w:val="16"/>
                <w:color w:val="auto"/>
              </w:rPr>
              <w:t>242,880</w:t>
            </w: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21,174</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222,896</w:t>
            </w: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160" w:type="dxa"/>
            <w:vAlign w:val="bottom"/>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140" w:hanging="332"/>
        <w:spacing w:after="0" w:line="22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towable wholesale shipments are based upon the forecast prepared by Dr. Richard Curtin of the University of Michigan Consumer Survey Research Center for RVIA and reported in the Roadsigns RV Summer 2013 Industry Forecast Issue. The RVIA annual 2013 wholesale shipment forecast was 261,500 (prior to actual April and May shipments being available). The RVIA 2014 wholesale shipment forecast is 271,100.</w:t>
      </w:r>
    </w:p>
    <w:p>
      <w:pPr>
        <w:spacing w:after="0" w:line="1"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4"/>
          <w:szCs w:val="14"/>
          <w:color w:val="auto"/>
        </w:rPr>
        <w:t>Stat Surveys has not issued a projection for 2013 retail demand for this period.</w:t>
      </w:r>
    </w:p>
    <w:p>
      <w:pPr>
        <w:sectPr>
          <w:pgSz w:w="11900" w:h="16838" w:orient="portrait"/>
          <w:cols w:equalWidth="0" w:num="1">
            <w:col w:w="11440"/>
          </w:cols>
          <w:pgMar w:left="240" w:top="141" w:right="219" w:bottom="95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41" w:right="219" w:bottom="957"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26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have the potential to grow revenues and earnings in a market significantly larger than the motorized market.</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As evidenced in the following table, our motorhome sales order backlog at the end of the third quarter of Fiscal 2013 significantly increased as compared to the end of the third quarter of Fiscal 2012. It has also increased sequentially from the end of the second quarter of Fiscal 2013, as previously illustrated. We believe the increase is a result of the overall growth of the RV industry coupled with positive dealer response and increased retail registration activity of our products.</w:t>
      </w:r>
    </w:p>
    <w:p>
      <w:pPr>
        <w:spacing w:after="0" w:line="366"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As a result of the improved demand, we have been increasing our production throughout the past nine months to meet the growing demand for our products while managing constraints as they present themselves in relation to labor and component parts. When measured as units produced per production day our production in the third quarter of Fiscal 2013 increased 47.5% compared to the units produced per production day in the same quarter last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2,846 as of June 1, 2013 represents orders to be shipped in the next two quarters.</w:t>
      </w:r>
    </w:p>
    <w:p>
      <w:pPr>
        <w:spacing w:after="0" w:line="1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believe that the level of our dealer inventory at the end of the third quarter of Fiscal 2013 is aligned with current market conditions given the improved retail demand and increased sales order backlog of our product.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June 1, 2013</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26, 2012</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1,397</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479</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918</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191.6 %</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499</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257</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242</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94.2 %</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1,896</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736</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1,160</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157.6 %</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149</w:t>
            </w:r>
          </w:p>
        </w:tc>
        <w:tc>
          <w:tcPr>
            <w:tcW w:w="58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jc w:val="right"/>
              <w:ind w:right="600"/>
              <w:spacing w:after="0"/>
              <w:rPr>
                <w:sz w:val="20"/>
                <w:szCs w:val="20"/>
                <w:color w:val="auto"/>
              </w:rPr>
            </w:pPr>
            <w:r>
              <w:rPr>
                <w:rFonts w:ascii="Arial" w:cs="Arial" w:eastAsia="Arial" w:hAnsi="Arial"/>
                <w:sz w:val="16"/>
                <w:szCs w:val="16"/>
                <w:color w:val="auto"/>
              </w:rPr>
              <w:t>120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29</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24.2 %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c>
          <w:tcPr>
            <w:tcW w:w="5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rPr>
              <w:t>381</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420</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110.2 %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2,846</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1,237</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1,609</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130.1 %</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359</w:t>
            </w:r>
          </w:p>
        </w:tc>
        <w:tc>
          <w:tcPr>
            <w:tcW w:w="58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jc w:val="right"/>
              <w:ind w:right="600"/>
              <w:spacing w:after="0"/>
              <w:rPr>
                <w:sz w:val="20"/>
                <w:szCs w:val="20"/>
                <w:color w:val="auto"/>
              </w:rPr>
            </w:pPr>
            <w:r>
              <w:rPr>
                <w:rFonts w:ascii="Arial" w:cs="Arial" w:eastAsia="Arial" w:hAnsi="Arial"/>
                <w:sz w:val="16"/>
                <w:szCs w:val="16"/>
                <w:color w:val="auto"/>
              </w:rPr>
              <w:t>301</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58</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19.3 %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5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rPr>
              <w:t>204</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(120)</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(58.8)%</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443</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505</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(62)</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(12.3)%</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292,307</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131,418</w:t>
            </w: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160,889</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122.4 %</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9,562</w:t>
            </w: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00"/>
              <w:spacing w:after="0"/>
              <w:rPr>
                <w:sz w:val="20"/>
                <w:szCs w:val="20"/>
                <w:color w:val="auto"/>
              </w:rPr>
            </w:pPr>
            <w:r>
              <w:rPr>
                <w:rFonts w:ascii="Arial" w:cs="Arial" w:eastAsia="Arial" w:hAnsi="Arial"/>
                <w:sz w:val="16"/>
                <w:szCs w:val="16"/>
                <w:color w:val="auto"/>
              </w:rPr>
              <w:t>12,487</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(2,925)</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(23.4)%</w:t>
            </w:r>
          </w:p>
        </w:tc>
      </w:tr>
    </w:tbl>
    <w:p>
      <w:pPr>
        <w:spacing w:after="0" w:line="24" w:lineRule="exact"/>
        <w:rPr>
          <w:sz w:val="20"/>
          <w:szCs w:val="20"/>
          <w:color w:val="auto"/>
        </w:rPr>
      </w:pPr>
    </w:p>
    <w:p>
      <w:pPr>
        <w:ind w:left="240" w:right="20" w:hanging="232"/>
        <w:spacing w:after="0" w:line="218"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20" w:type="dxa"/>
            <w:vAlign w:val="bottom"/>
          </w:tcPr>
          <w:p>
            <w:pPr>
              <w:spacing w:after="0"/>
              <w:rPr>
                <w:sz w:val="17"/>
                <w:szCs w:val="17"/>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26,</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218,199</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155,709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62,490</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40.1 %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197,002</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143,638</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53,364</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37.2 %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21,197</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12,071</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9,126</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75.6 %</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4,857</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526</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6,092</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4,213</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1,879</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44.6 %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10,949</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8,544</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2,405</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28.1 %</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10,248</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3,527</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6,721</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190.6 %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402</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(258)</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(64.2)%</w:t>
            </w:r>
          </w:p>
        </w:tc>
      </w:tr>
      <w:tr>
        <w:trPr>
          <w:trHeight w:val="257"/>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10,392</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3,929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6,463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164.5 %</w:t>
            </w:r>
          </w:p>
        </w:tc>
      </w:tr>
      <w:tr>
        <w:trPr>
          <w:trHeight w:val="264"/>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Provision (benefit) for taxes</w:t>
            </w:r>
          </w:p>
        </w:tc>
        <w:tc>
          <w:tcPr>
            <w:tcW w:w="22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2,731</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2,743</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40"/>
        </w:trPr>
        <w:tc>
          <w:tcPr>
            <w:tcW w:w="2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7,661</w:t>
            </w:r>
          </w:p>
        </w:tc>
        <w:tc>
          <w:tcPr>
            <w:tcW w:w="13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3,941</w:t>
            </w:r>
          </w:p>
        </w:tc>
        <w:tc>
          <w:tcPr>
            <w:tcW w:w="14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3,720</w:t>
            </w:r>
          </w:p>
        </w:tc>
        <w:tc>
          <w:tcPr>
            <w:tcW w:w="12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94.4 %</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0.27</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0.13</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0.14</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107.7 %</w:t>
            </w:r>
          </w:p>
        </w:tc>
      </w:tr>
      <w:tr>
        <w:trPr>
          <w:trHeight w:val="251"/>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28,087</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29,263</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(1,176)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(4.0)%</w:t>
            </w:r>
          </w:p>
        </w:tc>
      </w:tr>
    </w:tbl>
    <w:p>
      <w:pPr>
        <w:spacing w:after="0" w:line="4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260" w:type="dxa"/>
            <w:vAlign w:val="bottom"/>
          </w:tcPr>
          <w:p>
            <w:pPr>
              <w:jc w:val="right"/>
              <w:ind w:right="478"/>
              <w:spacing w:after="0"/>
              <w:rPr>
                <w:sz w:val="20"/>
                <w:szCs w:val="20"/>
                <w:color w:val="auto"/>
              </w:rPr>
            </w:pPr>
            <w:r>
              <w:rPr>
                <w:rFonts w:ascii="Arial" w:cs="Arial" w:eastAsia="Arial" w:hAnsi="Arial"/>
                <w:sz w:val="16"/>
                <w:szCs w:val="16"/>
                <w:b w:val="1"/>
                <w:bCs w:val="1"/>
                <w:color w:val="auto"/>
              </w:rPr>
              <w:t>May 26,</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2012</w:t>
            </w:r>
          </w:p>
        </w:tc>
        <w:tc>
          <w:tcPr>
            <w:tcW w:w="130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656</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429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227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52.9 %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323</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234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89</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38.0 %</w:t>
            </w:r>
          </w:p>
        </w:tc>
      </w:tr>
      <w:tr>
        <w:trPr>
          <w:trHeight w:val="247"/>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20" w:type="dxa"/>
            <w:vAlign w:val="bottom"/>
          </w:tcPr>
          <w:p>
            <w:pPr>
              <w:spacing w:after="0"/>
              <w:rPr>
                <w:sz w:val="21"/>
                <w:szCs w:val="21"/>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979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663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316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47.7 %</w:t>
            </w:r>
          </w:p>
        </w:tc>
      </w:tr>
      <w:tr>
        <w:trPr>
          <w:trHeight w:val="28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78</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87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r>
      <w:tr>
        <w:trPr>
          <w:trHeight w:val="264"/>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921</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530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391</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73.8 %</w:t>
            </w:r>
          </w:p>
        </w:tc>
      </w:tr>
      <w:tr>
        <w:trPr>
          <w:trHeight w:val="240"/>
        </w:trPr>
        <w:tc>
          <w:tcPr>
            <w:tcW w:w="2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1,978</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1,280</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698</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54.5 %</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97.9</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101.7</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(3.7)</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587</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357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230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64.4 %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126</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289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(163)</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(56.4)%</w:t>
            </w:r>
          </w:p>
        </w:tc>
      </w:tr>
      <w:tr>
        <w:trPr>
          <w:trHeight w:val="280"/>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713</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646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67</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10.4 %</w:t>
            </w:r>
          </w:p>
        </w:tc>
      </w:tr>
      <w:tr>
        <w:trPr>
          <w:trHeight w:val="267"/>
        </w:trPr>
        <w:tc>
          <w:tcPr>
            <w:tcW w:w="2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7"/>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21.5</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8"/>
              <w:spacing w:after="0"/>
              <w:rPr>
                <w:sz w:val="20"/>
                <w:szCs w:val="20"/>
                <w:color w:val="auto"/>
              </w:rPr>
            </w:pPr>
            <w:r>
              <w:rPr>
                <w:rFonts w:ascii="Arial" w:cs="Arial" w:eastAsia="Arial" w:hAnsi="Arial"/>
                <w:sz w:val="18"/>
                <w:szCs w:val="18"/>
                <w:color w:val="auto"/>
              </w:rPr>
              <w:t>25.1</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(3.6)</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(14.5)%</w:t>
            </w:r>
          </w:p>
        </w:tc>
      </w:tr>
    </w:tbl>
    <w:p>
      <w:pPr>
        <w:ind w:left="160" w:hanging="152"/>
        <w:spacing w:after="0" w:line="220"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jc w:val="right"/>
              <w:ind w:right="279"/>
              <w:spacing w:after="0"/>
              <w:rPr>
                <w:sz w:val="20"/>
                <w:szCs w:val="20"/>
                <w:color w:val="auto"/>
              </w:rPr>
            </w:pPr>
            <w:r>
              <w:rPr>
                <w:rFonts w:ascii="Arial" w:cs="Arial" w:eastAsia="Arial" w:hAnsi="Arial"/>
                <w:sz w:val="16"/>
                <w:szCs w:val="16"/>
                <w:b w:val="1"/>
                <w:bCs w:val="1"/>
                <w:color w:val="auto"/>
              </w:rPr>
              <w:t>May 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191,514</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128,016</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63,498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49.6 %</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15,345</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color w:val="auto"/>
              </w:rPr>
              <w:t>16,392</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(1,047)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(6.4)%</w:t>
            </w:r>
          </w:p>
        </w:tc>
      </w:tr>
      <w:tr>
        <w:trPr>
          <w:trHeight w:val="270"/>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3,282</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2,909</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12.8 %</w:t>
            </w:r>
          </w:p>
        </w:tc>
      </w:tr>
      <w:tr>
        <w:trPr>
          <w:trHeight w:val="264"/>
        </w:trPr>
        <w:tc>
          <w:tcPr>
            <w:tcW w:w="30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8,058</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8,392</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(334)</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r>
      <w:tr>
        <w:trPr>
          <w:trHeight w:val="24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218,199</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155,709</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62,490</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8890</wp:posOffset>
            </wp:positionV>
            <wp:extent cx="5325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ind w:left="260" w:hanging="238"/>
        <w:spacing w:after="0" w:line="224"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Motorhome unit revenue less discounts, sales promotions and incentives, and accrued loss on repurchase adjustments.</w:t>
      </w:r>
    </w:p>
    <w:p>
      <w:pPr>
        <w:ind w:left="260" w:hanging="238"/>
        <w:spacing w:after="0" w:line="199"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increase in motorhome net revenues of $63.5 million or 49.6% was attributed primarily to a 54.5% increase in unit deliveries driven by higher dealer and retail consumer demand, partially offset by a decrease in motorhome ASP of 3.7% as compared to the third quarter of Fiscal 2012. The decrease in ASP was primarily due to a shift in class A gas product to lower price points, a higher percent of Class C unit sales and a lower percent of class A diesel units sales in the third quarter of Fiscal 2013.</w:t>
      </w:r>
    </w:p>
    <w:p>
      <w:pPr>
        <w:spacing w:after="0" w:line="17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decrease in Towables revenues of $1.0 million or 6.4% was attributed to a decrease in ASP of 14.5% partially offset by a 10.4% increase in unit deliveries as compared to the third quarter of Fiscal 2012.</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$197.0 million, or 90.3% of net revenues for the third quarter of Fiscal 2013 compared to $143.6 million, or 92.2% of net revenues for the third quarter of Fiscal 2012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84.6% this year from 85.6% last year which was primarily due to a lower percentage of sales discounts and incentives of net revenues than the prior year.</w:t>
      </w:r>
    </w:p>
    <w:p>
      <w:pPr>
        <w:ind w:left="340" w:right="38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5.7% of net revenues compared to 6.6% for Fiscal 2012. This difference was primarily due to significantly higher production levels in Fiscal 2013 which resulted in higher absorption of fixed overhead costs.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7.8% to 9.7% of net revenues.</w:t>
      </w:r>
    </w:p>
    <w:p>
      <w:pPr>
        <w:spacing w:after="0" w:line="16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Selling expenses decreased to 2.2% from 2.8% of net revenues in the third quarter of Fiscal 2013 compared to Fiscal 2012, respectively. However, selling expenses increased $526,000, or 12.1%, in the third quarter of Fiscal 2013 compared to the same period in Fiscal 2012. The expense increase was primarily due to advertising expenses associated with our Dealer Days show and compensation expense in Fiscal 2013.</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General and administrative expenses were 2.8% and 2.7% of net revenues in the third quarter of Fiscal 2013 and Fiscal 2012, respectively. General and administrative expenses increased $1.9 million, or 44.6% in the third quarter of Fiscal 2013 compared to the same period in Fiscal 2012. This increase was due primarily to increases of $1.9 million in incentives accrued under annual and long-term bonus plans.</w:t>
      </w:r>
    </w:p>
    <w:p>
      <w:pPr>
        <w:spacing w:after="0" w:line="147"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Non-operating income decreased $258,000 or 64.2%, in the third quarter of Fiscal 2013 compared to the same period in Fiscal 2012. This difference is primarily due to higher proceeds from COLI policies in Fiscal 2012.</w:t>
      </w:r>
    </w:p>
    <w:p>
      <w:pPr>
        <w:spacing w:after="0" w:line="22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overall effective income tax provision rate for the third quarter of Fiscal 2013 was 26.3% compared to the tax benefit rate of (0.3)% for the second quarter of Fiscal 2012. The increase in tax rate for the third quarter of Fiscal 2013 is primarily a result of the level of pretax book income earned during the quarter. We also had a reduced level (in comparison to book income) of benefits recorded for uncertain tax positions during the quarter. Our effective tax benefit rate for the third quarter of Fiscal 2012 was impacted by the lack of taxable income being generated during the quarter, thus resulting in minimal tax being recorded during the quarter from operations. In addition, we recorded tax benefits in the quarter associated with tax planning initiatives as well as reductions to reserves for uncertain tax positions.</w:t>
      </w:r>
    </w:p>
    <w:p>
      <w:pPr>
        <w:spacing w:after="0" w:line="151"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Net income and diluted income per share were $7.7 million and $0.27 per share, respectively, for the third quarter of Fiscal 2013. In the third quarter of Fiscal 2012, the net income was $3.9 million and diluted income was $0.13 per share. The impact of stock repurchases since July 2012 (the date we began recent repurchases) on diluted net income per share was an increase of $0.01 for the third quarter of Fiscal 2013. See Part II, Item 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Compared to the Comparable Nine Months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2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3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588,919</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419,146</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169,773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40.5 %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529,784</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391,733</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93.5 %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138,051</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35.2 %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59,135</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27,413</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31,722</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115.7 %</w:t>
            </w:r>
          </w:p>
        </w:tc>
      </w:tr>
      <w:tr>
        <w:trPr>
          <w:trHeight w:val="28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13,649</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12,485</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1,164</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9.3 %</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16,392</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11,938</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4,454</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37.3 %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on assets held for sale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c>
          <w:tcPr>
            <w:tcW w:w="1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5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30,069</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24,423</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5,646</w:t>
            </w: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23.1 %</w:t>
            </w:r>
          </w:p>
        </w:tc>
      </w:tr>
      <w:tr>
        <w:trPr>
          <w:trHeight w:val="284"/>
        </w:trPr>
        <w:tc>
          <w:tcPr>
            <w:tcW w:w="2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29,066</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2,990</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26,076</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739</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190</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34.6 %</w:t>
            </w:r>
          </w:p>
        </w:tc>
      </w:tr>
      <w:tr>
        <w:trPr>
          <w:trHeight w:val="247"/>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29,805</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3,539</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26,266</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8,468</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(525)</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8,993</w:t>
            </w:r>
          </w:p>
        </w:tc>
        <w:tc>
          <w:tcPr>
            <w:tcW w:w="1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21,337</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4,064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17,273</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425.0 %</w:t>
            </w:r>
          </w:p>
        </w:tc>
      </w:tr>
      <w:tr>
        <w:trPr>
          <w:trHeight w:val="267"/>
        </w:trPr>
        <w:tc>
          <w:tcPr>
            <w:tcW w:w="2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0.76</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0.14</w:t>
            </w: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0.62</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442.9 %</w:t>
            </w:r>
          </w:p>
        </w:tc>
      </w:tr>
      <w:tr>
        <w:trPr>
          <w:trHeight w:val="28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28,218</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29,243</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(1,025)</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r>
    </w:tbl>
    <w:p>
      <w:pPr>
        <w:spacing w:after="0" w:line="2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260" w:type="dxa"/>
            <w:vAlign w:val="bottom"/>
          </w:tcPr>
          <w:p>
            <w:pPr>
              <w:jc w:val="right"/>
              <w:ind w:right="478"/>
              <w:spacing w:after="0"/>
              <w:rPr>
                <w:sz w:val="20"/>
                <w:szCs w:val="20"/>
                <w:color w:val="auto"/>
              </w:rPr>
            </w:pPr>
            <w:r>
              <w:rPr>
                <w:rFonts w:ascii="Arial" w:cs="Arial" w:eastAsia="Arial" w:hAnsi="Arial"/>
                <w:sz w:val="16"/>
                <w:szCs w:val="16"/>
                <w:b w:val="1"/>
                <w:bCs w:val="1"/>
                <w:color w:val="auto"/>
              </w:rPr>
              <w:t>May 26,</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2012</w:t>
            </w:r>
          </w:p>
        </w:tc>
        <w:tc>
          <w:tcPr>
            <w:tcW w:w="130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1,779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1,163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616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53.0 %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989</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701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288</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41.1 %</w:t>
            </w:r>
          </w:p>
        </w:tc>
      </w:tr>
      <w:tr>
        <w:trPr>
          <w:trHeight w:val="247"/>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20" w:type="dxa"/>
            <w:vAlign w:val="bottom"/>
          </w:tcPr>
          <w:p>
            <w:pPr>
              <w:spacing w:after="0"/>
              <w:rPr>
                <w:sz w:val="21"/>
                <w:szCs w:val="21"/>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2,768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1,864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904</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48.5 %</w:t>
            </w:r>
          </w:p>
        </w:tc>
      </w:tr>
      <w:tr>
        <w:trPr>
          <w:trHeight w:val="28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263</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215</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22.3 %</w:t>
            </w:r>
          </w:p>
        </w:tc>
      </w:tr>
      <w:tr>
        <w:trPr>
          <w:trHeight w:val="264"/>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1,900</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1,242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658</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53.0 %</w:t>
            </w:r>
          </w:p>
        </w:tc>
      </w:tr>
      <w:tr>
        <w:trPr>
          <w:trHeight w:val="240"/>
        </w:trPr>
        <w:tc>
          <w:tcPr>
            <w:tcW w:w="2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4,931</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3,321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1,610</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48.5 %</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106.2</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106.0</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0.1</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1,433</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928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505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54.4 %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385</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715</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(330)</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(46.2)%</w:t>
            </w:r>
          </w:p>
        </w:tc>
      </w:tr>
      <w:tr>
        <w:trPr>
          <w:trHeight w:val="280"/>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1,818</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1,643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175</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10.7 %</w:t>
            </w:r>
          </w:p>
        </w:tc>
      </w:tr>
      <w:tr>
        <w:trPr>
          <w:trHeight w:val="267"/>
        </w:trPr>
        <w:tc>
          <w:tcPr>
            <w:tcW w:w="2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7"/>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21.6</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8"/>
              <w:spacing w:after="0"/>
              <w:rPr>
                <w:sz w:val="20"/>
                <w:szCs w:val="20"/>
                <w:color w:val="auto"/>
              </w:rPr>
            </w:pPr>
            <w:r>
              <w:rPr>
                <w:rFonts w:ascii="Arial" w:cs="Arial" w:eastAsia="Arial" w:hAnsi="Arial"/>
                <w:sz w:val="18"/>
                <w:szCs w:val="18"/>
                <w:color w:val="auto"/>
              </w:rPr>
              <w:t>24.6</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(3.1)</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(12.4)%</w:t>
            </w:r>
          </w:p>
        </w:tc>
      </w:tr>
    </w:tbl>
    <w:p>
      <w:pPr>
        <w:ind w:left="160" w:hanging="152"/>
        <w:spacing w:after="0" w:line="220"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26,</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2012</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517,216</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347,510</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169,706</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48.8 %</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39,309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499"/>
              <w:spacing w:after="0"/>
              <w:rPr>
                <w:sz w:val="20"/>
                <w:szCs w:val="20"/>
                <w:color w:val="auto"/>
              </w:rPr>
            </w:pPr>
            <w:r>
              <w:rPr>
                <w:rFonts w:ascii="Arial" w:cs="Arial" w:eastAsia="Arial" w:hAnsi="Arial"/>
                <w:sz w:val="16"/>
                <w:szCs w:val="16"/>
                <w:color w:val="auto"/>
              </w:rPr>
              <w:t>40,948</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(1,639)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(4.0)%</w:t>
            </w:r>
          </w:p>
        </w:tc>
      </w:tr>
      <w:tr>
        <w:trPr>
          <w:trHeight w:val="270"/>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9,570</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8,695</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875</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10.1 %</w:t>
            </w:r>
          </w:p>
        </w:tc>
      </w:tr>
      <w:tr>
        <w:trPr>
          <w:trHeight w:val="264"/>
        </w:trPr>
        <w:tc>
          <w:tcPr>
            <w:tcW w:w="30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22,824</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21,993</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831</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3.8 %</w:t>
            </w:r>
          </w:p>
        </w:tc>
      </w:tr>
      <w:tr>
        <w:trPr>
          <w:trHeight w:val="24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588,919</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419,146</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169,773</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8890</wp:posOffset>
            </wp:positionV>
            <wp:extent cx="5325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ind w:left="260" w:hanging="238"/>
        <w:spacing w:after="0" w:line="224"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Motorhome unit revenue less discounts, sales promotions and incentives, and accrued loss on repurchase adjustments.</w:t>
      </w:r>
    </w:p>
    <w:p>
      <w:pPr>
        <w:ind w:left="260" w:hanging="238"/>
        <w:spacing w:after="0" w:line="199"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increase in motorhome net revenues of $169.7 million or 48.8% was attributed primarily to a 48.5% increase in unit deliveries in the first nine months of Fiscal 2013 driven by higher dealer and retail consumer demand as compared to the first nine months of Fiscal 2012.</w:t>
      </w:r>
    </w:p>
    <w:p>
      <w:pPr>
        <w:spacing w:after="0" w:line="169"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Towables revenues were $39.3 million in the first nine months of Fiscal 2013, compared to $40.9 million in the first nine months of Fiscal 2012. Overall, the 10.7% increase in unit deliveries was offset by a 12.4% decrease in ASPs.</w:t>
      </w:r>
    </w:p>
    <w:p>
      <w:pPr>
        <w:spacing w:after="0" w:line="16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Cost of goods sold was $529.8 million, or 90.0% of net revenues for the first nine months of Fiscal 2013 compared to $391.7 million, or 93.5% of net revenues for the first nine months of Fiscal 2012 due to the following:</w:t>
      </w:r>
    </w:p>
    <w:p>
      <w:pPr>
        <w:spacing w:after="0" w:line="14" w:lineRule="exact"/>
        <w:rPr>
          <w:sz w:val="20"/>
          <w:szCs w:val="20"/>
          <w:color w:val="auto"/>
        </w:rPr>
      </w:pPr>
    </w:p>
    <w:p>
      <w:pPr>
        <w:ind w:left="340" w:right="20" w:hanging="332"/>
        <w:spacing w:after="0" w:line="25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Total variable costs (materials, direct labor, variable overhead, delivery expense and warranty), as a percent of net revenues, decreased to 84.2% this year from 85.9% last year which was primarily due to lower material costs and greater production efficiencies due to increased production levels.</w:t>
      </w:r>
    </w:p>
    <w:p>
      <w:pPr>
        <w:spacing w:after="0" w:line="21"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5.8% of net revenues compared to 7.6% for Fiscal 2012. This difference was primarily due significantly higher production levels in Fiscal 2013 which resulted in higher absorption of fixed overhead costs.</w:t>
      </w:r>
    </w:p>
    <w:p>
      <w:pPr>
        <w:spacing w:after="0" w:line="1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All factors considered, gross profit increased from 6.5% to 10.0% of net revenues.</w:t>
      </w:r>
    </w:p>
    <w:p>
      <w:pPr>
        <w:spacing w:after="0" w:line="170"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Selling expenses decreased to 2.3% from 3.0% of net revenues in the first nine months of Fiscal 2013 as compared to Fiscal 2012, respectively. However, selling expenses increased $1.2 million, or 9.3%, in the first nine months of Fiscal 2013 compared to the same period in Fiscal 2012. The expense increase was due to increased sales compensation of $500,000, advertising expenses of $270,000, and accrued incentives of $115,000.</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General and administrative expenses were 2.8% and 2.8% of net revenues in the first nine months of Fiscal 2013 and Fiscal 2012, respectively. General and administrative expenses increased $4.5 million, or 37.3% in the first nine months of Fiscal 2013compared to the same period in Fiscal 2012. This increase was due primarily to increases of $3.9 million in incentives accrued under annual and long-term bonus plans, $460,000 in consulting and audit fees, and $440,000 in legal expenses.</w:t>
      </w:r>
    </w:p>
    <w:p>
      <w:pPr>
        <w:spacing w:after="0" w:line="14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During the first quarter of Fiscal 2013 we realized a loss of $28,000 on the sale of an idled manufacturing facility (Hampton). See Note 6 to the financial statements.</w:t>
      </w:r>
    </w:p>
    <w:p>
      <w:pPr>
        <w:spacing w:after="0" w:line="14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Non-operating income increased $190,000 or 34.6%, in the first nine months of Fiscal 2013compared to the same period in Fiscal 2012. This difference is primarily due to reduced COLI expenses and financing fees.</w:t>
      </w:r>
    </w:p>
    <w:p>
      <w:pPr>
        <w:spacing w:after="0" w:line="223"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overall effective income tax provision rate for the first nine months of Fiscal 2013 was 28.4% compared to the tax benefit rate of (14.8)% for the first nine months of Fiscal 2012. The tax rate for the first nine months of Fiscal 2013 most notably is a result of the level of pretax book income earned during the first nine months of Fiscal 2013. We also had a reduced level (in comparison to book income) of benefits recorded for uncertain tax positions during the first nine months. Our effective tax benefit rate for the first nine months of Fiscal 2012 was impacted by the pretax loss recorded during the first six months, as well as favorable tax benefits being recorded to the reserve for uncertain tax positions, as well as tax planning initiatives recorded during this period.</w:t>
      </w:r>
    </w:p>
    <w:p>
      <w:pPr>
        <w:spacing w:after="0" w:line="149"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Net income and diluted income per share were $21.3 million and $0.76 per share, respectively, for the first nine months of Fiscal 2013. In the first nine months of Fiscal 2012, the net income was $4.1 million and diluted income was $0.14 per share. The impact of stock repurchases since July 2012 (the date we began recent repurchases) on diluted net income per share was an increase of $0.03 for the first nine months of Fiscal 2013. See Part II, Item 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and cash equivalents decreased $20.3 million during the first nine months of Fiscal 2013 and totaled $42.4 million as of June 1, 2013. Significant liquidity events that occurred during the first nine months of Fiscal 2013 were:</w:t>
      </w:r>
    </w:p>
    <w:p>
      <w:pPr>
        <w:spacing w:after="0" w:line="14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Generated net income of $21.3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in inventory of $26.3 million: The increase was primarily a result of significantly more finished goods units ready for delivery and in transit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 repurchases of approximately $11.1 million</w:t>
      </w:r>
    </w:p>
    <w:p>
      <w:pPr>
        <w:spacing w:after="0" w:line="8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our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See Note 8 to the financial statements.</w:t>
      </w: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Working capital at June 1, 2013 and August 25, 2012 was $141.6 million and $126.1 million, respectively, an increase of $15.5 million. We currently expect cash on hand, funds generated from operations and the availability under a credit facility to be sufficient to cover both short-term and long-term operating requirements. We anticipate capital expenditures during the balance of Fiscal 2013 of approximately $1.4 million, primarily for manufacturing equipment and facilities.</w:t>
      </w:r>
    </w:p>
    <w:p>
      <w:pPr>
        <w:spacing w:after="0" w:line="23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made share repurchases of $11.1 million in the first nine months of Fiscal 2013. See Part II, Item 2. If we believe the common stock is trading at attractive levels we may purchase additional shares in the remainder of Fiscal 2013.</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Cash used in operating activities was $6.9 million for the nine months ended June 1, 2013 compared to cash provided by operating activities of $11.7 million for the nine months ended May 26, 2012. The combination of net income of $21.3 million in Fiscal 2013 and changes in non-cash charges (e.g., depreciation, LIFO, stock-based compensation, deferred income taxes) provided $23.9 million of operating cash compared to $9.1 million in the first nine months of Fiscal 2012. In the nine months ended June 1, 2013 changes in assets and liabilities (primarily an increase in inventories) used $30.8 million of operating cash. In the nine months ended May 26, 2012, changes in assets and liabilities provided $2.6 million of operating cash.</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Cash used in investing activities of $2.1 million for the nine months ended June 1, 2013 was due primarily to capital spending of $3.3 million and payments of COLI borrowings of $1.4 million, and was partially offset by proceeds of $1.0 million from COLI policies and proceeds of $637,000 from the sale of property. In the nine months ended May 26, 2012, cash provided by investing activities of $85,000 was due to COLI proceeds of $1.4 million, and was offset by capital spending of $1.5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used in financing activities of $11.2 million for the nine months ended June 1, 2013 was primarily due to $11.1 million in repurchases of our stock. Cash used in financing activities for the nine months ended May 26, 2012 was $310,000.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25, 2012.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25, 2012.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4 to the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141" w:right="29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4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2013, approximately 154,000 shares were repurchased under the authorization, at an aggregate cost of approximately $2.8 million. Approximately 10,300 of these shares were repurchased from employees who vested in Winnebago Industries shares during the third quarter of Fiscal 2013 and elected to pay their payroll tax via shares as opposed to cash. As of June 1, 2013, there was approximately $41.4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third quarter of Fiscal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20" w:type="dxa"/>
            <w:vAlign w:val="bottom"/>
          </w:tcPr>
          <w:p>
            <w:pPr>
              <w:jc w:val="center"/>
              <w:ind w:right="119"/>
              <w:spacing w:after="0"/>
              <w:rPr>
                <w:sz w:val="20"/>
                <w:szCs w:val="20"/>
                <w:color w:val="auto"/>
              </w:rPr>
            </w:pPr>
            <w:r>
              <w:rPr>
                <w:rFonts w:ascii="Arial" w:cs="Arial" w:eastAsia="Arial" w:hAnsi="Arial"/>
                <w:sz w:val="16"/>
                <w:szCs w:val="16"/>
                <w:b w:val="1"/>
                <w:bCs w:val="1"/>
                <w:color w:val="auto"/>
              </w:rPr>
              <w:t>Number of Shares</w:t>
            </w:r>
          </w:p>
        </w:tc>
        <w:tc>
          <w:tcPr>
            <w:tcW w:w="32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20" w:type="dxa"/>
            <w:vAlign w:val="bottom"/>
          </w:tcPr>
          <w:p>
            <w:pPr>
              <w:jc w:val="center"/>
              <w:ind w:right="119"/>
              <w:spacing w:after="0"/>
              <w:rPr>
                <w:sz w:val="20"/>
                <w:szCs w:val="20"/>
                <w:color w:val="auto"/>
              </w:rPr>
            </w:pPr>
            <w:r>
              <w:rPr>
                <w:rFonts w:ascii="Arial" w:cs="Arial" w:eastAsia="Arial" w:hAnsi="Arial"/>
                <w:sz w:val="16"/>
                <w:szCs w:val="16"/>
                <w:b w:val="1"/>
                <w:bCs w:val="1"/>
                <w:color w:val="auto"/>
              </w:rPr>
              <w:t>Purchased as Part of</w:t>
            </w:r>
          </w:p>
        </w:tc>
        <w:tc>
          <w:tcPr>
            <w:tcW w:w="32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tcPr>
          <w:p>
            <w:pPr>
              <w:jc w:val="center"/>
              <w:ind w:right="119"/>
              <w:spacing w:after="0"/>
              <w:rPr>
                <w:sz w:val="20"/>
                <w:szCs w:val="20"/>
                <w:color w:val="auto"/>
              </w:rPr>
            </w:pPr>
            <w:r>
              <w:rPr>
                <w:rFonts w:ascii="Arial" w:cs="Arial" w:eastAsia="Arial" w:hAnsi="Arial"/>
                <w:sz w:val="16"/>
                <w:szCs w:val="16"/>
                <w:b w:val="1"/>
                <w:bCs w:val="1"/>
                <w:color w:val="auto"/>
              </w:rPr>
              <w:t>Publicly Announced</w:t>
            </w:r>
          </w:p>
        </w:tc>
        <w:tc>
          <w:tcPr>
            <w:tcW w:w="32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Plans or Programs</w:t>
            </w:r>
          </w:p>
        </w:tc>
        <w:tc>
          <w:tcPr>
            <w:tcW w:w="3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03/03/13 - 04/06/13</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20.32</w:t>
            </w:r>
          </w:p>
        </w:tc>
        <w:tc>
          <w:tcPr>
            <w:tcW w:w="2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20,280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43,787,000</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04/07/13 - 05/04/13</w:t>
            </w:r>
          </w:p>
        </w:tc>
        <w:tc>
          <w:tcPr>
            <w:tcW w:w="1800" w:type="dxa"/>
            <w:vAlign w:val="bottom"/>
          </w:tcPr>
          <w:p>
            <w:pPr>
              <w:jc w:val="right"/>
              <w:spacing w:after="0"/>
              <w:rPr>
                <w:sz w:val="20"/>
                <w:szCs w:val="20"/>
                <w:color w:val="auto"/>
              </w:rPr>
            </w:pPr>
            <w:r>
              <w:rPr>
                <w:rFonts w:ascii="Arial" w:cs="Arial" w:eastAsia="Arial" w:hAnsi="Arial"/>
                <w:sz w:val="16"/>
                <w:szCs w:val="16"/>
                <w:color w:val="auto"/>
              </w:rPr>
              <w:t>133,377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17.58</w:t>
            </w:r>
          </w:p>
        </w:tc>
        <w:tc>
          <w:tcPr>
            <w:tcW w:w="2120" w:type="dxa"/>
            <w:vAlign w:val="bottom"/>
          </w:tcPr>
          <w:p>
            <w:pPr>
              <w:jc w:val="right"/>
              <w:ind w:right="159"/>
              <w:spacing w:after="0"/>
              <w:rPr>
                <w:sz w:val="20"/>
                <w:szCs w:val="20"/>
                <w:color w:val="auto"/>
              </w:rPr>
            </w:pPr>
            <w:r>
              <w:rPr>
                <w:rFonts w:ascii="Arial" w:cs="Arial" w:eastAsia="Arial" w:hAnsi="Arial"/>
                <w:sz w:val="16"/>
                <w:szCs w:val="16"/>
                <w:color w:val="auto"/>
              </w:rPr>
              <w:t>133,377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41,442,000</w:t>
            </w:r>
          </w:p>
        </w:tc>
      </w:tr>
      <w:tr>
        <w:trPr>
          <w:trHeight w:val="27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05/05/13 - 06/01/13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41,442,000</w:t>
            </w:r>
          </w:p>
        </w:tc>
      </w:tr>
      <w:tr>
        <w:trPr>
          <w:trHeight w:val="267"/>
        </w:trPr>
        <w:tc>
          <w:tcPr>
            <w:tcW w:w="27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17.94</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153,657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41,442,000</w:t>
            </w:r>
          </w:p>
        </w:tc>
      </w:tr>
      <w:tr>
        <w:trPr>
          <w:trHeight w:val="20"/>
        </w:trPr>
        <w:tc>
          <w:tcPr>
            <w:tcW w:w="2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10.1</w:t>
        <w:tab/>
        <w:t>Winnebago Industries, Inc. Directors' Deferred Compensation Plan as amended on July 1, 2013.</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June 28, 2013.</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June 28, 2013.</w:t>
      </w:r>
    </w:p>
    <w:p>
      <w:pPr>
        <w:spacing w:after="0" w:line="167" w:lineRule="exact"/>
        <w:rPr>
          <w:sz w:val="20"/>
          <w:szCs w:val="20"/>
          <w:color w:val="auto"/>
        </w:rPr>
      </w:pPr>
    </w:p>
    <w:p>
      <w:pPr>
        <w:ind w:left="500" w:right="42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June 28, 2013.</w:t>
      </w:r>
    </w:p>
    <w:p>
      <w:pPr>
        <w:spacing w:after="0" w:line="142" w:lineRule="exact"/>
        <w:rPr>
          <w:sz w:val="20"/>
          <w:szCs w:val="20"/>
          <w:color w:val="auto"/>
        </w:rPr>
      </w:pPr>
    </w:p>
    <w:p>
      <w:pPr>
        <w:ind w:left="500" w:right="48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June 28, 2013.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360"/>
          </w:cols>
          <w:pgMar w:left="240" w:top="141" w:right="29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June 1, 2013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5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60"/>
          </w:cols>
          <w:pgMar w:left="240" w:top="141" w:right="29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 DEFERRED COMPENSATION PLAN</w:t>
      </w:r>
    </w:p>
    <w:p>
      <w:pPr>
        <w:jc w:val="center"/>
        <w:spacing w:after="0"/>
        <w:rPr>
          <w:sz w:val="20"/>
          <w:szCs w:val="20"/>
          <w:color w:val="auto"/>
        </w:rPr>
      </w:pPr>
      <w:r>
        <w:rPr>
          <w:rFonts w:ascii="Arial" w:cs="Arial" w:eastAsia="Arial" w:hAnsi="Arial"/>
          <w:sz w:val="20"/>
          <w:szCs w:val="20"/>
          <w:b w:val="1"/>
          <w:bCs w:val="1"/>
          <w:color w:val="auto"/>
        </w:rPr>
        <w:t>as Amended on July 1, 2013</w:t>
      </w:r>
    </w:p>
    <w:p>
      <w:pPr>
        <w:spacing w:after="0" w:line="1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Plan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Winnebago Industries, Inc. Directors' Deferred Compensation Plan (the "Plan").</w:t>
      </w:r>
    </w:p>
    <w:p>
      <w:pPr>
        <w:spacing w:after="0" w:line="19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Effective Date and Plan Year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Plan is effective April 1, 1997. The Plan Year shall be from January 1 through December 31 each year.</w:t>
      </w:r>
    </w:p>
    <w:p>
      <w:pPr>
        <w:spacing w:after="0" w:line="19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the Plan</w:t>
      </w:r>
    </w:p>
    <w:p>
      <w:pPr>
        <w:spacing w:after="0" w:line="22" w:lineRule="exact"/>
        <w:rPr>
          <w:sz w:val="20"/>
          <w:szCs w:val="20"/>
          <w:color w:val="auto"/>
        </w:rPr>
      </w:pPr>
    </w:p>
    <w:p>
      <w:pPr>
        <w:jc w:val="both"/>
        <w:ind w:left="660" w:right="160" w:firstLine="648"/>
        <w:spacing w:after="0" w:line="241" w:lineRule="auto"/>
        <w:rPr>
          <w:sz w:val="20"/>
          <w:szCs w:val="20"/>
          <w:color w:val="auto"/>
        </w:rPr>
      </w:pPr>
      <w:r>
        <w:rPr>
          <w:rFonts w:ascii="Arial" w:cs="Arial" w:eastAsia="Arial" w:hAnsi="Arial"/>
          <w:sz w:val="20"/>
          <w:szCs w:val="20"/>
          <w:color w:val="auto"/>
        </w:rPr>
        <w:t>The Plan's purpose is to enable the directors of Winnebago Industries, Inc. (the "Company"), who are non-employees, to elect to receive their fees and retainers as members of the Board of Directors and committees of the Board of Directors in a form other than as direct payments.</w:t>
      </w:r>
    </w:p>
    <w:p>
      <w:pPr>
        <w:spacing w:after="0" w:line="19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Participants</w:t>
      </w:r>
    </w:p>
    <w:p>
      <w:pPr>
        <w:spacing w:after="0" w:line="22" w:lineRule="exact"/>
        <w:rPr>
          <w:sz w:val="20"/>
          <w:szCs w:val="20"/>
          <w:color w:val="auto"/>
        </w:rPr>
      </w:pPr>
    </w:p>
    <w:p>
      <w:pPr>
        <w:ind w:left="660" w:right="1060" w:firstLine="648"/>
        <w:spacing w:after="0" w:line="298" w:lineRule="auto"/>
        <w:rPr>
          <w:sz w:val="20"/>
          <w:szCs w:val="20"/>
          <w:color w:val="auto"/>
        </w:rPr>
      </w:pPr>
      <w:r>
        <w:rPr>
          <w:rFonts w:ascii="Arial" w:cs="Arial" w:eastAsia="Arial" w:hAnsi="Arial"/>
          <w:sz w:val="18"/>
          <w:szCs w:val="18"/>
          <w:color w:val="auto"/>
        </w:rPr>
        <w:t>Any member of the Board of Directors of the Company who is not an employee may elect to become a participant ("Participant" or "Director") under the Plan by filing an election in the form prescribed by the Board of Directors.</w:t>
      </w:r>
    </w:p>
    <w:p>
      <w:pPr>
        <w:spacing w:after="0" w:line="13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Eligible for Deferral</w:t>
      </w:r>
    </w:p>
    <w:p>
      <w:pPr>
        <w:spacing w:after="0" w:line="22" w:lineRule="exact"/>
        <w:rPr>
          <w:sz w:val="20"/>
          <w:szCs w:val="20"/>
          <w:color w:val="auto"/>
        </w:rPr>
      </w:pPr>
    </w:p>
    <w:p>
      <w:pPr>
        <w:ind w:left="660" w:firstLine="648"/>
        <w:spacing w:after="0" w:line="276" w:lineRule="auto"/>
        <w:rPr>
          <w:sz w:val="20"/>
          <w:szCs w:val="20"/>
          <w:color w:val="auto"/>
        </w:rPr>
      </w:pPr>
      <w:r>
        <w:rPr>
          <w:rFonts w:ascii="Arial" w:cs="Arial" w:eastAsia="Arial" w:hAnsi="Arial"/>
          <w:sz w:val="18"/>
          <w:szCs w:val="18"/>
          <w:color w:val="auto"/>
        </w:rPr>
        <w:t>Any Participant may elect, in accordance with Section 6 of this Plan, to defer annually the receipt of a portion of the director's fees or retainers otherwise payable to him or her by the Company in any calendar year for services to the Company ("Deferral Compensation"), which portion shall be designated by him or her. Compensation paid to a Director for business or professional services rendered to the Company in any capacity other than as a Director shall not be treated as Deferral Compensation.</w:t>
      </w:r>
    </w:p>
    <w:p>
      <w:pPr>
        <w:spacing w:after="0" w:line="16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Election Form</w:t>
      </w:r>
    </w:p>
    <w:p>
      <w:pPr>
        <w:spacing w:after="0" w:line="22" w:lineRule="exact"/>
        <w:rPr>
          <w:sz w:val="20"/>
          <w:szCs w:val="20"/>
          <w:color w:val="auto"/>
        </w:rPr>
      </w:pPr>
    </w:p>
    <w:p>
      <w:pPr>
        <w:ind w:left="660" w:right="220" w:firstLine="648"/>
        <w:spacing w:after="0"/>
        <w:rPr>
          <w:sz w:val="20"/>
          <w:szCs w:val="20"/>
          <w:color w:val="auto"/>
        </w:rPr>
      </w:pPr>
      <w:r>
        <w:rPr>
          <w:rFonts w:ascii="Arial" w:cs="Arial" w:eastAsia="Arial" w:hAnsi="Arial"/>
          <w:sz w:val="20"/>
          <w:szCs w:val="20"/>
          <w:color w:val="auto"/>
        </w:rPr>
        <w:t>Each Director shall be entitled to file with the Plan Administrator prior to December 31 of each Plan Year (or prior to the commencement of the term of a new Director) a form prescribed by the Board of Directors so as to make an election under the Plan effective for the following Plan Year. Pursuant to such election, a Director may elect with respect to a Plan Year to defer a designated percentage of Deferral Compensation of either fifty percent (50%) or one hundred percent (100%). The Director's election shall also include: (i) the manner in which the Deferral Compensation is to be applied, and (ii) the form of distribution of any Deferral Compensation, subject to Section 10 and Section 12.</w:t>
      </w:r>
    </w:p>
    <w:p>
      <w:pPr>
        <w:spacing w:after="0" w:line="198" w:lineRule="exact"/>
        <w:rPr>
          <w:sz w:val="20"/>
          <w:szCs w:val="20"/>
          <w:color w:val="auto"/>
        </w:rPr>
      </w:pPr>
    </w:p>
    <w:p>
      <w:pPr>
        <w:ind w:left="660" w:right="60" w:firstLine="648"/>
        <w:spacing w:after="0" w:line="250" w:lineRule="auto"/>
        <w:rPr>
          <w:sz w:val="20"/>
          <w:szCs w:val="20"/>
          <w:color w:val="auto"/>
        </w:rPr>
      </w:pPr>
      <w:r>
        <w:rPr>
          <w:rFonts w:ascii="Arial" w:cs="Arial" w:eastAsia="Arial" w:hAnsi="Arial"/>
          <w:sz w:val="20"/>
          <w:szCs w:val="20"/>
          <w:color w:val="auto"/>
        </w:rPr>
        <w:t>A Director's election regarding the amount of Deferral Compensation shall be irrevocable with respect to Deferral Compensation deferred in any one year. A Director may elect to apply 100% of his or her Deferral Compensation to either but not both of the following forms:</w:t>
      </w:r>
    </w:p>
    <w:p>
      <w:pPr>
        <w:spacing w:after="0" w:line="18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"Money Credits" which are described in Section 7(a); or</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"Winnebago Stock Units" which are described in Section 7(b).</w:t>
      </w:r>
    </w:p>
    <w:p>
      <w:pPr>
        <w:spacing w:after="0" w:line="21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Deferral Accounts</w:t>
      </w:r>
    </w:p>
    <w:p>
      <w:pPr>
        <w:spacing w:after="0" w:line="22" w:lineRule="exact"/>
        <w:rPr>
          <w:sz w:val="20"/>
          <w:szCs w:val="20"/>
          <w:color w:val="auto"/>
        </w:rPr>
      </w:pPr>
    </w:p>
    <w:p>
      <w:pPr>
        <w:ind w:left="660" w:right="80" w:firstLine="648"/>
        <w:spacing w:after="0"/>
        <w:rPr>
          <w:sz w:val="20"/>
          <w:szCs w:val="20"/>
          <w:color w:val="auto"/>
        </w:rPr>
      </w:pPr>
      <w:r>
        <w:rPr>
          <w:rFonts w:ascii="Arial" w:cs="Arial" w:eastAsia="Arial" w:hAnsi="Arial"/>
          <w:sz w:val="20"/>
          <w:szCs w:val="20"/>
          <w:color w:val="auto"/>
        </w:rPr>
        <w:t>Accounts ("Director's Deferral Accounts") will be established by the Company for each Director electing to defer fees or retainers and invest his or her Deferral Compensation in either "Money Credits" or "Winnebago Stock Units." His or her Director's Deferral Accounts shall be credited as of the last day of each calendar month with the amount of Deferral Compensation earned during that month. Deferral Compensation shall be converted into "Money Credits" or "Winnebago Stock Units" in accordance with the following procedures: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26" w:name="page27"/>
    <w:bookmarkEnd w:id="26"/>
    <w:p>
      <w:pPr>
        <w:ind w:left="1952"/>
        <w:spacing w:after="0"/>
        <w:tabs>
          <w:tab w:leader="none" w:pos="2252"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18"/>
          <w:szCs w:val="18"/>
          <w:b w:val="1"/>
          <w:bCs w:val="1"/>
          <w:color w:val="auto"/>
        </w:rPr>
        <w:t>Money Credits</w:t>
      </w:r>
    </w:p>
    <w:p>
      <w:pPr>
        <w:spacing w:after="0" w:line="22" w:lineRule="exact"/>
        <w:rPr>
          <w:sz w:val="20"/>
          <w:szCs w:val="20"/>
          <w:color w:val="auto"/>
        </w:rPr>
      </w:pPr>
    </w:p>
    <w:p>
      <w:pPr>
        <w:ind w:left="1292" w:right="100" w:firstLine="648"/>
        <w:spacing w:after="0" w:line="274" w:lineRule="auto"/>
        <w:rPr>
          <w:sz w:val="20"/>
          <w:szCs w:val="20"/>
          <w:color w:val="auto"/>
        </w:rPr>
      </w:pPr>
      <w:r>
        <w:rPr>
          <w:rFonts w:ascii="Arial" w:cs="Arial" w:eastAsia="Arial" w:hAnsi="Arial"/>
          <w:sz w:val="18"/>
          <w:szCs w:val="18"/>
          <w:color w:val="auto"/>
        </w:rPr>
        <w:t>"Money Credits" are units credited in accordance with the Participant's election to the Director's Deferral Accounts in the form of dollars. The Money Credits shall accrue interest from the credit date. The rate of interest which shall be applied to the Participant's Money Credits is the 30 year Treasury bond yields as of the first business day of the Plan Year. The Board of Directors may from time to time prescribe additional methods for the accrual of interest on Money Credits with respect to Deferral Compensation deferred in Plan Years subsequent to the Director's new election.</w:t>
      </w:r>
    </w:p>
    <w:p>
      <w:pPr>
        <w:spacing w:after="0" w:line="160" w:lineRule="exact"/>
        <w:rPr>
          <w:sz w:val="20"/>
          <w:szCs w:val="20"/>
          <w:color w:val="auto"/>
        </w:rPr>
      </w:pPr>
    </w:p>
    <w:p>
      <w:pPr>
        <w:ind w:left="1952"/>
        <w:spacing w:after="0"/>
        <w:tabs>
          <w:tab w:leader="none" w:pos="2272"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6"/>
          <w:szCs w:val="16"/>
          <w:b w:val="1"/>
          <w:bCs w:val="1"/>
          <w:color w:val="auto"/>
        </w:rPr>
        <w:t>Winnebago Stock Units</w:t>
      </w:r>
    </w:p>
    <w:p>
      <w:pPr>
        <w:spacing w:after="0" w:line="22" w:lineRule="exact"/>
        <w:rPr>
          <w:sz w:val="20"/>
          <w:szCs w:val="20"/>
          <w:color w:val="auto"/>
        </w:rPr>
      </w:pPr>
    </w:p>
    <w:p>
      <w:pPr>
        <w:ind w:left="1292" w:firstLine="648"/>
        <w:spacing w:after="0"/>
        <w:rPr>
          <w:sz w:val="20"/>
          <w:szCs w:val="20"/>
          <w:color w:val="auto"/>
        </w:rPr>
      </w:pPr>
      <w:r>
        <w:rPr>
          <w:rFonts w:ascii="Arial" w:cs="Arial" w:eastAsia="Arial" w:hAnsi="Arial"/>
          <w:sz w:val="20"/>
          <w:szCs w:val="20"/>
          <w:color w:val="auto"/>
        </w:rPr>
        <w:t>"Winnebago Stock Units" are units credited in accordance with the Participant's election to the Director's Deferral Account in the form of common stock of the Company. The common stock utilized for purposes of the Plan shall be treasury shares of the Company. Winnebago Stock Units shall be recorded in the Director's Winnebago Stock Unit Account on the basis of the closing price of the common stock of the Company on the date upon which the Account is to be credited, as officially quoted by the New York Stock Exchange.</w:t>
      </w:r>
    </w:p>
    <w:p>
      <w:pPr>
        <w:spacing w:after="0" w:line="198" w:lineRule="exact"/>
        <w:rPr>
          <w:sz w:val="20"/>
          <w:szCs w:val="20"/>
          <w:color w:val="auto"/>
        </w:rPr>
      </w:pPr>
    </w:p>
    <w:p>
      <w:pPr>
        <w:ind w:left="652" w:firstLine="1297"/>
        <w:spacing w:after="0" w:line="260" w:lineRule="auto"/>
        <w:rPr>
          <w:sz w:val="20"/>
          <w:szCs w:val="20"/>
          <w:color w:val="auto"/>
        </w:rPr>
      </w:pPr>
      <w:r>
        <w:rPr>
          <w:rFonts w:ascii="Arial" w:cs="Arial" w:eastAsia="Arial" w:hAnsi="Arial"/>
          <w:sz w:val="19"/>
          <w:szCs w:val="19"/>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Plan Administrator shall determine, in its sole discretion, that such change equitably requires an adjustment in the number of Winnebago Stock Units then held in the Director's Winnebago Stock Unit Account, such adjustments shall be made by the Plan Administrator and shall be conclusive and binding for all purposes of the Plan.</w:t>
      </w:r>
    </w:p>
    <w:p>
      <w:pPr>
        <w:spacing w:after="0" w:line="175"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Distribution of Director's Deferral Accounts</w:t>
      </w:r>
    </w:p>
    <w:p>
      <w:pPr>
        <w:spacing w:after="0" w:line="22" w:lineRule="exact"/>
        <w:rPr>
          <w:sz w:val="20"/>
          <w:szCs w:val="20"/>
          <w:color w:val="auto"/>
        </w:rPr>
      </w:pPr>
    </w:p>
    <w:p>
      <w:pPr>
        <w:ind w:left="652" w:right="420" w:firstLine="648"/>
        <w:spacing w:after="0" w:line="244" w:lineRule="auto"/>
        <w:rPr>
          <w:sz w:val="20"/>
          <w:szCs w:val="20"/>
          <w:color w:val="auto"/>
        </w:rPr>
      </w:pPr>
      <w:r>
        <w:rPr>
          <w:rFonts w:ascii="Arial" w:cs="Arial" w:eastAsia="Arial" w:hAnsi="Arial"/>
          <w:sz w:val="20"/>
          <w:szCs w:val="20"/>
          <w:color w:val="auto"/>
        </w:rPr>
        <w:t>A Participant shall receive distribution, or commence to receive distribution, of his or her Director's Deferral Accounts, in accordance with the Participant's election which shall be upon the earliest of:</w:t>
      </w:r>
    </w:p>
    <w:p>
      <w:pPr>
        <w:spacing w:after="0" w:line="192" w:lineRule="exact"/>
        <w:rPr>
          <w:sz w:val="20"/>
          <w:szCs w:val="20"/>
          <w:color w:val="auto"/>
        </w:rPr>
      </w:pPr>
    </w:p>
    <w:p>
      <w:pPr>
        <w:ind w:left="1292" w:right="60" w:hanging="644"/>
        <w:spacing w:after="0" w:line="260" w:lineRule="auto"/>
        <w:tabs>
          <w:tab w:leader="none" w:pos="1292"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Designated date, which date shall be at least six months following the Participant's election to convert Deferred Compensation into Winnebago Stock Units, if so elected by the Participant;</w:t>
      </w:r>
    </w:p>
    <w:p>
      <w:pPr>
        <w:spacing w:after="0" w:line="176" w:lineRule="exact"/>
        <w:rPr>
          <w:rFonts w:ascii="Arial" w:cs="Arial" w:eastAsia="Arial" w:hAnsi="Arial"/>
          <w:sz w:val="20"/>
          <w:szCs w:val="20"/>
          <w:color w:val="auto"/>
        </w:rPr>
      </w:pPr>
    </w:p>
    <w:p>
      <w:pPr>
        <w:ind w:left="1292" w:hanging="644"/>
        <w:spacing w:after="0"/>
        <w:tabs>
          <w:tab w:leader="none" w:pos="129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Termination of service as a Director;</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Death;</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Disability. For purposes hereof a Participant shall be considered disabled if the Participant:</w:t>
      </w:r>
    </w:p>
    <w:p>
      <w:pPr>
        <w:spacing w:after="0" w:line="15" w:lineRule="exact"/>
        <w:rPr>
          <w:rFonts w:ascii="Arial" w:cs="Arial" w:eastAsia="Arial" w:hAnsi="Arial"/>
          <w:sz w:val="20"/>
          <w:szCs w:val="20"/>
          <w:color w:val="auto"/>
        </w:rPr>
      </w:pPr>
    </w:p>
    <w:p>
      <w:pPr>
        <w:ind w:left="1952" w:right="100" w:hanging="655"/>
        <w:spacing w:after="0" w:line="239" w:lineRule="auto"/>
        <w:tabs>
          <w:tab w:leader="none" w:pos="1952" w:val="left"/>
        </w:tabs>
        <w:numPr>
          <w:ilvl w:val="1"/>
          <w:numId w:val="27"/>
        </w:numPr>
        <w:rPr>
          <w:rFonts w:ascii="Arial" w:cs="Arial" w:eastAsia="Arial" w:hAnsi="Arial"/>
          <w:sz w:val="20"/>
          <w:szCs w:val="20"/>
          <w:color w:val="auto"/>
        </w:rPr>
      </w:pPr>
      <w:r>
        <w:rPr>
          <w:rFonts w:ascii="Arial" w:cs="Arial" w:eastAsia="Arial" w:hAnsi="Arial"/>
          <w:sz w:val="20"/>
          <w:szCs w:val="20"/>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rFonts w:ascii="Arial" w:cs="Arial" w:eastAsia="Arial" w:hAnsi="Arial"/>
          <w:sz w:val="20"/>
          <w:szCs w:val="20"/>
          <w:color w:val="auto"/>
        </w:rPr>
      </w:pPr>
    </w:p>
    <w:p>
      <w:pPr>
        <w:ind w:left="1952" w:right="60" w:hanging="655"/>
        <w:spacing w:after="0" w:line="241" w:lineRule="auto"/>
        <w:tabs>
          <w:tab w:leader="none" w:pos="1952" w:val="left"/>
        </w:tabs>
        <w:numPr>
          <w:ilvl w:val="1"/>
          <w:numId w:val="27"/>
        </w:numPr>
        <w:rPr>
          <w:rFonts w:ascii="Arial" w:cs="Arial" w:eastAsia="Arial" w:hAnsi="Arial"/>
          <w:sz w:val="20"/>
          <w:szCs w:val="20"/>
          <w:color w:val="auto"/>
        </w:rPr>
      </w:pPr>
      <w:r>
        <w:rPr>
          <w:rFonts w:ascii="Arial" w:cs="Arial" w:eastAsia="Arial" w:hAnsi="Arial"/>
          <w:sz w:val="20"/>
          <w:szCs w:val="20"/>
          <w:color w:val="auto"/>
        </w:rPr>
        <w:t>is, by reason of any medically determinable physical or mental impairment which can be expected to result in death or can be expected to last for a continuous period of not less than 3 months under an accident and health plan covering employees of the participant's employer</w:t>
      </w:r>
    </w:p>
    <w:p>
      <w:pPr>
        <w:spacing w:after="0" w:line="196" w:lineRule="exact"/>
        <w:rPr>
          <w:rFonts w:ascii="Arial" w:cs="Arial" w:eastAsia="Arial" w:hAnsi="Arial"/>
          <w:sz w:val="20"/>
          <w:szCs w:val="20"/>
          <w:color w:val="auto"/>
        </w:rPr>
      </w:pPr>
    </w:p>
    <w:p>
      <w:pPr>
        <w:ind w:left="1292" w:hanging="644"/>
        <w:spacing w:after="0"/>
        <w:tabs>
          <w:tab w:leader="none" w:pos="1292"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"Change of Control” (as defined below).</w:t>
      </w:r>
    </w:p>
    <w:p>
      <w:pPr>
        <w:spacing w:after="0" w:line="210"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Form of Distribution of Director's Deferral Accounts</w:t>
      </w:r>
    </w:p>
    <w:p>
      <w:pPr>
        <w:spacing w:after="0" w:line="22" w:lineRule="exact"/>
        <w:rPr>
          <w:sz w:val="20"/>
          <w:szCs w:val="20"/>
          <w:color w:val="auto"/>
        </w:rPr>
      </w:pPr>
    </w:p>
    <w:p>
      <w:pPr>
        <w:ind w:left="652" w:right="80" w:firstLine="648"/>
        <w:spacing w:after="0" w:line="244" w:lineRule="auto"/>
        <w:rPr>
          <w:sz w:val="20"/>
          <w:szCs w:val="20"/>
          <w:color w:val="auto"/>
        </w:rPr>
      </w:pPr>
      <w:r>
        <w:rPr>
          <w:rFonts w:ascii="Arial" w:cs="Arial" w:eastAsia="Arial" w:hAnsi="Arial"/>
          <w:sz w:val="20"/>
          <w:szCs w:val="20"/>
          <w:color w:val="auto"/>
        </w:rPr>
        <w:t>A Participant shall be entitled to receive distribution of his or her Director's Deferral Account in any of the following forms as designated by the Participant in the deferral election filed pursuant to Section 6:</w:t>
      </w:r>
    </w:p>
    <w:p>
      <w:pPr>
        <w:spacing w:after="0" w:line="192" w:lineRule="exact"/>
        <w:rPr>
          <w:sz w:val="20"/>
          <w:szCs w:val="20"/>
          <w:color w:val="auto"/>
        </w:rPr>
      </w:pPr>
    </w:p>
    <w:p>
      <w:pPr>
        <w:ind w:left="1292" w:hanging="644"/>
        <w:spacing w:after="0"/>
        <w:tabs>
          <w:tab w:leader="none" w:pos="1292"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lump sum; or</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0"/>
          <w:numId w:val="29"/>
        </w:numPr>
        <w:rPr>
          <w:rFonts w:ascii="Arial" w:cs="Arial" w:eastAsia="Arial" w:hAnsi="Arial"/>
          <w:sz w:val="20"/>
          <w:szCs w:val="20"/>
          <w:color w:val="auto"/>
        </w:rPr>
      </w:pPr>
      <w:r>
        <w:rPr>
          <w:rFonts w:ascii="Arial" w:cs="Arial" w:eastAsia="Arial" w:hAnsi="Arial"/>
          <w:sz w:val="20"/>
          <w:szCs w:val="20"/>
          <w:color w:val="auto"/>
        </w:rPr>
        <w:t>approximately equal annual installments over a three-year period.</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0"/>
          <w:numId w:val="29"/>
        </w:numPr>
        <w:rPr>
          <w:rFonts w:ascii="Arial" w:cs="Arial" w:eastAsia="Arial" w:hAnsi="Arial"/>
          <w:sz w:val="20"/>
          <w:szCs w:val="20"/>
          <w:color w:val="auto"/>
        </w:rPr>
      </w:pPr>
      <w:r>
        <w:rPr>
          <w:rFonts w:ascii="Arial" w:cs="Arial" w:eastAsia="Arial" w:hAnsi="Arial"/>
          <w:sz w:val="20"/>
          <w:szCs w:val="20"/>
          <w:color w:val="auto"/>
        </w:rPr>
        <w:t>approximately equal annual installments over a five-year period.</w:t>
      </w:r>
    </w:p>
    <w:p>
      <w:pPr>
        <w:spacing w:after="0" w:line="245" w:lineRule="exact"/>
        <w:rPr>
          <w:rFonts w:ascii="Arial" w:cs="Arial" w:eastAsia="Arial" w:hAnsi="Arial"/>
          <w:sz w:val="20"/>
          <w:szCs w:val="20"/>
          <w:color w:val="auto"/>
        </w:rPr>
      </w:pPr>
    </w:p>
    <w:p>
      <w:pPr>
        <w:ind w:left="5652"/>
        <w:spacing w:after="0"/>
        <w:rPr>
          <w:rFonts w:ascii="Arial" w:cs="Arial" w:eastAsia="Arial" w:hAnsi="Arial"/>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360" w:right="279" w:bottom="1440" w:gutter="0" w:footer="0" w:header="0"/>
        </w:sectPr>
      </w:pPr>
    </w:p>
    <w:bookmarkStart w:id="27" w:name="page28"/>
    <w:bookmarkEnd w:id="27"/>
    <w:p>
      <w:pPr>
        <w:ind w:left="652" w:right="960"/>
        <w:spacing w:after="0" w:line="386" w:lineRule="auto"/>
        <w:rPr>
          <w:sz w:val="20"/>
          <w:szCs w:val="20"/>
          <w:color w:val="auto"/>
        </w:rPr>
      </w:pPr>
      <w:r>
        <w:rPr>
          <w:rFonts w:ascii="Arial" w:cs="Arial" w:eastAsia="Arial" w:hAnsi="Arial"/>
          <w:sz w:val="16"/>
          <w:szCs w:val="16"/>
          <w:color w:val="auto"/>
        </w:rPr>
        <w:t>All shares of Company stock distributed pursuant to this Plan but which are not registered with the Securities and Exchange Commission shall bear an appropriate restrictive legend as shall be determined by the Company's securities counsel.</w:t>
      </w:r>
    </w:p>
    <w:p>
      <w:pPr>
        <w:spacing w:after="0" w:line="77"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Timing of Distributions</w:t>
      </w:r>
    </w:p>
    <w:p>
      <w:pPr>
        <w:spacing w:after="0" w:line="22" w:lineRule="exact"/>
        <w:rPr>
          <w:sz w:val="20"/>
          <w:szCs w:val="20"/>
          <w:color w:val="auto"/>
        </w:rPr>
      </w:pPr>
    </w:p>
    <w:p>
      <w:pPr>
        <w:ind w:left="652" w:right="280" w:firstLine="648"/>
        <w:spacing w:after="0" w:line="244" w:lineRule="auto"/>
        <w:rPr>
          <w:sz w:val="20"/>
          <w:szCs w:val="20"/>
          <w:color w:val="auto"/>
        </w:rPr>
      </w:pPr>
      <w:r>
        <w:rPr>
          <w:rFonts w:ascii="Arial" w:cs="Arial" w:eastAsia="Arial" w:hAnsi="Arial"/>
          <w:sz w:val="20"/>
          <w:szCs w:val="20"/>
          <w:color w:val="auto"/>
        </w:rPr>
        <w:t>All distributions under the Plan shall be made or shall commence, as the case may be, no later than thirty days following the occurrence of the applicable distribution event described in Section 8.</w:t>
      </w:r>
    </w:p>
    <w:p>
      <w:pPr>
        <w:spacing w:after="0" w:line="186"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Distributions Upon a Change Of Control and Subsequent Termination of Service</w:t>
      </w:r>
    </w:p>
    <w:p>
      <w:pPr>
        <w:spacing w:after="0" w:line="22" w:lineRule="exact"/>
        <w:rPr>
          <w:sz w:val="20"/>
          <w:szCs w:val="20"/>
          <w:color w:val="auto"/>
        </w:rPr>
      </w:pPr>
    </w:p>
    <w:p>
      <w:pPr>
        <w:ind w:left="652" w:firstLine="648"/>
        <w:spacing w:after="0" w:line="241" w:lineRule="auto"/>
        <w:rPr>
          <w:sz w:val="20"/>
          <w:szCs w:val="20"/>
          <w:color w:val="auto"/>
        </w:rPr>
      </w:pPr>
      <w:r>
        <w:rPr>
          <w:rFonts w:ascii="Arial" w:cs="Arial" w:eastAsia="Arial" w:hAnsi="Arial"/>
          <w:sz w:val="20"/>
          <w:szCs w:val="20"/>
          <w:color w:val="auto"/>
        </w:rPr>
        <w:t>Notwithstanding any provision in the Plan to the contrary, in the event that a distribution is commenced on account of a Change of Control, any remaining and unpaid portion of such a distribution shall be made in the form of a lump sum payment no later than thirty days following the Participant's subsequent termination of service as a Director.</w:t>
      </w:r>
    </w:p>
    <w:p>
      <w:pPr>
        <w:spacing w:after="0" w:line="190"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Distributions to a Specified Employee</w:t>
      </w:r>
    </w:p>
    <w:p>
      <w:pPr>
        <w:spacing w:after="0" w:line="26" w:lineRule="exact"/>
        <w:rPr>
          <w:sz w:val="20"/>
          <w:szCs w:val="20"/>
          <w:color w:val="auto"/>
        </w:rPr>
      </w:pPr>
    </w:p>
    <w:p>
      <w:pPr>
        <w:ind w:left="652" w:right="100" w:firstLine="648"/>
        <w:spacing w:after="0" w:line="262" w:lineRule="auto"/>
        <w:rPr>
          <w:sz w:val="20"/>
          <w:szCs w:val="20"/>
          <w:color w:val="auto"/>
        </w:rPr>
      </w:pPr>
      <w:r>
        <w:rPr>
          <w:rFonts w:ascii="Arial" w:cs="Arial" w:eastAsia="Arial" w:hAnsi="Arial"/>
          <w:sz w:val="21"/>
          <w:szCs w:val="21"/>
          <w:color w:val="auto"/>
        </w:rPr>
        <w:t>In the event the Participant is considered a Specified Employee, payment of benefits shall not commence until six months following the Participant's Separation From Service, as defined under Code section 409A. "</w:t>
      </w:r>
      <w:r>
        <w:rPr>
          <w:rFonts w:ascii="Arial" w:cs="Arial" w:eastAsia="Arial" w:hAnsi="Arial"/>
          <w:sz w:val="21"/>
          <w:szCs w:val="21"/>
          <w:b w:val="1"/>
          <w:bCs w:val="1"/>
          <w:color w:val="auto"/>
        </w:rPr>
        <w:t>Specified Employee</w:t>
      </w:r>
      <w:r>
        <w:rPr>
          <w:rFonts w:ascii="Arial" w:cs="Arial" w:eastAsia="Arial" w:hAnsi="Arial"/>
          <w:sz w:val="21"/>
          <w:szCs w:val="21"/>
          <w:color w:val="auto"/>
        </w:rPr>
        <w:t>" shall mean a key employee (as defined in Code Section 416(i) without regard to paragraph (5) thereof) of a corporation any stock in which is publicly traded on an established securities market or otherwise.</w:t>
      </w:r>
    </w:p>
    <w:p>
      <w:pPr>
        <w:spacing w:after="0" w:line="161"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Beneficiary</w:t>
      </w:r>
    </w:p>
    <w:p>
      <w:pPr>
        <w:spacing w:after="0" w:line="22" w:lineRule="exact"/>
        <w:rPr>
          <w:sz w:val="20"/>
          <w:szCs w:val="20"/>
          <w:color w:val="auto"/>
        </w:rPr>
      </w:pPr>
    </w:p>
    <w:p>
      <w:pPr>
        <w:ind w:left="652" w:firstLine="648"/>
        <w:spacing w:after="0"/>
        <w:rPr>
          <w:sz w:val="20"/>
          <w:szCs w:val="20"/>
          <w:color w:val="auto"/>
        </w:rPr>
      </w:pPr>
      <w:r>
        <w:rPr>
          <w:rFonts w:ascii="Arial" w:cs="Arial" w:eastAsia="Arial" w:hAnsi="Arial"/>
          <w:sz w:val="20"/>
          <w:szCs w:val="20"/>
          <w:color w:val="auto"/>
        </w:rPr>
        <w:t>If a Participant shall cease to be a Director by reason of his or her death, or if he or she shall die after he or she shall be entitled to distributions hereunder but prior to receipt of all distributions hereunder, all Money Units or Winnebago Stock Units then distributable hereunder shall be distributed (i) to such beneficiary as such Participant shall designate by an instrument in writing filed with the Plan Administrator, or (ii) in the absence of such designation, to his or her personal representative, or (iii) if no personal representative is appointed within six months of his or her death to his or her spouse, or (iv) if his or her spouse is not then living, to his or her then living descendants, per stirpes, in the same manner and at the same intervals as they would have been made to such Participant had he or she continued to live; provided however, in no event shall shares of Company stock be distributed prior to the date elected by the Director.</w:t>
      </w:r>
    </w:p>
    <w:p>
      <w:pPr>
        <w:spacing w:after="0" w:line="204"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Participant's Rights Unsecured</w:t>
      </w:r>
    </w:p>
    <w:p>
      <w:pPr>
        <w:spacing w:after="0" w:line="22" w:lineRule="exact"/>
        <w:rPr>
          <w:sz w:val="20"/>
          <w:szCs w:val="20"/>
          <w:color w:val="auto"/>
        </w:rPr>
      </w:pPr>
    </w:p>
    <w:p>
      <w:pPr>
        <w:ind w:left="652" w:right="100" w:firstLine="648"/>
        <w:spacing w:after="0" w:line="271" w:lineRule="auto"/>
        <w:rPr>
          <w:sz w:val="20"/>
          <w:szCs w:val="20"/>
          <w:color w:val="auto"/>
        </w:rPr>
      </w:pPr>
      <w:r>
        <w:rPr>
          <w:rFonts w:ascii="Arial" w:cs="Arial" w:eastAsia="Arial" w:hAnsi="Arial"/>
          <w:sz w:val="18"/>
          <w:szCs w:val="18"/>
          <w:color w:val="auto"/>
        </w:rPr>
        <w:t>The right of any Participant to receive a distribution hereunder of Money Credits or Winnebago common stock shall be an unsecured claim against the general assets of the Company. The Deferral Compensation and any interest thereon may not be assigned, transferred, encumbered, or otherwise disposed of by the Director until the same shall be paid to such Director. The Company shall issue shares of its common stock to be held in a grantor trust in anticipation of its obligation to make such distributions under the Plan, but no Participant shall have any rights in or against any shares of common stock so or in any cash or Money Units held in his or her Director's Deferral Accounts. All such common stock and Money Units shall constitute general assets of the Company and may be disposed of by the Company at such time and for such purposes as it may deem appropriate.</w:t>
      </w:r>
    </w:p>
    <w:p>
      <w:pPr>
        <w:spacing w:after="0" w:line="165"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Deposit of Funds Into Grantor Trust</w:t>
      </w:r>
    </w:p>
    <w:p>
      <w:pPr>
        <w:spacing w:after="0" w:line="22" w:lineRule="exact"/>
        <w:rPr>
          <w:sz w:val="20"/>
          <w:szCs w:val="20"/>
          <w:color w:val="auto"/>
        </w:rPr>
      </w:pPr>
    </w:p>
    <w:p>
      <w:pPr>
        <w:ind w:left="652" w:right="100" w:firstLine="648"/>
        <w:spacing w:after="0" w:line="241" w:lineRule="auto"/>
        <w:rPr>
          <w:sz w:val="20"/>
          <w:szCs w:val="20"/>
          <w:color w:val="auto"/>
        </w:rPr>
      </w:pPr>
      <w:r>
        <w:rPr>
          <w:rFonts w:ascii="Arial" w:cs="Arial" w:eastAsia="Arial" w:hAnsi="Arial"/>
          <w:sz w:val="20"/>
          <w:szCs w:val="20"/>
          <w:color w:val="auto"/>
        </w:rPr>
        <w:t>The Company shall deposit with the trustee of a grantor trust established by the Company an amount of funds which is sufficient to carry out the terms of the Plan and which is to be distributed in accordance with the terms and conditions of the Plan. The funds deposited into such trust shall remain subject to the claims of the general creditors of the Company as if such funds were general assets of the Company.</w:t>
      </w:r>
    </w:p>
    <w:p>
      <w:pPr>
        <w:spacing w:after="0" w:line="195" w:lineRule="exact"/>
        <w:rPr>
          <w:sz w:val="20"/>
          <w:szCs w:val="20"/>
          <w:color w:val="auto"/>
        </w:rPr>
      </w:pPr>
    </w:p>
    <w:p>
      <w:pPr>
        <w:ind w:left="652" w:right="40" w:firstLine="648"/>
        <w:spacing w:after="0" w:line="250" w:lineRule="auto"/>
        <w:rPr>
          <w:sz w:val="20"/>
          <w:szCs w:val="20"/>
          <w:color w:val="auto"/>
        </w:rPr>
      </w:pPr>
      <w:r>
        <w:rPr>
          <w:rFonts w:ascii="Arial" w:cs="Arial" w:eastAsia="Arial" w:hAnsi="Arial"/>
          <w:sz w:val="20"/>
          <w:szCs w:val="20"/>
          <w:color w:val="auto"/>
        </w:rPr>
        <w:t>For purposes of this Plan, "Change of Control" shall mean a change in the ownership or effective control of the Company, or in the ownership of a substantial portion of the assets of the Company, all as defined in Section 409A of the Code and the Treasury Regulations promulgated thereunder.</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582" w:right="239" w:bottom="1440" w:gutter="0" w:footer="0" w:header="0"/>
        </w:sectPr>
      </w:pPr>
    </w:p>
    <w:bookmarkStart w:id="28" w:name="page29"/>
    <w:bookmarkEnd w:id="28"/>
    <w:p>
      <w:pPr>
        <w:ind w:left="652" w:hanging="652"/>
        <w:spacing w:after="0"/>
        <w:tabs>
          <w:tab w:leader="none" w:pos="652"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Plan Administrator</w:t>
      </w:r>
    </w:p>
    <w:p>
      <w:pPr>
        <w:spacing w:after="0" w:line="22" w:lineRule="exact"/>
        <w:rPr>
          <w:sz w:val="20"/>
          <w:szCs w:val="20"/>
          <w:color w:val="auto"/>
        </w:rPr>
      </w:pPr>
    </w:p>
    <w:p>
      <w:pPr>
        <w:ind w:left="652" w:right="100" w:firstLine="648"/>
        <w:spacing w:after="0" w:line="241" w:lineRule="auto"/>
        <w:rPr>
          <w:sz w:val="20"/>
          <w:szCs w:val="20"/>
          <w:color w:val="auto"/>
        </w:rPr>
      </w:pPr>
      <w:r>
        <w:rPr>
          <w:rFonts w:ascii="Arial" w:cs="Arial" w:eastAsia="Arial" w:hAnsi="Arial"/>
          <w:sz w:val="20"/>
          <w:szCs w:val="20"/>
          <w:color w:val="auto"/>
        </w:rPr>
        <w:t>The Plan Administrator shall be the Human Resources Committee of the Board of Directors of the Company. The Plan Administrator shall interpret the Plan (including ambiguous provisions thereof), determine benefits which are payable to Participants, and make all final decisions with respect to the rights of Participants hereunder. The Plan Administrator shall at least annually provide each participating Director with a statement of his or her account.</w:t>
      </w:r>
    </w:p>
    <w:p>
      <w:pPr>
        <w:spacing w:after="0" w:line="189"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Plan</w:t>
      </w:r>
    </w:p>
    <w:p>
      <w:pPr>
        <w:spacing w:after="0" w:line="22" w:lineRule="exact"/>
        <w:rPr>
          <w:sz w:val="20"/>
          <w:szCs w:val="20"/>
          <w:color w:val="auto"/>
        </w:rPr>
      </w:pPr>
    </w:p>
    <w:p>
      <w:pPr>
        <w:ind w:left="652" w:firstLine="648"/>
        <w:spacing w:after="0" w:line="241" w:lineRule="auto"/>
        <w:rPr>
          <w:sz w:val="20"/>
          <w:szCs w:val="20"/>
          <w:color w:val="auto"/>
        </w:rPr>
      </w:pPr>
      <w:r>
        <w:rPr>
          <w:rFonts w:ascii="Arial" w:cs="Arial" w:eastAsia="Arial" w:hAnsi="Arial"/>
          <w:sz w:val="20"/>
          <w:szCs w:val="20"/>
          <w:color w:val="auto"/>
        </w:rPr>
        <w:t>The Board of Directors of the Company may amend the Plan at any time, without the consent of the Participants or their beneficiaries, provided, however, that no amendment shall divest any Participant or beneficiary of rights to which he or she would have been entitled if the Plan had been terminated on the effective date of such amendment.</w:t>
      </w:r>
    </w:p>
    <w:p>
      <w:pPr>
        <w:spacing w:after="0" w:line="190"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Plan</w:t>
      </w:r>
    </w:p>
    <w:p>
      <w:pPr>
        <w:spacing w:after="0" w:line="22" w:lineRule="exact"/>
        <w:rPr>
          <w:sz w:val="20"/>
          <w:szCs w:val="20"/>
          <w:color w:val="auto"/>
        </w:rPr>
      </w:pPr>
    </w:p>
    <w:p>
      <w:pPr>
        <w:ind w:left="652" w:right="140" w:firstLine="648"/>
        <w:spacing w:after="0" w:line="254" w:lineRule="auto"/>
        <w:rPr>
          <w:sz w:val="20"/>
          <w:szCs w:val="20"/>
          <w:color w:val="auto"/>
        </w:rPr>
      </w:pPr>
      <w:r>
        <w:rPr>
          <w:rFonts w:ascii="Arial" w:cs="Arial" w:eastAsia="Arial" w:hAnsi="Arial"/>
          <w:sz w:val="19"/>
          <w:szCs w:val="19"/>
          <w:color w:val="auto"/>
        </w:rPr>
        <w:t>The Board of Directors of the Company may terminate the Plan at any time. If not so terminated, the Plan will automatically terminate on June 30, 2023. Upon termination of the Plan, distributions in respect of credits and units in a Participant's Director's Deferral Accounts as of the date of termination shall be made in the manner and at the time heretofore prescribed or, alternatively, the Board of Directors may provide the Participant or beneficiaries with benefits under a substitute plan which shall not be less than the benefits which would have been distributed in a full and complete distribution of all credits and units in a Participant's Director's Deferral Accounts as of the date of Plan termination; provided, however, that the terms of such substitute plan are in compliance with Section 409A of the Code and the substitution of benefits does not result in an acceleration of the inclusion in income of any benefits under the Plan.</w:t>
      </w:r>
    </w:p>
    <w:p>
      <w:pPr>
        <w:spacing w:after="0" w:line="181"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All costs of administration of the Plan will be paid by the Company.</w:t>
      </w:r>
    </w:p>
    <w:p>
      <w:pPr>
        <w:spacing w:after="0" w:line="200" w:lineRule="exact"/>
        <w:rPr>
          <w:sz w:val="20"/>
          <w:szCs w:val="20"/>
          <w:color w:val="auto"/>
        </w:rPr>
      </w:pPr>
    </w:p>
    <w:p>
      <w:pPr>
        <w:spacing w:after="0" w:line="24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576"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June 1, 2013, I, Randy Potts, Chief Executive Officer and President of Winnebago Industries, Inc., certify that pursuant to 18 U.S.C. §1350 as adopted pursuant to §906 of the Sarbanes-Oxley Act of 2002, that:</w:t>
      </w:r>
    </w:p>
    <w:p>
      <w:pPr>
        <w:spacing w:after="0" w:line="361" w:lineRule="exact"/>
        <w:rPr>
          <w:sz w:val="20"/>
          <w:szCs w:val="20"/>
          <w:color w:val="auto"/>
        </w:rPr>
      </w:pPr>
    </w:p>
    <w:p>
      <w:pPr>
        <w:jc w:val="both"/>
        <w:ind w:left="660" w:right="80" w:hanging="328"/>
        <w:spacing w:after="0" w:line="25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June 1,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June 1, 2013,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June 1,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2"/>
    </w:lvl>
  </w:abstractNum>
  <w:abstractNum w:abstractNumId="20">
    <w:nsid w:val="6CEAF087"/>
    <w:multiLevelType w:val="hybridMultilevel"/>
    <w:lvl w:ilvl="0">
      <w:lvlJc w:val="left"/>
      <w:lvlText w:val="%1."/>
      <w:numFmt w:val="decimal"/>
      <w:start w:val="3"/>
    </w:lvl>
  </w:abstractNum>
  <w:abstractNum w:abstractNumId="21">
    <w:nsid w:val="22221A70"/>
    <w:multiLevelType w:val="hybridMultilevel"/>
    <w:lvl w:ilvl="0">
      <w:lvlJc w:val="left"/>
      <w:lvlText w:val="%1."/>
      <w:numFmt w:val="decimal"/>
      <w:start w:val="4"/>
    </w:lvl>
  </w:abstractNum>
  <w:abstractNum w:abstractNumId="22">
    <w:nsid w:val="4516DDE9"/>
    <w:multiLevelType w:val="hybridMultilevel"/>
    <w:lvl w:ilvl="0">
      <w:lvlJc w:val="left"/>
      <w:lvlText w:val="%1."/>
      <w:numFmt w:val="decimal"/>
      <w:start w:val="5"/>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7"/>
    </w:lvl>
  </w:abstractNum>
  <w:abstractNum w:abstractNumId="25">
    <w:nsid w:val="419AC241"/>
    <w:multiLevelType w:val="hybridMultilevel"/>
    <w:lvl w:ilvl="0">
      <w:lvlJc w:val="left"/>
      <w:lvlText w:val="%1."/>
      <w:numFmt w:val="decimal"/>
      <w:start w:val="8"/>
    </w:lvl>
  </w:abstractNum>
  <w:abstractNum w:abstractNumId="26">
    <w:nsid w:val="5577F8E1"/>
    <w:multiLevelType w:val="hybridMultilevel"/>
    <w:lvl w:ilvl="0">
      <w:lvlJc w:val="left"/>
      <w:lvlText w:val="%1."/>
      <w:numFmt w:val="lowerLetter"/>
      <w:start w:val="1"/>
    </w:lvl>
    <w:lvl w:ilvl="1">
      <w:lvlJc w:val="left"/>
      <w:lvlText w:val="(%2)"/>
      <w:numFmt w:val="lowerRoman"/>
      <w:start w:val="1"/>
    </w:lvl>
  </w:abstractNum>
  <w:abstractNum w:abstractNumId="27">
    <w:nsid w:val="440BADFC"/>
    <w:multiLevelType w:val="hybridMultilevel"/>
    <w:lvl w:ilvl="0">
      <w:lvlJc w:val="left"/>
      <w:lvlText w:val="%1."/>
      <w:numFmt w:val="decimal"/>
      <w:start w:val="9"/>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decimal"/>
      <w:start w:val="10"/>
    </w:lvl>
  </w:abstractNum>
  <w:abstractNum w:abstractNumId="30">
    <w:nsid w:val="77465F01"/>
    <w:multiLevelType w:val="hybridMultilevel"/>
    <w:lvl w:ilvl="0">
      <w:lvlJc w:val="left"/>
      <w:lvlText w:val="%1."/>
      <w:numFmt w:val="decimal"/>
      <w:start w:val="11"/>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decimal"/>
      <w:start w:val="13"/>
    </w:lvl>
  </w:abstractNum>
  <w:abstractNum w:abstractNumId="33">
    <w:nsid w:val="2463B9EA"/>
    <w:multiLevelType w:val="hybridMultilevel"/>
    <w:lvl w:ilvl="0">
      <w:lvlJc w:val="left"/>
      <w:lvlText w:val="%1."/>
      <w:numFmt w:val="decimal"/>
      <w:start w:val="14"/>
    </w:lvl>
  </w:abstractNum>
  <w:abstractNum w:abstractNumId="34">
    <w:nsid w:val="5E884ADC"/>
    <w:multiLevelType w:val="hybridMultilevel"/>
    <w:lvl w:ilvl="0">
      <w:lvlJc w:val="left"/>
      <w:lvlText w:val="%1."/>
      <w:numFmt w:val="decimal"/>
      <w:start w:val="15"/>
    </w:lvl>
  </w:abstractNum>
  <w:abstractNum w:abstractNumId="35">
    <w:nsid w:val="51EAD36B"/>
    <w:multiLevelType w:val="hybridMultilevel"/>
    <w:lvl w:ilvl="0">
      <w:lvlJc w:val="left"/>
      <w:lvlText w:val="%1."/>
      <w:numFmt w:val="decimal"/>
      <w:start w:val="16"/>
    </w:lvl>
  </w:abstractNum>
  <w:abstractNum w:abstractNumId="36">
    <w:nsid w:val="2D517796"/>
    <w:multiLevelType w:val="hybridMultilevel"/>
    <w:lvl w:ilvl="0">
      <w:lvlJc w:val="left"/>
      <w:lvlText w:val="%1."/>
      <w:numFmt w:val="decimal"/>
      <w:start w:val="17"/>
    </w:lvl>
  </w:abstractNum>
  <w:abstractNum w:abstractNumId="37">
    <w:nsid w:val="580BD78F"/>
    <w:multiLevelType w:val="hybridMultilevel"/>
    <w:lvl w:ilvl="0">
      <w:lvlJc w:val="left"/>
      <w:lvlText w:val="%1."/>
      <w:numFmt w:val="decimal"/>
      <w:start w:val="18"/>
    </w:lvl>
  </w:abstractNum>
  <w:abstractNum w:abstractNumId="38">
    <w:nsid w:val="153EA438"/>
    <w:multiLevelType w:val="hybridMultilevel"/>
    <w:lvl w:ilvl="0">
      <w:lvlJc w:val="left"/>
      <w:lvlText w:val="%1."/>
      <w:numFmt w:val="decimal"/>
      <w:start w:val="19"/>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2019-12-05T16:57:22Z</dcterms:created>
  <dcterms:modified xsi:type="dcterms:W3CDTF">2019-12-05T16:57:22Z</dcterms:modified>
</cp:coreProperties>
</file>