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7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50"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54" w:lineRule="exact"/>
        <w:rPr>
          <w:sz w:val="24"/>
          <w:szCs w:val="24"/>
          <w:color w:val="auto"/>
        </w:rPr>
      </w:pPr>
    </w:p>
    <w:p>
      <w:pPr>
        <w:ind w:right="2580" w:firstLine="355"/>
        <w:spacing w:after="0" w:line="36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November 30, 2024</w:t>
      </w:r>
    </w:p>
    <w:p>
      <w:pPr>
        <w:jc w:val="center"/>
        <w:ind w:right="60"/>
        <w:spacing w:after="0"/>
        <w:rPr>
          <w:sz w:val="20"/>
          <w:szCs w:val="20"/>
          <w:color w:val="auto"/>
        </w:rPr>
      </w:pPr>
      <w:r>
        <w:rPr>
          <w:rFonts w:ascii="Arial" w:cs="Arial" w:eastAsia="Arial" w:hAnsi="Arial"/>
          <w:sz w:val="16"/>
          <w:szCs w:val="16"/>
          <w:color w:val="auto"/>
        </w:rPr>
        <w:t>or</w:t>
      </w:r>
    </w:p>
    <w:p>
      <w:pPr>
        <w:spacing w:after="0" w:line="86" w:lineRule="exact"/>
        <w:rPr>
          <w:sz w:val="24"/>
          <w:szCs w:val="24"/>
          <w:color w:val="auto"/>
        </w:rPr>
      </w:pPr>
    </w:p>
    <w:p>
      <w:pPr>
        <w:ind w:left="280" w:right="2680" w:hanging="254"/>
        <w:spacing w:after="0" w:line="352"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72390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720" w:type="dxa"/>
            <w:vAlign w:val="bottom"/>
            <w:gridSpan w:val="5"/>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1"/>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8"/>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1"/>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208"/>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gridSpan w:val="6"/>
          </w:tcPr>
          <w:p>
            <w:pPr>
              <w:jc w:val="center"/>
              <w:ind w:left="219"/>
              <w:spacing w:after="0"/>
              <w:rPr>
                <w:sz w:val="20"/>
                <w:szCs w:val="20"/>
                <w:color w:val="auto"/>
              </w:rPr>
            </w:pPr>
            <w:r>
              <w:rPr>
                <w:rFonts w:ascii="Arial" w:cs="Arial" w:eastAsia="Arial" w:hAnsi="Arial"/>
                <w:sz w:val="16"/>
                <w:szCs w:val="16"/>
                <w:color w:val="auto"/>
              </w:rPr>
              <w:t>(Registrant's telephone number, including area code)</w:t>
            </w:r>
          </w:p>
        </w:tc>
        <w:tc>
          <w:tcPr>
            <w:tcW w:w="2260" w:type="dxa"/>
            <w:vAlign w:val="bottom"/>
          </w:tcPr>
          <w:p>
            <w:pPr>
              <w:spacing w:after="0"/>
              <w:rPr>
                <w:sz w:val="18"/>
                <w:szCs w:val="18"/>
                <w:color w:val="auto"/>
              </w:rPr>
            </w:pPr>
          </w:p>
        </w:tc>
      </w:tr>
      <w:tr>
        <w:trPr>
          <w:trHeight w:val="512"/>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
        </w:trPr>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2"/>
          </w:tcPr>
          <w:p>
            <w:pPr>
              <w:spacing w:after="0"/>
              <w:rPr>
                <w:sz w:val="2"/>
                <w:szCs w:val="2"/>
                <w:color w:val="auto"/>
              </w:rPr>
            </w:pPr>
          </w:p>
        </w:tc>
      </w:tr>
      <w:tr>
        <w:trPr>
          <w:trHeight w:val="209"/>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4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24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12, 2024, there were 28,396,755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 w:name="page2"/>
    <w:bookmarkEnd w:id="1"/>
    <w:p>
      <w:pPr>
        <w:jc w:val="center"/>
        <w:ind w:left="1780" w:right="1560"/>
        <w:spacing w:after="0" w:line="264" w:lineRule="auto"/>
        <w:rPr>
          <w:sz w:val="20"/>
          <w:szCs w:val="20"/>
          <w:color w:val="auto"/>
        </w:rPr>
      </w:pPr>
      <w:r>
        <w:rPr>
          <w:rFonts w:ascii="Arial" w:cs="Arial" w:eastAsia="Arial" w:hAnsi="Arial"/>
          <w:sz w:val="22"/>
          <w:szCs w:val="22"/>
          <w:b w:val="1"/>
          <w:bCs w:val="1"/>
          <w:color w:val="auto"/>
        </w:rPr>
        <w:t>Winnebago Industries, Inc. Quarterly Report on Form 10-Q For the Quarterly Period Ended November 30, 2024</w:t>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Table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gridSpan w:val="4"/>
          </w:tcPr>
          <w:p>
            <w:pPr>
              <w:spacing w:after="0"/>
              <w:rPr>
                <w:sz w:val="20"/>
                <w:szCs w:val="20"/>
                <w:color w:val="auto"/>
              </w:rPr>
            </w:pPr>
            <w:r>
              <w:rPr>
                <w:rFonts w:ascii="Arial" w:cs="Arial" w:eastAsia="Arial" w:hAnsi="Arial"/>
                <w:sz w:val="16"/>
                <w:szCs w:val="16"/>
                <w:b w:val="1"/>
                <w:bCs w:val="1"/>
                <w:color w:val="0000FF"/>
              </w:rPr>
              <w:t>PART I.</w:t>
            </w:r>
          </w:p>
        </w:tc>
        <w:tc>
          <w:tcPr>
            <w:tcW w:w="6480" w:type="dxa"/>
            <w:vAlign w:val="bottom"/>
            <w:gridSpan w:val="17"/>
          </w:tcPr>
          <w:p>
            <w:pPr>
              <w:ind w:left="100"/>
              <w:spacing w:after="0"/>
              <w:rPr>
                <w:sz w:val="20"/>
                <w:szCs w:val="20"/>
                <w:color w:val="auto"/>
              </w:rPr>
            </w:pPr>
            <w:r>
              <w:rPr>
                <w:rFonts w:ascii="Arial" w:cs="Arial" w:eastAsia="Arial" w:hAnsi="Arial"/>
                <w:sz w:val="16"/>
                <w:szCs w:val="16"/>
                <w:b w:val="1"/>
                <w:bCs w:val="1"/>
                <w:color w:val="0000FF"/>
              </w:rPr>
              <w:t>FINANCIAL INFORMATION</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gridSpan w:val="16"/>
          </w:tcPr>
          <w:p>
            <w:pPr>
              <w:spacing w:after="0"/>
              <w:rPr>
                <w:sz w:val="20"/>
                <w:szCs w:val="20"/>
                <w:color w:val="auto"/>
              </w:rPr>
            </w:pPr>
            <w:r>
              <w:rPr>
                <w:rFonts w:ascii="Arial" w:cs="Arial" w:eastAsia="Arial" w:hAnsi="Arial"/>
                <w:sz w:val="16"/>
                <w:szCs w:val="16"/>
                <w:color w:val="0000FF"/>
              </w:rPr>
              <w:t>Consolidated Financial Statements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9"/>
          </w:tcPr>
          <w:p>
            <w:pPr>
              <w:spacing w:after="0"/>
              <w:rPr>
                <w:sz w:val="20"/>
                <w:szCs w:val="20"/>
                <w:color w:val="auto"/>
              </w:rPr>
            </w:pPr>
            <w:r>
              <w:rPr>
                <w:rFonts w:ascii="Arial" w:cs="Arial" w:eastAsia="Arial" w:hAnsi="Arial"/>
                <w:sz w:val="16"/>
                <w:szCs w:val="16"/>
                <w:color w:val="0000FF"/>
                <w:w w:val="99"/>
              </w:rPr>
              <w:t>Consolidated Statements of Income</w:t>
            </w:r>
          </w:p>
        </w:tc>
        <w:tc>
          <w:tcPr>
            <w:tcW w:w="3600" w:type="dxa"/>
            <w:vAlign w:val="bottom"/>
            <w:gridSpan w:val="6"/>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7"/>
          </w:tcPr>
          <w:p>
            <w:pPr>
              <w:spacing w:after="0"/>
              <w:rPr>
                <w:sz w:val="20"/>
                <w:szCs w:val="20"/>
                <w:color w:val="auto"/>
              </w:rPr>
            </w:pPr>
            <w:r>
              <w:rPr>
                <w:rFonts w:ascii="Arial" w:cs="Arial" w:eastAsia="Arial" w:hAnsi="Arial"/>
                <w:sz w:val="16"/>
                <w:szCs w:val="16"/>
                <w:color w:val="0000FF"/>
                <w:w w:val="99"/>
              </w:rPr>
              <w:t>Consolidated Balance Sheets</w:t>
            </w:r>
          </w:p>
        </w:tc>
        <w:tc>
          <w:tcPr>
            <w:tcW w:w="440" w:type="dxa"/>
            <w:vAlign w:val="bottom"/>
            <w:gridSpan w:val="2"/>
          </w:tcPr>
          <w:p>
            <w:pPr>
              <w:spacing w:after="0"/>
              <w:rPr>
                <w:sz w:val="17"/>
                <w:szCs w:val="17"/>
                <w:color w:val="auto"/>
              </w:rPr>
            </w:pPr>
          </w:p>
        </w:tc>
        <w:tc>
          <w:tcPr>
            <w:tcW w:w="3600" w:type="dxa"/>
            <w:vAlign w:val="bottom"/>
            <w:gridSpan w:val="6"/>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10"/>
          </w:tcPr>
          <w:p>
            <w:pPr>
              <w:spacing w:after="0"/>
              <w:rPr>
                <w:sz w:val="20"/>
                <w:szCs w:val="20"/>
                <w:color w:val="auto"/>
              </w:rPr>
            </w:pPr>
            <w:r>
              <w:rPr>
                <w:rFonts w:ascii="Arial" w:cs="Arial" w:eastAsia="Arial" w:hAnsi="Arial"/>
                <w:sz w:val="16"/>
                <w:szCs w:val="16"/>
                <w:color w:val="0000FF"/>
                <w:w w:val="99"/>
              </w:rPr>
              <w:t>Consolidated Statements of Cash Flows</w:t>
            </w:r>
          </w:p>
        </w:tc>
        <w:tc>
          <w:tcPr>
            <w:tcW w:w="3280" w:type="dxa"/>
            <w:vAlign w:val="bottom"/>
            <w:gridSpan w:val="5"/>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40" w:type="dxa"/>
            <w:vAlign w:val="bottom"/>
            <w:gridSpan w:val="15"/>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6</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w:t>
            </w:r>
          </w:p>
        </w:tc>
        <w:tc>
          <w:tcPr>
            <w:tcW w:w="1780" w:type="dxa"/>
            <w:vAlign w:val="bottom"/>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20</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Quantitative and Qualitative Disclosures About Market Risk</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26</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Controls and Procedures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26</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rPr>
              <w:t>OTHER INFORMATION</w:t>
            </w:r>
          </w:p>
        </w:tc>
        <w:tc>
          <w:tcPr>
            <w:tcW w:w="4580" w:type="dxa"/>
            <w:vAlign w:val="bottom"/>
            <w:gridSpan w:val="10"/>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28</w:t>
            </w: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Legal Proceedings</w:t>
            </w:r>
          </w:p>
        </w:tc>
        <w:tc>
          <w:tcPr>
            <w:tcW w:w="5020" w:type="dxa"/>
            <w:vAlign w:val="bottom"/>
            <w:gridSpan w:val="11"/>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Risk Factors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gridSpan w:val="1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120" w:type="dxa"/>
            <w:vAlign w:val="bottom"/>
            <w:gridSpan w:val="10"/>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Other Information</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120" w:type="dxa"/>
            <w:vAlign w:val="bottom"/>
            <w:gridSpan w:val="1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Exhibits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29</w:t>
            </w: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0" w:type="dxa"/>
            <w:vAlign w:val="bottom"/>
            <w:gridSpan w:val="1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7"/>
              </w:rPr>
              <w:t>SIGNATURES</w:t>
            </w:r>
          </w:p>
        </w:tc>
        <w:tc>
          <w:tcPr>
            <w:tcW w:w="6140" w:type="dxa"/>
            <w:vAlign w:val="bottom"/>
            <w:gridSpan w:val="15"/>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1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18"/>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2"/>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12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30,</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25,</w:t>
            </w:r>
          </w:p>
        </w:tc>
      </w:tr>
      <w:tr>
        <w:trPr>
          <w:trHeight w:val="216"/>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w:t>
            </w:r>
          </w:p>
        </w:tc>
      </w:tr>
      <w:tr>
        <w:trPr>
          <w:trHeight w:val="215"/>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r>
      <w:tr>
        <w:trPr>
          <w:trHeight w:val="209"/>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(Loss) income before income taxes</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(Loss) earnings per common share: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0.78</w:t>
            </w:r>
          </w:p>
        </w:tc>
      </w:tr>
      <w:tr>
        <w:trPr>
          <w:trHeight w:val="257"/>
        </w:trPr>
        <w:tc>
          <w:tcPr>
            <w:tcW w:w="7860" w:type="dxa"/>
            <w:vAlign w:val="bottom"/>
            <w:gridSpan w:val="2"/>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November 30,</w:t>
            </w:r>
          </w:p>
        </w:tc>
        <w:tc>
          <w:tcPr>
            <w:tcW w:w="28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89"/>
        </w:trPr>
        <w:tc>
          <w:tcPr>
            <w:tcW w:w="7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rPr>
              <w:t>(Unaudited)</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less allowance for credit losses ($0.2 and $0.2, respectively)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435.5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92"/>
        </w:trPr>
        <w:tc>
          <w:tcPr>
            <w:tcW w:w="79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908.3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988.7</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198"/>
        </w:trPr>
        <w:tc>
          <w:tcPr>
            <w:tcW w:w="79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484.2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w:t>
            </w:r>
          </w:p>
        </w:tc>
        <w:tc>
          <w:tcPr>
            <w:tcW w:w="0" w:type="dxa"/>
            <w:vAlign w:val="bottom"/>
          </w:tcPr>
          <w:p>
            <w:pPr>
              <w:spacing w:after="0"/>
              <w:rPr>
                <w:sz w:val="1"/>
                <w:szCs w:val="1"/>
                <w:color w:val="auto"/>
              </w:rPr>
            </w:pPr>
          </w:p>
        </w:tc>
      </w:tr>
      <w:tr>
        <w:trPr>
          <w:trHeight w:val="198"/>
        </w:trPr>
        <w:tc>
          <w:tcPr>
            <w:tcW w:w="7900" w:type="dxa"/>
            <w:vAlign w:val="bottom"/>
          </w:tcPr>
          <w:p>
            <w:pPr>
              <w:ind w:left="20"/>
              <w:spacing w:after="0"/>
              <w:rPr>
                <w:sz w:val="20"/>
                <w:szCs w:val="20"/>
                <w:color w:val="auto"/>
              </w:rPr>
            </w:pPr>
            <w:r>
              <w:rPr>
                <w:rFonts w:ascii="Arial" w:cs="Arial" w:eastAsia="Arial" w:hAnsi="Arial"/>
                <w:sz w:val="14"/>
                <w:szCs w:val="14"/>
                <w:color w:val="auto"/>
              </w:rPr>
              <w:t>Investment in life insurance</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Current maturities of long-term debt,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 warranties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98"/>
        </w:trPr>
        <w:tc>
          <w:tcPr>
            <w:tcW w:w="7900" w:type="dxa"/>
            <w:vAlign w:val="bottom"/>
          </w:tcPr>
          <w:p>
            <w:pPr>
              <w:ind w:left="220"/>
              <w:spacing w:after="0"/>
              <w:rPr>
                <w:sz w:val="20"/>
                <w:szCs w:val="20"/>
                <w:color w:val="auto"/>
              </w:rPr>
            </w:pPr>
            <w:r>
              <w:rPr>
                <w:rFonts w:ascii="Arial" w:cs="Arial" w:eastAsia="Arial" w:hAnsi="Arial"/>
                <w:sz w:val="14"/>
                <w:szCs w:val="14"/>
                <w:color w:val="auto"/>
              </w:rPr>
              <w:t>Self-insurance</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Promotional</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8"/>
        </w:trPr>
        <w:tc>
          <w:tcPr>
            <w:tcW w:w="7900" w:type="dxa"/>
            <w:vAlign w:val="bottom"/>
          </w:tcPr>
          <w:p>
            <w:pPr>
              <w:ind w:left="220"/>
              <w:spacing w:after="0"/>
              <w:rPr>
                <w:sz w:val="20"/>
                <w:szCs w:val="20"/>
                <w:color w:val="auto"/>
              </w:rPr>
            </w:pPr>
            <w:r>
              <w:rPr>
                <w:rFonts w:ascii="Arial" w:cs="Arial" w:eastAsia="Arial" w:hAnsi="Arial"/>
                <w:sz w:val="14"/>
                <w:szCs w:val="14"/>
                <w:color w:val="auto"/>
              </w:rPr>
              <w:t>Accrued interest and dividends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2"/>
        </w:trPr>
        <w:tc>
          <w:tcPr>
            <w:tcW w:w="790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Long-term debt,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637.7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637.1</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liabilities, net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Unrecognized tax benefits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98"/>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0"/>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1,057.8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1,110.9</w:t>
            </w:r>
          </w:p>
        </w:tc>
        <w:tc>
          <w:tcPr>
            <w:tcW w:w="0" w:type="dxa"/>
            <w:vAlign w:val="bottom"/>
          </w:tcPr>
          <w:p>
            <w:pPr>
              <w:spacing w:after="0"/>
              <w:rPr>
                <w:sz w:val="1"/>
                <w:szCs w:val="1"/>
                <w:color w:val="auto"/>
              </w:rPr>
            </w:pPr>
          </w:p>
        </w:tc>
      </w:tr>
      <w:tr>
        <w:trPr>
          <w:trHeight w:val="178"/>
        </w:trPr>
        <w:tc>
          <w:tcPr>
            <w:tcW w:w="7900" w:type="dxa"/>
            <w:vAlign w:val="bottom"/>
          </w:tcPr>
          <w:p>
            <w:pPr>
              <w:ind w:left="20"/>
              <w:spacing w:after="0"/>
              <w:rPr>
                <w:sz w:val="20"/>
                <w:szCs w:val="20"/>
                <w:color w:val="auto"/>
              </w:rPr>
            </w:pPr>
            <w:r>
              <w:rPr>
                <w:rFonts w:ascii="Arial" w:cs="Arial" w:eastAsia="Arial" w:hAnsi="Arial"/>
                <w:sz w:val="14"/>
                <w:szCs w:val="14"/>
                <w:color w:val="auto"/>
              </w:rPr>
              <w:t>Contingent liabilities and commitments (Note 9)</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Preferred stock, par value $0.01: 10.0 shares authorized; zero shares issued and outstanding</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par value $0.50: 120.0 shares authorized; 51.8 shares issued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194.2</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1,723.3</w:t>
            </w:r>
          </w:p>
        </w:tc>
        <w:tc>
          <w:tcPr>
            <w:tcW w:w="0" w:type="dxa"/>
            <w:vAlign w:val="bottom"/>
          </w:tcPr>
          <w:p>
            <w:pPr>
              <w:spacing w:after="0"/>
              <w:rPr>
                <w:sz w:val="1"/>
                <w:szCs w:val="1"/>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23.4 and 23.0 shares, respectively</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Total shareholders' equity</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1,240.2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1,273.3</w:t>
            </w:r>
          </w:p>
        </w:tc>
        <w:tc>
          <w:tcPr>
            <w:tcW w:w="0" w:type="dxa"/>
            <w:vAlign w:val="bottom"/>
          </w:tcPr>
          <w:p>
            <w:pPr>
              <w:spacing w:after="0"/>
              <w:rPr>
                <w:sz w:val="1"/>
                <w:szCs w:val="1"/>
                <w:color w:val="auto"/>
              </w:rPr>
            </w:pPr>
          </w:p>
        </w:tc>
      </w:tr>
      <w:tr>
        <w:trPr>
          <w:trHeight w:val="22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84"/>
        </w:trPr>
        <w:tc>
          <w:tcPr>
            <w:tcW w:w="7220" w:type="dxa"/>
            <w:vAlign w:val="bottom"/>
            <w:gridSpan w:val="3"/>
          </w:tcPr>
          <w:p>
            <w:pPr>
              <w:spacing w:after="0"/>
              <w:rPr>
                <w:sz w:val="20"/>
                <w:szCs w:val="20"/>
                <w:color w:val="auto"/>
              </w:rPr>
            </w:pPr>
            <w:r>
              <w:rPr>
                <w:rFonts w:ascii="Arial" w:cs="Arial" w:eastAsia="Arial" w:hAnsi="Arial"/>
                <w:sz w:val="16"/>
                <w:szCs w:val="16"/>
                <w:b w:val="1"/>
                <w:bCs w:val="1"/>
                <w:color w:val="auto"/>
              </w:rPr>
              <w:t>Winnebago Industries, Inc.</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72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3"/>
        </w:trPr>
        <w:tc>
          <w:tcPr>
            <w:tcW w:w="722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4"/>
        </w:trPr>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14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 2024</w:t>
            </w:r>
          </w:p>
        </w:tc>
        <w:tc>
          <w:tcPr>
            <w:tcW w:w="16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25, 2023</w:t>
            </w:r>
          </w:p>
        </w:tc>
      </w:tr>
      <w:tr>
        <w:trPr>
          <w:trHeight w:val="209"/>
        </w:trPr>
        <w:tc>
          <w:tcPr>
            <w:tcW w:w="140" w:type="dxa"/>
            <w:vAlign w:val="bottom"/>
          </w:tcPr>
          <w:p>
            <w:pPr>
              <w:spacing w:after="0"/>
              <w:rPr>
                <w:sz w:val="18"/>
                <w:szCs w:val="18"/>
                <w:color w:val="auto"/>
              </w:rPr>
            </w:pPr>
          </w:p>
        </w:tc>
        <w:tc>
          <w:tcPr>
            <w:tcW w:w="7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Net (loss)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2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Last in, first-out ("LIFO") expense</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Receivables, net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2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140" w:type="dxa"/>
            <w:vAlign w:val="bottom"/>
          </w:tcPr>
          <w:p>
            <w:pPr>
              <w:spacing w:after="0"/>
              <w:rPr>
                <w:sz w:val="18"/>
                <w:szCs w:val="18"/>
                <w:color w:val="auto"/>
              </w:rPr>
            </w:pPr>
          </w:p>
        </w:tc>
        <w:tc>
          <w:tcPr>
            <w:tcW w:w="7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140" w:type="dxa"/>
            <w:vAlign w:val="bottom"/>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r>
      <w:tr>
        <w:trPr>
          <w:trHeight w:val="183"/>
        </w:trPr>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40" w:type="dxa"/>
            <w:vAlign w:val="bottom"/>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140" w:type="dxa"/>
            <w:vAlign w:val="bottom"/>
          </w:tcPr>
          <w:p>
            <w:pPr>
              <w:spacing w:after="0"/>
              <w:rPr>
                <w:sz w:val="18"/>
                <w:szCs w:val="18"/>
                <w:color w:val="auto"/>
              </w:rPr>
            </w:pPr>
          </w:p>
        </w:tc>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r>
      <w:tr>
        <w:trPr>
          <w:trHeight w:val="182"/>
        </w:trPr>
        <w:tc>
          <w:tcPr>
            <w:tcW w:w="14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16"/>
        </w:trPr>
        <w:tc>
          <w:tcPr>
            <w:tcW w:w="14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16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(780.6)</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140" w:type="dxa"/>
            <w:vAlign w:val="bottom"/>
          </w:tcPr>
          <w:p>
            <w:pPr>
              <w:spacing w:after="0"/>
              <w:rPr>
                <w:sz w:val="18"/>
                <w:szCs w:val="18"/>
                <w:color w:val="auto"/>
              </w:rPr>
            </w:pPr>
          </w:p>
        </w:tc>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r>
      <w:tr>
        <w:trPr>
          <w:trHeight w:val="183"/>
        </w:trPr>
        <w:tc>
          <w:tcPr>
            <w:tcW w:w="14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15"/>
        </w:trPr>
        <w:tc>
          <w:tcPr>
            <w:tcW w:w="14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6"/>
        </w:trPr>
        <w:tc>
          <w:tcPr>
            <w:tcW w:w="140" w:type="dxa"/>
            <w:vAlign w:val="bottom"/>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0"/>
        </w:trPr>
        <w:tc>
          <w:tcPr>
            <w:tcW w:w="14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r>
      <w:tr>
        <w:trPr>
          <w:trHeight w:val="20"/>
        </w:trPr>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6"/>
        </w:trPr>
        <w:tc>
          <w:tcPr>
            <w:tcW w:w="140" w:type="dxa"/>
            <w:vAlign w:val="bottom"/>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Income taxes (received) paid,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140" w:type="dxa"/>
            <w:vAlign w:val="bottom"/>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140" w:type="dxa"/>
            <w:vAlign w:val="bottom"/>
          </w:tcPr>
          <w:p>
            <w:pPr>
              <w:spacing w:after="0"/>
              <w:rPr>
                <w:sz w:val="17"/>
                <w:szCs w:val="17"/>
                <w:color w:val="auto"/>
              </w:rPr>
            </w:pPr>
          </w:p>
        </w:tc>
        <w:tc>
          <w:tcPr>
            <w:tcW w:w="70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1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30, 2024</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(33.6)</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auto"/>
              </w:rPr>
              <w:t>Balances at November 30,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1,240.2</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25, 2023</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26, 2023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1,368.1</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(44.2)</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auto"/>
              </w:rPr>
              <w:t>Balances at November 25,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(641.5)</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1,354.0</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wholly-owned subsidiaries. Intercompany account balances and transactions have been eliminated in consolidation.</w:t>
      </w:r>
    </w:p>
    <w:p>
      <w:pPr>
        <w:spacing w:after="0" w:line="19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31, 2024 filed with the SEC. Interim results of operations are not necessarily indicative of the results to be expected for the full fiscal year ending August 30,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Update</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Comprehensive income represents the change in stockholders’ equity from transactions and other events and circumstances from sources other than shareholders. As of November 30, 2024 and November 25, 2023, the difference between comprehensive income and net (loss) income was not material.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November 2024, the Financial Accounting Standards Board (“FASB”) issued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November 2024, the FASB issued ASU 2024-03, which requires disclosure of additional disaggregated information about significant expenses within 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spacing w:after="0" w:line="21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 xml:space="preserve">In March 2024, the SEC adopted a final rule under SEC Release No. 33-11275, </w:t>
      </w:r>
      <w:r>
        <w:rPr>
          <w:rFonts w:ascii="Arial" w:cs="Arial" w:eastAsia="Arial" w:hAnsi="Arial"/>
          <w:sz w:val="16"/>
          <w:szCs w:val="16"/>
          <w:i w:val="1"/>
          <w:iCs w:val="1"/>
          <w:color w:val="auto"/>
        </w:rPr>
        <w:t>The Enhancement and Standardization of Climate-Related Disclosures for</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w:t>
      </w:r>
      <w:r>
        <w:rPr>
          <w:rFonts w:ascii="Arial" w:cs="Arial" w:eastAsia="Arial" w:hAnsi="Arial"/>
          <w:sz w:val="16"/>
          <w:szCs w:val="16"/>
          <w:color w:val="auto"/>
        </w:rPr>
        <w:t>. The new rule will require disclosure of greenhouse gas emissions, including Scope 1 and Scope 2 emissions; climate-related risks,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oversight; and the financial impacts of severe weather events and other natural conditions, subject to certain materiality thresholds. These disclosures are required to be phased in to our annual reporting beginning in Fiscal 2026. However, in April 2024, the SEC stayed the implementation of this rule pending the outcome of legal challenges. We continue to monitor developments and evaluate the impact of adoption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 We will adopt the standard in our Annual Report on Form 10-K for our fiscal year ending August 29, 2026 and annual filings thereafter.</w:t>
      </w:r>
    </w:p>
    <w:p>
      <w:pPr>
        <w:spacing w:after="0" w:line="199"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incremental disclosures about significant segment expenses regularly provided to the Chief Operating Decision Maker. The new guidance is effective for annual reporting periods beginning after December 15, 2023, and interim periods within fiscal years beginning after December 15, 2024. We are currently evaluating the impact of the standard on our consolidated financial statements and related disclosures. We will adopt the standard in our Annual Report on Form 10-K for our fiscal year ending August 30, 2025 and filings thereafter.</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Segments</w:t>
      </w:r>
    </w:p>
    <w:p>
      <w:pPr>
        <w:spacing w:after="0" w:line="16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three 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spacing w:after="0" w:line="20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9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31, 2024.</w:t>
      </w:r>
    </w:p>
    <w:p>
      <w:pPr>
        <w:spacing w:after="0" w:line="20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monitor and evaluate operating performance of our reportable segments based on Adjusted EBITDA. EBITDA is defined as net (loss) income before interest expense, provision for income taxes, and depreciation and amortization expense. Adjusted EBITDA is defined as net (loss) income before interest expense, provision for income taxes, depreciation and amortization expense, and other pretax adjustments made in order to present comparable results period over period. Examples of items excluded from Adjusted EBITDA include acquisition-related costs, contingent consideration fair value adjustment, and non-operating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909"/>
        </w:trPr>
        <w:tc>
          <w:tcPr>
            <w:tcW w:w="7000" w:type="dxa"/>
            <w:vAlign w:val="bottom"/>
            <w:gridSpan w:val="2"/>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12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5"/>
          </w:tcPr>
          <w:p>
            <w:pPr>
              <w:ind w:left="100"/>
              <w:spacing w:after="0" w:line="155" w:lineRule="exact"/>
              <w:rPr>
                <w:sz w:val="20"/>
                <w:szCs w:val="20"/>
                <w:color w:val="auto"/>
              </w:rPr>
            </w:pPr>
            <w:r>
              <w:rPr>
                <w:rFonts w:ascii="Arial" w:cs="Arial" w:eastAsia="Arial" w:hAnsi="Arial"/>
                <w:sz w:val="16"/>
                <w:szCs w:val="16"/>
                <w:b w:val="1"/>
                <w:bCs w:val="1"/>
                <w:color w:val="auto"/>
              </w:rPr>
              <w:t>November 30,</w:t>
            </w:r>
          </w:p>
        </w:tc>
        <w:tc>
          <w:tcPr>
            <w:tcW w:w="160" w:type="dxa"/>
            <w:vAlign w:val="bottom"/>
          </w:tcPr>
          <w:p>
            <w:pPr>
              <w:spacing w:after="0"/>
              <w:rPr>
                <w:sz w:val="13"/>
                <w:szCs w:val="13"/>
                <w:color w:val="auto"/>
              </w:rPr>
            </w:pPr>
          </w:p>
        </w:tc>
        <w:tc>
          <w:tcPr>
            <w:tcW w:w="148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25,</w:t>
            </w: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w w:val="99"/>
              </w:rPr>
              <w:t>254.0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330.8</w:t>
            </w: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9"/>
              </w:rPr>
              <w:t>271.7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21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net revenues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9"/>
              </w:rPr>
              <w:t>616.2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net revenues</w:t>
            </w: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625.6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w:t>
            </w:r>
          </w:p>
        </w:tc>
      </w:tr>
      <w:tr>
        <w:trPr>
          <w:trHeight w:val="20"/>
        </w:trPr>
        <w:tc>
          <w:tcPr>
            <w:tcW w:w="70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5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Adjusted EBITDA</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3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Adjusted EBITDA</w:t>
            </w: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0"/>
        </w:trPr>
        <w:tc>
          <w:tcPr>
            <w:tcW w:w="70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5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capital expenditures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capital expenditures</w:t>
            </w: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1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November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31,</w:t>
            </w: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684.0</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719.0</w:t>
            </w: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w:t>
            </w:r>
          </w:p>
        </w:tc>
      </w:tr>
      <w:tr>
        <w:trPr>
          <w:trHeight w:val="21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assets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1,884.8</w:t>
            </w: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499.4</w:t>
            </w:r>
          </w:p>
        </w:tc>
      </w:tr>
      <w:tr>
        <w:trPr>
          <w:trHeight w:val="23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assets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909"/>
        </w:trPr>
        <w:tc>
          <w:tcPr>
            <w:tcW w:w="7860" w:type="dxa"/>
            <w:vAlign w:val="bottom"/>
            <w:gridSpan w:val="2"/>
          </w:tcPr>
          <w:p>
            <w:pPr>
              <w:spacing w:after="0"/>
              <w:rPr>
                <w:sz w:val="20"/>
                <w:szCs w:val="20"/>
                <w:color w:val="auto"/>
              </w:rPr>
            </w:pPr>
            <w:r>
              <w:rPr>
                <w:rFonts w:ascii="Arial" w:cs="Arial" w:eastAsia="Arial" w:hAnsi="Arial"/>
                <w:sz w:val="16"/>
                <w:szCs w:val="16"/>
                <w:color w:val="auto"/>
              </w:rPr>
              <w:t>Reconciliation of net (loss) income to consolidated Adjusted EBITDA is as follows:</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20"/>
                <w:szCs w:val="20"/>
                <w:color w:val="auto"/>
              </w:rPr>
            </w:pPr>
          </w:p>
        </w:tc>
      </w:tr>
      <w:tr>
        <w:trPr>
          <w:trHeight w:val="209"/>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30,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25, 2023</w:t>
            </w:r>
          </w:p>
        </w:tc>
      </w:tr>
      <w:tr>
        <w:trPr>
          <w:trHeight w:val="210"/>
        </w:trPr>
        <w:tc>
          <w:tcPr>
            <w:tcW w:w="7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5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Adjusted EBITDA</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20"/>
        </w:trPr>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Investments and Fair Value Measurements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304"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68" w:lineRule="exact"/>
        <w:rPr>
          <w:sz w:val="20"/>
          <w:szCs w:val="20"/>
          <w:color w:val="auto"/>
        </w:rPr>
      </w:pPr>
    </w:p>
    <w:p>
      <w:pPr>
        <w:ind w:left="660" w:right="300"/>
        <w:spacing w:after="0" w:line="304"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168" w:lineRule="exact"/>
        <w:rPr>
          <w:sz w:val="20"/>
          <w:szCs w:val="20"/>
          <w:color w:val="auto"/>
        </w:rPr>
      </w:pPr>
    </w:p>
    <w:p>
      <w:pPr>
        <w:ind w:right="4900"/>
        <w:spacing w:after="0" w:line="352" w:lineRule="auto"/>
        <w:rPr>
          <w:sz w:val="20"/>
          <w:szCs w:val="20"/>
          <w:color w:val="auto"/>
        </w:rPr>
      </w:pPr>
      <w:r>
        <w:rPr>
          <w:rFonts w:ascii="Arial" w:cs="Arial" w:eastAsia="Arial" w:hAnsi="Arial"/>
          <w:sz w:val="16"/>
          <w:szCs w:val="16"/>
          <w:b w:val="1"/>
          <w:bCs w:val="1"/>
          <w:color w:val="auto"/>
        </w:rPr>
        <w:t xml:space="preserve">Assets and Liabilities that are Measured at Fair Value on a Recurring Basis </w:t>
      </w:r>
      <w:r>
        <w:rPr>
          <w:rFonts w:ascii="Arial" w:cs="Arial" w:eastAsia="Arial" w:hAnsi="Arial"/>
          <w:sz w:val="16"/>
          <w:szCs w:val="16"/>
          <w:color w:val="auto"/>
        </w:rPr>
        <w:t>Financial assets and liabilities measured at fair value on a recurring basis are as follows:</w:t>
      </w: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rPr>
              <w:t>November 30,</w:t>
            </w:r>
          </w:p>
        </w:tc>
        <w:tc>
          <w:tcPr>
            <w:tcW w:w="32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1300" w:type="dxa"/>
            <w:vAlign w:val="bottom"/>
          </w:tcPr>
          <w:p>
            <w:pPr>
              <w:jc w:val="center"/>
              <w:ind w:left="219"/>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300" w:type="dxa"/>
            <w:vAlign w:val="bottom"/>
          </w:tcPr>
          <w:p>
            <w:pPr>
              <w:jc w:val="center"/>
              <w:ind w:left="239"/>
              <w:spacing w:after="0" w:line="142" w:lineRule="exact"/>
              <w:rPr>
                <w:sz w:val="20"/>
                <w:szCs w:val="20"/>
                <w:color w:val="auto"/>
              </w:rPr>
            </w:pPr>
            <w:r>
              <w:rPr>
                <w:rFonts w:ascii="Arial" w:cs="Arial" w:eastAsia="Arial" w:hAnsi="Arial"/>
                <w:sz w:val="16"/>
                <w:szCs w:val="16"/>
                <w:b w:val="1"/>
                <w:bCs w:val="1"/>
                <w:color w:val="auto"/>
              </w:rPr>
              <w:t>August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tcPr>
          <w:p>
            <w:pPr>
              <w:jc w:val="center"/>
              <w:ind w:left="219"/>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8"/>
                <w:szCs w:val="18"/>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11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Deferred Compensation Plan, are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classified as Level 1 as they are traded in an active market for which closing stock prices are readily available. Refer to Note 11 in the Notes to Consolidated Financial Statements included in Item 8 of Part II of our Annual Report on Form 10-K for the fiscal year ended August 31, 2024 for additional information regarding these plans.</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months ended November 30, 2024 or November 25, 2023.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13"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91"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1 of Part I of this Quarterly Report on Form 10-Q for the fair value of our debt.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20"/>
                <w:szCs w:val="20"/>
                <w:color w:val="auto"/>
              </w:rPr>
            </w:pPr>
            <w:r>
              <w:rPr>
                <w:rFonts w:ascii="Arial" w:cs="Arial" w:eastAsia="Arial" w:hAnsi="Arial"/>
                <w:sz w:val="16"/>
                <w:szCs w:val="16"/>
                <w:b w:val="1"/>
                <w:bCs w:val="1"/>
                <w:color w:val="auto"/>
              </w:rPr>
              <w:t>Note 4.  Inventories</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000" w:type="dxa"/>
            <w:vAlign w:val="bottom"/>
          </w:tcPr>
          <w:p>
            <w:pPr>
              <w:spacing w:after="0"/>
              <w:rPr>
                <w:sz w:val="15"/>
                <w:szCs w:val="15"/>
                <w:color w:val="auto"/>
              </w:rPr>
            </w:pPr>
          </w:p>
        </w:tc>
        <w:tc>
          <w:tcPr>
            <w:tcW w:w="1580" w:type="dxa"/>
            <w:vAlign w:val="bottom"/>
          </w:tcPr>
          <w:p>
            <w:pPr>
              <w:jc w:val="center"/>
              <w:ind w:left="399"/>
              <w:spacing w:after="0" w:line="178" w:lineRule="exact"/>
              <w:rPr>
                <w:sz w:val="20"/>
                <w:szCs w:val="20"/>
                <w:color w:val="auto"/>
              </w:rPr>
            </w:pPr>
            <w:r>
              <w:rPr>
                <w:rFonts w:ascii="Arial" w:cs="Arial" w:eastAsia="Arial" w:hAnsi="Arial"/>
                <w:sz w:val="16"/>
                <w:szCs w:val="16"/>
                <w:b w:val="1"/>
                <w:bCs w:val="1"/>
                <w:color w:val="auto"/>
              </w:rPr>
              <w:t>November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right="279"/>
              <w:spacing w:after="0" w:line="178" w:lineRule="exact"/>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247.4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487.4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First-in, first-out ("FIFO") over LIFO cost</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5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435.5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1580" w:type="dxa"/>
            <w:vAlign w:val="bottom"/>
          </w:tcPr>
          <w:p>
            <w:pPr>
              <w:jc w:val="center"/>
              <w:ind w:left="399"/>
              <w:spacing w:after="0" w:line="178" w:lineRule="exact"/>
              <w:rPr>
                <w:sz w:val="20"/>
                <w:szCs w:val="20"/>
                <w:color w:val="auto"/>
              </w:rPr>
            </w:pPr>
            <w:r>
              <w:rPr>
                <w:rFonts w:ascii="Arial" w:cs="Arial" w:eastAsia="Arial" w:hAnsi="Arial"/>
                <w:sz w:val="16"/>
                <w:szCs w:val="16"/>
                <w:b w:val="1"/>
                <w:bCs w:val="1"/>
                <w:color w:val="auto"/>
              </w:rPr>
              <w:t>November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right="279"/>
              <w:spacing w:after="0" w:line="178" w:lineRule="exact"/>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244.1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FIFO basis</w:t>
            </w:r>
          </w:p>
        </w:tc>
        <w:tc>
          <w:tcPr>
            <w:tcW w:w="1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243.3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487.4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20"/>
                <w:szCs w:val="20"/>
                <w:color w:val="auto"/>
              </w:rPr>
            </w:pPr>
            <w:r>
              <w:rPr>
                <w:rFonts w:ascii="Arial" w:cs="Arial" w:eastAsia="Arial" w:hAnsi="Arial"/>
                <w:sz w:val="16"/>
                <w:szCs w:val="16"/>
                <w:b w:val="1"/>
                <w:bCs w:val="1"/>
                <w:color w:val="auto"/>
              </w:rPr>
              <w:t>Note 5.  Property, Plant, and Equipment</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43"/>
        </w:trPr>
        <w:tc>
          <w:tcPr>
            <w:tcW w:w="8920" w:type="dxa"/>
            <w:vAlign w:val="bottom"/>
            <w:gridSpan w:val="4"/>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1"/>
        </w:trPr>
        <w:tc>
          <w:tcPr>
            <w:tcW w:w="6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November 30,</w:t>
            </w:r>
          </w:p>
        </w:tc>
        <w:tc>
          <w:tcPr>
            <w:tcW w:w="34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31,</w:t>
            </w: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279.3</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Software</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10"/>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w:t>
            </w:r>
          </w:p>
        </w:tc>
      </w:tr>
      <w:tr>
        <w:trPr>
          <w:trHeight w:val="235"/>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$9.7 million and $8.1 million for the three months ended November 30, 2024 and November 25, 2023, respectively.</w:t>
      </w:r>
    </w:p>
    <w:p>
      <w:pPr>
        <w:spacing w:after="0" w:line="2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6.</w:t>
        <w:tab/>
        <w:t>Goodwill and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goodwill by reportable segment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Towable</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Motorhome</w:t>
            </w:r>
          </w:p>
        </w:tc>
        <w:tc>
          <w:tcPr>
            <w:tcW w:w="24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Marine</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Corporate / All</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1"/>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RV</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RV</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1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November 30, 2024 and August 31, 2024</w:t>
            </w:r>
            <w:r>
              <w:rPr>
                <w:rFonts w:ascii="Arial" w:cs="Arial" w:eastAsia="Arial" w:hAnsi="Arial"/>
                <w:sz w:val="21"/>
                <w:szCs w:val="21"/>
                <w:color w:val="auto"/>
                <w:vertAlign w:val="superscript"/>
              </w:rPr>
              <w:t>(1)</w:t>
            </w:r>
          </w:p>
        </w:tc>
        <w:tc>
          <w:tcPr>
            <w:tcW w:w="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2"/>
        </w:numPr>
        <w:rPr>
          <w:rFonts w:ascii="Arial" w:cs="Arial" w:eastAsia="Arial" w:hAnsi="Arial"/>
          <w:sz w:val="9"/>
          <w:szCs w:val="9"/>
          <w:color w:val="auto"/>
        </w:rPr>
      </w:pPr>
      <w:r>
        <w:rPr>
          <w:rFonts w:ascii="Arial" w:cs="Arial" w:eastAsia="Arial" w:hAnsi="Arial"/>
          <w:sz w:val="14"/>
          <w:szCs w:val="14"/>
          <w:color w:val="auto"/>
        </w:rPr>
        <w:t>There was no activity in the three months ended November 30, 2024.</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00" w:type="dxa"/>
            <w:vAlign w:val="bottom"/>
          </w:tcPr>
          <w:p>
            <w:pPr>
              <w:spacing w:after="0"/>
              <w:rPr>
                <w:sz w:val="13"/>
                <w:szCs w:val="13"/>
                <w:color w:val="auto"/>
              </w:rPr>
            </w:pPr>
          </w:p>
        </w:tc>
        <w:tc>
          <w:tcPr>
            <w:tcW w:w="19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31, 2024</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finite-lived intangible assets as of November 30, 2024 was approximately six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2030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0"/>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r>
      <w:tr>
        <w:trPr>
          <w:trHeight w:val="21"/>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Product Warranties</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9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5"/>
          </w:tcPr>
          <w:p>
            <w:pPr>
              <w:ind w:left="100"/>
              <w:spacing w:after="0" w:line="155" w:lineRule="exact"/>
              <w:rPr>
                <w:sz w:val="20"/>
                <w:szCs w:val="20"/>
                <w:color w:val="auto"/>
              </w:rPr>
            </w:pPr>
            <w:r>
              <w:rPr>
                <w:rFonts w:ascii="Arial" w:cs="Arial" w:eastAsia="Arial" w:hAnsi="Arial"/>
                <w:sz w:val="16"/>
                <w:szCs w:val="16"/>
                <w:b w:val="1"/>
                <w:bCs w:val="1"/>
                <w:color w:val="auto"/>
              </w:rPr>
              <w:t>November 30,</w:t>
            </w:r>
          </w:p>
        </w:tc>
        <w:tc>
          <w:tcPr>
            <w:tcW w:w="160" w:type="dxa"/>
            <w:vAlign w:val="bottom"/>
          </w:tcPr>
          <w:p>
            <w:pPr>
              <w:spacing w:after="0"/>
              <w:rPr>
                <w:sz w:val="13"/>
                <w:szCs w:val="13"/>
                <w:color w:val="auto"/>
              </w:rPr>
            </w:pPr>
          </w:p>
        </w:tc>
        <w:tc>
          <w:tcPr>
            <w:tcW w:w="148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25,</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6"/>
              </w:rPr>
              <w:t>78.9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5"/>
        </w:trPr>
        <w:tc>
          <w:tcPr>
            <w:tcW w:w="7000" w:type="dxa"/>
            <w:vAlign w:val="bottom"/>
          </w:tcPr>
          <w:p>
            <w:pPr>
              <w:ind w:left="140"/>
              <w:spacing w:after="0"/>
              <w:rPr>
                <w:sz w:val="20"/>
                <w:szCs w:val="20"/>
                <w:color w:val="auto"/>
              </w:rPr>
            </w:pPr>
            <w:r>
              <w:rPr>
                <w:rFonts w:ascii="Arial" w:cs="Arial" w:eastAsia="Arial" w:hAnsi="Arial"/>
                <w:sz w:val="16"/>
                <w:szCs w:val="16"/>
                <w:color w:val="auto"/>
              </w:rPr>
              <w:t>Provision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6"/>
                <w:szCs w:val="16"/>
                <w:color w:val="auto"/>
                <w:w w:val="96"/>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Claims paid</w:t>
            </w:r>
          </w:p>
        </w:tc>
        <w:tc>
          <w:tcPr>
            <w:tcW w:w="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72.5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Note 8.   Debt</w:t>
            </w: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9"/>
        </w:trPr>
        <w:tc>
          <w:tcPr>
            <w:tcW w:w="70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000" w:type="dxa"/>
            <w:vAlign w:val="bottom"/>
          </w:tcPr>
          <w:p>
            <w:pPr>
              <w:spacing w:after="0"/>
              <w:rPr>
                <w:sz w:val="20"/>
                <w:szCs w:val="20"/>
                <w:color w:val="auto"/>
              </w:rPr>
            </w:pPr>
            <w:r>
              <w:rPr>
                <w:rFonts w:ascii="Arial" w:cs="Arial" w:eastAsia="Arial" w:hAnsi="Arial"/>
                <w:sz w:val="16"/>
                <w:szCs w:val="16"/>
                <w:color w:val="auto"/>
              </w:rPr>
              <w:t>The following table summarizes our outstanding debt:</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000" w:type="dxa"/>
            <w:vAlign w:val="bottom"/>
          </w:tcPr>
          <w:p>
            <w:pPr>
              <w:spacing w:after="0"/>
              <w:rPr>
                <w:sz w:val="15"/>
                <w:szCs w:val="15"/>
                <w:color w:val="auto"/>
              </w:rPr>
            </w:pPr>
          </w:p>
        </w:tc>
        <w:tc>
          <w:tcPr>
            <w:tcW w:w="2040" w:type="dxa"/>
            <w:vAlign w:val="bottom"/>
            <w:gridSpan w:val="3"/>
          </w:tcPr>
          <w:p>
            <w:pPr>
              <w:jc w:val="right"/>
              <w:ind w:right="399"/>
              <w:spacing w:after="0" w:line="178" w:lineRule="exact"/>
              <w:rPr>
                <w:sz w:val="20"/>
                <w:szCs w:val="20"/>
                <w:color w:val="auto"/>
              </w:rPr>
            </w:pPr>
            <w:r>
              <w:rPr>
                <w:rFonts w:ascii="Arial" w:cs="Arial" w:eastAsia="Arial" w:hAnsi="Arial"/>
                <w:sz w:val="16"/>
                <w:szCs w:val="16"/>
                <w:b w:val="1"/>
                <w:bCs w:val="1"/>
                <w:color w:val="auto"/>
              </w:rPr>
              <w:t>November 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539"/>
              <w:spacing w:after="0" w:line="178" w:lineRule="exact"/>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 Convertible Notes</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debt, gross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Unamortized debt issuance cost, net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 net</w:t>
            </w: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Notes</w:t>
      </w:r>
    </w:p>
    <w:p>
      <w:pPr>
        <w:spacing w:after="0" w:line="11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2030 Convertible Notes</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spacing w:after="0" w:line="19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w:t>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November 30, 2024, there have been no changes to the initial conversion rate.</w:t>
      </w:r>
    </w:p>
    <w:p>
      <w:pPr>
        <w:spacing w:after="0" w:line="21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Prior to the close of business on the business day immediately preceding July 15, 2029, the 2030 Convertible Notes will be convertible only under the following circumstances:</w:t>
      </w:r>
    </w:p>
    <w:p>
      <w:pPr>
        <w:spacing w:after="0" w:line="304" w:lineRule="exact"/>
        <w:rPr>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spacing w:after="0" w:line="69" w:lineRule="exact"/>
        <w:rPr>
          <w:rFonts w:ascii="Arial" w:cs="Arial" w:eastAsia="Arial" w:hAnsi="Arial"/>
          <w:sz w:val="16"/>
          <w:szCs w:val="16"/>
          <w:color w:val="auto"/>
        </w:rPr>
      </w:pPr>
    </w:p>
    <w:p>
      <w:pPr>
        <w:ind w:left="660" w:right="60" w:hanging="328"/>
        <w:spacing w:after="0" w:line="27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five consecutive business day period immediately after any five consecutive trading day period (the "measurement period to the 2030 Convertible Notes") in which the trading price (as defined in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to the 2030 Convertible Notes; or</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call such 2030 Convertible Notes for redemption (as described below).</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w:t>
      </w:r>
    </w:p>
    <w:p>
      <w:pPr>
        <w:spacing w:after="0" w:line="191"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w:t>
      </w:r>
    </w:p>
    <w:p>
      <w:pPr>
        <w:spacing w:after="0" w:line="15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2030 Convertible Notes and Related 2030 Hedge Transactions and 2030 Warrant Transactions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$3.2 million of interest expense during the three months ended November 30, 2024.</w:t>
      </w:r>
    </w:p>
    <w:p>
      <w:pPr>
        <w:spacing w:after="0" w:line="19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net after-tax cost incurred in connection with the 2030 Call Spread Transactions was $20.6 million. These transactions are classified as equity and are not remeasured each reporting period.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(the “2025 Convertible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Notes”), of which $59.3 million of aggregate principal amount of 2025 Convertible Notes remain outstanding at November 30, 2024. The net proceeds from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the 2025 Convertible Notes, after deducting the initial purchasers' transaction fees and offering expense payable by us, were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$290.2 million. The 2025 Convertible Notes bear interest at the annual rate of 1.5%, payable on April 1 and October 1 of each year, beginning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2020, and will mature on April 1, 2025, unless earlier converted or repurchased by us.</w:t>
      </w:r>
    </w:p>
    <w:p>
      <w:pPr>
        <w:spacing w:after="0" w:line="23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2025 Convertible Notes will be convertible into cash, shares of our common stock or a combination thereof, at our election, at an initial conversion rate of 15.6906 shares of common stock per $1,000 principal amount of 2025 Convertible Notes, which is equivalent to an initial conversion price of approximately $63.73 per share, as adjusted pursuant to the terms of the Indenture governing the 2025 Convertible Notes. The 2025 Convertible Notes may be converted at any time on or after October 1, 2024, until the close of business on the second scheduled trading day immediately preceding the maturity date.</w:t>
      </w:r>
    </w:p>
    <w:p>
      <w:pPr>
        <w:spacing w:after="0" w:line="39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conversion rate of the 2025 Convertible Notes may be adjusted in certain circumstances, including in connection with a conversion of the 2025 Convertible Notes made following certain fundamental changes and under other circumstances set forth in the Indenture to the 2025 Convertible Notes. As of November 30, 2024, the conversion rate was 16.2082 shares of common stock per $1,000 principal amount of 2025 Convertible Notes, which is equivalent to a conversion price of approximately $61.70. The difference between the initial conversion rate and the conversion rate as of November 30, 2024 is due to cash dividends that have been declared following the issuance of the 2025 Convertible Notes.</w:t>
      </w:r>
    </w:p>
    <w:p>
      <w:pPr>
        <w:spacing w:after="0" w:line="19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It is our current intent to settle all conversions of the 2025 Convertible Notes in cash. Our ability to cash settle may be limited depending on the stock price at the time of conversion.</w:t>
      </w:r>
    </w:p>
    <w:p>
      <w:pPr>
        <w:spacing w:after="0" w:line="16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Prior to the close of business on the business day immediately preceding October 1, 2024, the 2025 Convertible Notes will be convertible only under the following circumstances:</w:t>
      </w:r>
    </w:p>
    <w:p>
      <w:pPr>
        <w:spacing w:after="0" w:line="304" w:lineRule="exact"/>
        <w:rPr>
          <w:sz w:val="20"/>
          <w:szCs w:val="20"/>
          <w:color w:val="auto"/>
        </w:rPr>
      </w:pPr>
    </w:p>
    <w:p>
      <w:pPr>
        <w:ind w:left="660" w:right="700" w:hanging="328"/>
        <w:spacing w:after="0" w:line="27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56" w:lineRule="exact"/>
        <w:rPr>
          <w:rFonts w:ascii="Arial" w:cs="Arial" w:eastAsia="Arial" w:hAnsi="Arial"/>
          <w:sz w:val="16"/>
          <w:szCs w:val="16"/>
          <w:color w:val="auto"/>
        </w:rPr>
      </w:pPr>
    </w:p>
    <w:p>
      <w:pPr>
        <w:ind w:left="660" w:right="100" w:hanging="328"/>
        <w:spacing w:after="0" w:line="26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to the 2025 Convertible Notes") in which the trading price per $1,000 principal amount of 2025 Convertible Notes for each trading day of the measurement period to the 2025 Convertible Notes was less than 98% of the product of the last reported sale price of the common stock and the conversion rate for the 2025 Convertible Notes on each such trading day; or</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for the 2025 Convertible Notes.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2025 Convertible Notes at our option prior to the maturity date, and no sinking fund is provided for the 2025 Convertible Notes.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October 29, 2019 and October 30, 2019, in connection with the offering of the 2025 Convertible Notes, we entered into privately negotiated convertible note hedge transactions (collectively, the “2025 Hedge Transactions”) that cover, subject to customary anti-dilution adjustments, the number of shares of our common stock that initially underlie the 2025 Convertible Notes.</w:t>
      </w:r>
    </w:p>
    <w:p>
      <w:pPr>
        <w:spacing w:after="0" w:line="191"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“2025 Warrant Transactions” and, together with the 2025 Hedge Transactions, the “2025 Call Spread Transactions”), whereby we sold warrants at a higher strike price relating to the same number of shares of our common stock that initially underlie the 2025 Convertible Notes, subject to customary anti-dilution adjustments.</w:t>
      </w:r>
    </w:p>
    <w:p>
      <w:pPr>
        <w:spacing w:after="0" w:line="15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2025 Hedge Transactions and the 2025 Warrant Transactions are separate transactions, in each case, and are not part of the terms of the 2025 Convertible Notes and will not affect any holder’s rights under the 2025 Convertible Notes. Holders of the 2025 Convertible Notes will not have any rights with respect to the 2025 Call Spread Transactions.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January 18, 2024, we entered into separate, privately negotiated transactions (the "2025 Convertible Note Repurchases") with certain holders of the 2025 Convertible Notes to repurchase $240.7 million aggregate principal amount of the 2025 Convertible Notes using $293.8 million of the net proceeds received from the 2030 Convertible Notes. In connection with the 2025 Convertible Note Repurchases, we recorded a loss on note repurchase of $32.7 million in the accompanying Consolidated Statements of Income during the second quarter of Fiscal 2024. The loss on note repurchase represents the difference between the fair value of consideration transferred to the holders of the repurchased 2025 Convertible Notes and the conversion value of 2025 Convertible Notes repurchased pursuant to the original conversion terms. Concurrently with the 2025 Convertible Note Repurchases, we entered into agreements to terminate a proportionate amount of the 2025 Call Spread Transactions, which resulted in net proceeds of $30.5 million recorded as equity in the accompanying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2025 Convertible Notes and Related 2025 Hedge Transactions and 2025 Warrant Transactions</w:t>
      </w:r>
    </w:p>
    <w:p>
      <w:pPr>
        <w:spacing w:after="0" w:line="11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2025 Convertible Notes are accounted for as a single liability measured at amortized cost. Interest expense, representing the amortization of the remaining debt issuance costs as well as the contractual interest expense are amortized using an effective interest rate of 2.1% over the term of the 2025 Convertible Notes. We recorded $0.3 million and $1.6 million of interest expense during the three months ended November 30, 2024 and November 25, 2023,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2025 Call Spread Transactions are classified as equity and are not remeasured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Fair Value and Future Maturities</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000" w:type="dxa"/>
            <w:vAlign w:val="bottom"/>
            <w:gridSpan w:val="2"/>
          </w:tcPr>
          <w:p>
            <w:pPr>
              <w:spacing w:after="0"/>
              <w:rPr>
                <w:sz w:val="20"/>
                <w:szCs w:val="20"/>
                <w:color w:val="auto"/>
              </w:rPr>
            </w:pPr>
            <w:r>
              <w:rPr>
                <w:rFonts w:ascii="Arial" w:cs="Arial" w:eastAsia="Arial" w:hAnsi="Arial"/>
                <w:sz w:val="16"/>
                <w:szCs w:val="16"/>
                <w:color w:val="auto"/>
              </w:rPr>
              <w:t>The fair value of outstanding debt obligations, gross is as follows:</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November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Senior Secured Notes</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300.2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2025 Convertible Notes</w:t>
            </w:r>
          </w:p>
        </w:tc>
        <w:tc>
          <w:tcPr>
            <w:tcW w:w="1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debt, gross</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715.0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70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Fiscal 2025</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Fiscal 2026</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Fiscal 2028</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2029</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Fiscal 2030</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Total debt, gross</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of our financial debt covenants as of November 30, 2024.</w:t>
      </w:r>
    </w:p>
    <w:p>
      <w:pPr>
        <w:spacing w:after="0" w:line="26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31, 2024 for additional information regarding our debt.</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9.</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1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$1,665.5 million and $1,673.7 million at November 30, 2024 and August 31, 2024, respectively.</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$1.0 million and $1.1 million at November 30, 2024 and August 31, 2024,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months ended November 30, 2024 and November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Revenue</w:t>
      </w:r>
    </w:p>
    <w:p>
      <w:pPr>
        <w:spacing w:after="0" w:line="181"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30,</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25,</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158.0</w:t>
            </w:r>
          </w:p>
        </w:tc>
      </w:tr>
      <w:tr>
        <w:trPr>
          <w:trHeight w:val="217"/>
        </w:trPr>
        <w:tc>
          <w:tcPr>
            <w:tcW w:w="786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9"/>
        </w:trPr>
        <w:tc>
          <w:tcPr>
            <w:tcW w:w="7860" w:type="dxa"/>
            <w:vAlign w:val="bottom"/>
          </w:tcPr>
          <w:p>
            <w:pPr>
              <w:ind w:left="220"/>
              <w:spacing w:after="0"/>
              <w:rPr>
                <w:sz w:val="20"/>
                <w:szCs w:val="20"/>
                <w:color w:val="auto"/>
              </w:rPr>
            </w:pPr>
            <w:r>
              <w:rPr>
                <w:rFonts w:ascii="Arial" w:cs="Arial" w:eastAsia="Arial" w:hAnsi="Arial"/>
                <w:sz w:val="16"/>
                <w:szCs w:val="16"/>
                <w:color w:val="auto"/>
              </w:rPr>
              <w:t>Total Towable RV</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330.8</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Class A</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164.9</w:t>
            </w: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r>
      <w:tr>
        <w:trPr>
          <w:trHeight w:val="216"/>
        </w:trPr>
        <w:tc>
          <w:tcPr>
            <w:tcW w:w="78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r>
      <w:tr>
        <w:trPr>
          <w:trHeight w:val="210"/>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 RV</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Marine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87.3</w:t>
            </w:r>
          </w:p>
        </w:tc>
      </w:tr>
      <w:tr>
        <w:trPr>
          <w:trHeight w:val="217"/>
        </w:trPr>
        <w:tc>
          <w:tcPr>
            <w:tcW w:w="78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0"/>
        </w:trPr>
        <w:tc>
          <w:tcPr>
            <w:tcW w:w="786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763.0</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300" w:hanging="292"/>
        <w:spacing w:after="0" w:line="183" w:lineRule="auto"/>
        <w:tabs>
          <w:tab w:leader="none" w:pos="30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Relates to units, parts, accessories, and services associated with Winnebago specialty vehicles. In addition, this activity also includes Lithionics battery sales, including the</w:t>
      </w:r>
    </w:p>
    <w:p>
      <w:pPr>
        <w:ind w:left="260"/>
        <w:spacing w:after="0"/>
        <w:rPr>
          <w:sz w:val="20"/>
          <w:szCs w:val="20"/>
          <w:color w:val="auto"/>
        </w:rPr>
      </w:pPr>
      <w:r>
        <w:rPr>
          <w:rFonts w:ascii="Arial" w:cs="Arial" w:eastAsia="Arial" w:hAnsi="Arial"/>
          <w:sz w:val="14"/>
          <w:szCs w:val="14"/>
          <w:color w:val="auto"/>
        </w:rPr>
        <w:t>related systems and accessories, that are sold directly to external customers.</w:t>
      </w:r>
    </w:p>
    <w:p>
      <w:pPr>
        <w:spacing w:after="0" w:line="23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three months ended November 30, 2024 or November 25, 2023.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6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Our effective tax rate was 21.9% and 24.9% for the three months ended November 30, 2024 and November 25, 2023, respectively. The change in our effective tax rate was driven primarily by the current year pre-tax book loss compared to pre-tax book income in the prior year.</w:t>
      </w:r>
    </w:p>
    <w:p>
      <w:pPr>
        <w:spacing w:after="0" w:line="19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 of November 30, 2024, $9.1 million of U.S. federal income taxes receivable was included in prepaid expenses and other current assets on the Consolidated Balance Sheets. Comparatively, as of August 31, 2024, $6.8 million of U.S. federal income taxes receivable was included in prepaid expenses and other current assets on the Consolidated Balance Sheets.</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November 30, 2024, our U.S. Federal returns from Fiscal 2021 to present are subject to review by the Internal Revenue Service. With limited exceptions, U.S. state returns from Fiscal 2020 to present continue to be subject to review by state taxing jurisdictions. We are currently under review by certain U.S. state tax authorities for Fiscal 2020 through Fiscal 2023.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20"/>
                <w:szCs w:val="20"/>
                <w:color w:val="auto"/>
              </w:rPr>
            </w:pPr>
            <w:r>
              <w:rPr>
                <w:rFonts w:ascii="Arial" w:cs="Arial" w:eastAsia="Arial" w:hAnsi="Arial"/>
                <w:sz w:val="16"/>
                <w:szCs w:val="16"/>
                <w:b w:val="1"/>
                <w:bCs w:val="1"/>
                <w:color w:val="auto"/>
              </w:rPr>
              <w:t>Note 12. Earnings Per Share</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9"/>
        </w:trPr>
        <w:tc>
          <w:tcPr>
            <w:tcW w:w="7860" w:type="dxa"/>
            <w:vAlign w:val="bottom"/>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5"/>
        </w:trPr>
        <w:tc>
          <w:tcPr>
            <w:tcW w:w="7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30,</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25,</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0"/>
        </w:trPr>
        <w:tc>
          <w:tcPr>
            <w:tcW w:w="7860" w:type="dxa"/>
            <w:vAlign w:val="bottom"/>
          </w:tcPr>
          <w:p>
            <w:pPr>
              <w:ind w:left="240"/>
              <w:spacing w:after="0" w:line="210" w:lineRule="exact"/>
              <w:rPr>
                <w:sz w:val="20"/>
                <w:szCs w:val="20"/>
                <w:color w:val="auto"/>
              </w:rPr>
            </w:pPr>
            <w:r>
              <w:rPr>
                <w:rFonts w:ascii="Arial" w:cs="Arial" w:eastAsia="Arial" w:hAnsi="Arial"/>
                <w:sz w:val="16"/>
                <w:szCs w:val="16"/>
                <w:color w:val="auto"/>
              </w:rPr>
              <w:t>Basic (loss) earnings per common share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Interest expense on convertible notes, net of tax</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net (loss)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51"/>
        </w:trPr>
        <w:tc>
          <w:tcPr>
            <w:tcW w:w="7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Dilutive impact of stock compensation awards</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impact of convertible notes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7860" w:type="dxa"/>
            <w:vAlign w:val="bottom"/>
          </w:tcPr>
          <w:p>
            <w:pPr>
              <w:ind w:left="140"/>
              <w:spacing w:after="0"/>
              <w:rPr>
                <w:sz w:val="20"/>
                <w:szCs w:val="20"/>
                <w:color w:val="auto"/>
              </w:rPr>
            </w:pPr>
            <w:r>
              <w:rPr>
                <w:rFonts w:ascii="Arial" w:cs="Arial" w:eastAsia="Arial" w:hAnsi="Arial"/>
                <w:sz w:val="16"/>
                <w:szCs w:val="16"/>
                <w:color w:val="auto"/>
              </w:rPr>
              <w:t>Weighted average common shares outstanding, assuming dilution</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271"/>
        </w:trPr>
        <w:tc>
          <w:tcPr>
            <w:tcW w:w="7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Anti-dilutive securities excluded from weighted average common shares outstanding, assuming dilution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1"/>
        </w:trPr>
        <w:tc>
          <w:tcPr>
            <w:tcW w:w="78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10"/>
        </w:trPr>
        <w:tc>
          <w:tcPr>
            <w:tcW w:w="7860" w:type="dxa"/>
            <w:vAlign w:val="bottom"/>
          </w:tcPr>
          <w:p>
            <w:pPr>
              <w:ind w:left="240"/>
              <w:spacing w:after="0" w:line="210" w:lineRule="exact"/>
              <w:rPr>
                <w:sz w:val="20"/>
                <w:szCs w:val="20"/>
                <w:color w:val="auto"/>
              </w:rPr>
            </w:pPr>
            <w:r>
              <w:rPr>
                <w:rFonts w:ascii="Arial" w:cs="Arial" w:eastAsia="Arial" w:hAnsi="Arial"/>
                <w:sz w:val="16"/>
                <w:szCs w:val="16"/>
                <w:color w:val="auto"/>
              </w:rPr>
              <w:t>Diluted (loss) earnings per common share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Earnings per share amounts are calculated based on unrounded numbers and therefore may not recalculate using the rounded numbers provided.</w:t>
      </w:r>
    </w:p>
    <w:p>
      <w:pPr>
        <w:spacing w:after="0" w:line="27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dilutive effect of stock compensation awards, if any, was determined using the treasury stock method while the dilutive impact of the 2025 Convertible Notes and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2025 Convertible Notes are assumed to be converted into common stock at the beginning of the reporting period, as the 2025 Convertible Notes will be convertible into cash, shares of our common stock or a combination thereof, at our election. If dilutive, the resulting shares are included in the denominator of the calculation and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0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31, 2024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Known Trends and Uncertainties</w:t>
      </w:r>
    </w:p>
    <w:p>
      <w:pPr>
        <w:spacing w:after="0" w:line="12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business continues to be challenged by macroeconomic conditions impacting retail consumers and our dealers, such as inflation and elevated interest rates. These factors have contributed to lower consumer spending and reduced short-term demand for large discretionary products such as RVs and marine products. In response, our dealers continue to exercise caution when managing stocking levels. In the first three months of Fiscal 2025, these trends resulted in decreased sales due to declines in unit volume. We expect that as consumer demand stabilizes, which we anticipate will occur as we enter the spring selling season, dealers will return to more stable ordering patterns. We continue to produce and ship in accordance with dealer demand as evidenced and requested by dealer orders.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Despite the current economic uncertainty, we believe in the long-term health of consumer demand for RV and marine products.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Update</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(loss) income before interest expense, provision for income taxes, and depreciation and amortization expense. Adjusted EBITDA is defined as net (loss) income before interest expense, provision for income taxes, depreciation and amortization expense, and other pretax adjustments made in order to present comparable results from period to period.</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Included in "Results of Operations" below for the three months ended November 30, 2024 compared to the comparable prior year period is a reconciliation of EBITDA and Adjusted EBITDA from net (loss)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amounts from net (loss) income that we do not consider part of our core operating results when assessing our performance. Examples of items excluded from Adjusted EBITDA include acquisition-related costs, contingent consideration fair value adjustment, and non-operating income or loss.</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8 in the Notes to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November 30, 2024 Compared to Three Months Ended November 25, 2023</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11"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November 30, 2024 compared to the three months ended November 25,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November 30,</w:t>
            </w: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3"/>
                <w:szCs w:val="13"/>
                <w:color w:val="auto"/>
              </w:rPr>
            </w:pPr>
          </w:p>
        </w:tc>
        <w:tc>
          <w:tcPr>
            <w:tcW w:w="138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November 25,</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5"/>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42"/>
        </w:trPr>
        <w:tc>
          <w:tcPr>
            <w:tcW w:w="248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11.5 %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8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43.4 %</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2"/>
        </w:trPr>
        <w:tc>
          <w:tcPr>
            <w:tcW w:w="2480" w:type="dxa"/>
            <w:vAlign w:val="bottom"/>
          </w:tcPr>
          <w:p>
            <w:pPr>
              <w:ind w:left="20"/>
              <w:spacing w:after="0" w:line="142" w:lineRule="exact"/>
              <w:rPr>
                <w:sz w:val="20"/>
                <w:szCs w:val="20"/>
                <w:color w:val="auto"/>
              </w:rPr>
            </w:pPr>
            <w:r>
              <w:rPr>
                <w:rFonts w:ascii="Arial" w:cs="Arial" w:eastAsia="Arial" w:hAnsi="Arial"/>
                <w:sz w:val="16"/>
                <w:szCs w:val="16"/>
                <w:color w:val="auto"/>
              </w:rPr>
              <w:t>(Loss) income before income</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2"/>
                <w:szCs w:val="12"/>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34.4</w:t>
            </w:r>
          </w:p>
        </w:tc>
        <w:tc>
          <w:tcPr>
            <w:tcW w:w="80" w:type="dxa"/>
            <w:vAlign w:val="bottom"/>
          </w:tcPr>
          <w:p>
            <w:pPr>
              <w:spacing w:after="0"/>
              <w:rPr>
                <w:sz w:val="12"/>
                <w:szCs w:val="12"/>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2"/>
                <w:szCs w:val="12"/>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Diluted (loss)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0.78</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20" w:hanging="252"/>
        <w:spacing w:after="0" w:line="218" w:lineRule="auto"/>
        <w:tabs>
          <w:tab w:leader="none" w:pos="297"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volume and a reduction in average selling price per unit related to product mix.</w:t>
      </w:r>
    </w:p>
    <w:p>
      <w:pPr>
        <w:spacing w:after="0" w:line="26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Gross profit as a percentage of revenue decreased primarily due to deleverage, higher warranty experience compared to the prior year and product mix, partially offset by operational efficiencies.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primarily due to strategic investments, partially offset by cost containment efforts.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our effective tax rate was driven primarily by the current year pre-tax book loss compared to pre-tax book income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(loss) income to consolidated EBITDA and Adjusted EBITDA for the three months ended November 30, 2024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November 25,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30,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25, 2023</w:t>
            </w:r>
          </w:p>
        </w:tc>
      </w:tr>
      <w:tr>
        <w:trPr>
          <w:trHeight w:val="209"/>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880" w:type="dxa"/>
            <w:vAlign w:val="bottom"/>
          </w:tcPr>
          <w:p>
            <w:pPr>
              <w:ind w:left="14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1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5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788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21"/>
        </w:trPr>
        <w:tc>
          <w:tcPr>
            <w:tcW w:w="7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ind w:right="440"/>
        <w:spacing w:after="0" w:line="272" w:lineRule="auto"/>
        <w:rPr>
          <w:sz w:val="20"/>
          <w:szCs w:val="20"/>
          <w:color w:val="auto"/>
        </w:rPr>
      </w:pPr>
      <w:r>
        <w:rPr>
          <w:rFonts w:ascii="Arial" w:cs="Arial" w:eastAsia="Arial" w:hAnsi="Arial"/>
          <w:sz w:val="16"/>
          <w:szCs w:val="16"/>
          <w:color w:val="auto"/>
        </w:rPr>
        <w:t>The following is an analysis of key changes in our Towable RV segment for the three months ended November 30, 2024 compared to the three months ended November 25,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71"/>
        </w:trPr>
        <w:tc>
          <w:tcPr>
            <w:tcW w:w="2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48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38,145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42,072</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(3,927)</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31.4 %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23"/>
                <w:szCs w:val="23"/>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volume and a reduction in average selling price per unit related to product mix.</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decreased primarily due to volume deleverage and product mix, partially offset by cost containment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RV</w:t>
      </w:r>
    </w:p>
    <w:p>
      <w:pPr>
        <w:spacing w:after="0" w:line="11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following is an analysis of key changes in our Motorhome RV segment for the three months ended November 30, 2024 compared to the three months ended November 25,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71"/>
        </w:trPr>
        <w:tc>
          <w:tcPr>
            <w:tcW w:w="2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50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197,250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195,120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09"/>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40.2 %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r>
        <w:trPr>
          <w:trHeight w:val="209"/>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volume related to market conditions.</w:t>
      </w:r>
    </w:p>
    <w:p>
      <w:pPr>
        <w:spacing w:after="0" w:line="2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Adjusted EBITDA margin decreased primarily due to volume deleverage, higher discounts and allowances, and higher warranty experience compared to the prior year, partially offset by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November 30, 2024 compared to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November 25,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4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79,059</w:t>
            </w:r>
          </w:p>
        </w:tc>
        <w:tc>
          <w:tcPr>
            <w:tcW w:w="17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81,113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324"/>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0" w:type="dxa"/>
            <w:vAlign w:val="bottom"/>
          </w:tcPr>
          <w:p>
            <w:pPr>
              <w:spacing w:after="0"/>
              <w:rPr>
                <w:sz w:val="24"/>
                <w:szCs w:val="24"/>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260" w:hanging="252"/>
        <w:spacing w:after="0" w:line="183" w:lineRule="auto"/>
        <w:tabs>
          <w:tab w:leader="none" w:pos="26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24"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Net revenues increased primarily due to targeted price increases and higher unit volume, partially offset by a reduction in average selling price per unit related to product mix.</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increased primarily due to targeted price increases, partially offset by product mix and higher warranty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736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9"/>
        </w:trPr>
        <w:tc>
          <w:tcPr>
            <w:tcW w:w="736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5"/>
        </w:trPr>
        <w:tc>
          <w:tcPr>
            <w:tcW w:w="7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 2024</w:t>
            </w:r>
          </w:p>
        </w:tc>
        <w:tc>
          <w:tcPr>
            <w:tcW w:w="160" w:type="dxa"/>
            <w:vAlign w:val="bottom"/>
          </w:tcPr>
          <w:p>
            <w:pPr>
              <w:spacing w:after="0"/>
              <w:rPr>
                <w:sz w:val="18"/>
                <w:szCs w:val="18"/>
                <w:color w:val="auto"/>
              </w:rPr>
            </w:pPr>
          </w:p>
        </w:tc>
        <w:tc>
          <w:tcPr>
            <w:tcW w:w="174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25, 2023</w:t>
            </w:r>
          </w:p>
        </w:tc>
      </w:tr>
      <w:tr>
        <w:trPr>
          <w:trHeight w:val="209"/>
        </w:trPr>
        <w:tc>
          <w:tcPr>
            <w:tcW w:w="7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cash used in:</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r>
      <w:tr>
        <w:trPr>
          <w:trHeight w:val="235"/>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During the three months ended November 30, 2024, net cash used in operating activities was $16.7 million compared to net cash used in operating activities of $21.4 million during the same period last year. The change in operating cash flow is primarily driven by favorable changes in inventory levels and a decrease in accounts receivable due to timing of invoicing and collections, partially offset by lower profitability adjusted for non-cash items and a decrease in accounts payable due to lower production levels.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Cash used in investing activities decreased primarily due to favorable changes in other investing activities and lower capital expenditures compared to the prior year. Other investing activities include cash proceeds from asset sales and certain strategic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decreased primarily due to lower share repurchases compared to the prior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November 30, 2024, we had no borrowings against the ABL Credit Facility.</w:t>
      </w:r>
    </w:p>
    <w:p>
      <w:pPr>
        <w:spacing w:after="0" w:line="168"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As of November 30, 2024, we had $262.5 million in cash and cash equivalents and $350.0 million in unused ABL Credit Facility. Our cash and cash equivalent balances consist of high quality, short-term money market instruments.</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w:t>
      </w:r>
    </w:p>
    <w:p>
      <w:pPr>
        <w:spacing w:after="0" w:line="1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November 1, 2019, we issued $300.0 million in aggregate principal amount of 1.50% unsecured Convertible Senior Notes due 2025 (the “2025 Convertible Notes”). On January 18, 2024, we entered into privately negotiated transactions (the "2025 Convertible Note Repurchases") with certain holders of the 2025 Convertible Notes to repurchase $240.7 million aggregate principal amount of the 2025 Convertible Notes using proceeds received from the 2030 Convertible Notes.</w:t>
      </w:r>
    </w:p>
    <w:p>
      <w:pPr>
        <w:spacing w:after="0" w:line="20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As of November 30, 2024, we had $59.2 million of net debt maturing in the next twelve months that is classified as current on our Consolidated Balance Sheets.</w:t>
      </w:r>
    </w:p>
    <w:p>
      <w:pPr>
        <w:spacing w:after="0" w:line="196"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2025 Convertible Notes, the Senior Secured Notes, and the ABL Credit Facility, and will continue to monitor counterparty risk on an on-going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125"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Working capital at November 30, 2024 and August 31, 2024 was $556.1 million and $584.0 million, respectively. We currently expect cash on hand, funds generated from operations, and the borrowing available under our ABL Credit Facility to be sufficient to cover both short-term and long-term operating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1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three months ended November 30, 2024, we repurchased approximately 533,000 shares of our own common stock at a cost of $30.0 million under this authorization, and approximately 62,000 shares at a cost of $3.6 million to satisfy tax obligations on employee equity awards vested. We continually evaluate if share repurchases reflect a prudent use of our capital and, subject to compliance with our ABL Credit Facility and Senior Secured Notes, we may purchase shares in the future. As of November 30, 2024, we have $200.0 million remaining on our Board approved repurchase authorization.</w:t>
      </w:r>
    </w:p>
    <w:p>
      <w:pPr>
        <w:spacing w:after="0" w:line="203"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On December 18, 2024, our Board of Directors approved a quarterly cash dividend of $0.34 per share payable on January 29, 2025, to common stockholders of record at the close of business on January 15, 2025.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in our contractual obligations since the end of Fiscal 2024. See our Annual Report on Form 10-K for the fiscal year ended August 31, 2024 for additional information regarding our contractual obligations and commercial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3"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31, 2024. We discuss our critical accounting estimates in Item 7 of Part II of our Annual Report on Form 10-K for the fiscal year ended August 31, 2024. There have been no material changes to our critical accounting policies or critical accounting estimates since the end of Fiscal 2024.</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For a summary of new applicable accounting pronouncements, see Note 1 in the Notes to Consolidated Financial Statements included in Item 1 of Part I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31, 2024,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 and retail purchasers.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 related to dealer consolidation or the loss of a significant dealer.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Inadequate management of dealer inventory levels.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Exposure to warranty claims and product recalls.</w:t>
      </w:r>
    </w:p>
    <w:p>
      <w:pPr>
        <w:spacing w:after="0" w:line="8" w:lineRule="exact"/>
        <w:rPr>
          <w:rFonts w:ascii="Arial" w:cs="Arial" w:eastAsia="Arial" w:hAnsi="Arial"/>
          <w:sz w:val="16"/>
          <w:szCs w:val="16"/>
          <w:color w:val="auto"/>
        </w:rPr>
      </w:pPr>
    </w:p>
    <w:p>
      <w:pPr>
        <w:ind w:left="660" w:right="280" w:hanging="328"/>
        <w:spacing w:after="0" w:line="25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attention to environmental, social, and governance ("ESG") matters, and our ability to meet our commitments.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5"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related to our 2025 Convertible Notes, 2030 Convertible Notes and Senior Secured Notes, including our ability to satisfy our obligations under these notes.</w:t>
      </w: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recommendations or a withdrawal of coverage by third party securities analysts.</w:t>
      </w:r>
    </w:p>
    <w:p>
      <w:pPr>
        <w:spacing w:after="0" w:line="246"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November 30,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11"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"Evaluation Date"). Based on this evaluation, the Chief Executive Officer and Chief Financial Officer concluded that our disclosure controls and procedures were effective as of the Evaluation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first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 a description of our legal proceedings, see Note 9 in the Notes to Consolidated Financial Statements included in Item 1 of Part I of this Quarterly Report on Form 10-Q.</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31, 2024.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2025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 Purchased</w:t>
            </w:r>
          </w:p>
        </w:tc>
        <w:tc>
          <w:tcPr>
            <w:tcW w:w="32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vMerge w:val="continue"/>
          </w:tcPr>
          <w:p>
            <w:pPr>
              <w:spacing w:after="0"/>
              <w:rPr>
                <w:sz w:val="14"/>
                <w:szCs w:val="14"/>
                <w:color w:val="auto"/>
              </w:rPr>
            </w:pPr>
          </w:p>
        </w:tc>
        <w:tc>
          <w:tcPr>
            <w:tcW w:w="2880" w:type="dxa"/>
            <w:vAlign w:val="bottom"/>
            <w:gridSpan w:val="2"/>
          </w:tcPr>
          <w:p>
            <w:pPr>
              <w:jc w:val="center"/>
              <w:ind w:left="2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as Part of Publicly Announced</w:t>
            </w:r>
          </w:p>
        </w:tc>
        <w:tc>
          <w:tcPr>
            <w:tcW w:w="288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7"/>
              </w:rPr>
              <w:t>Plans or Programs</w:t>
            </w:r>
            <w:r>
              <w:rPr>
                <w:rFonts w:ascii="Arial" w:cs="Arial" w:eastAsia="Arial" w:hAnsi="Arial"/>
                <w:sz w:val="21"/>
                <w:szCs w:val="21"/>
                <w:b w:val="1"/>
                <w:bCs w:val="1"/>
                <w:color w:val="auto"/>
                <w:w w:val="97"/>
                <w:vertAlign w:val="superscript"/>
              </w:rPr>
              <w:t>(1,2)</w:t>
            </w: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9/1/24 - 10/5/24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10/6/24 - 11/2/24</w:t>
            </w:r>
          </w:p>
        </w:tc>
        <w:tc>
          <w:tcPr>
            <w:tcW w:w="1560" w:type="dxa"/>
            <w:vAlign w:val="bottom"/>
          </w:tcPr>
          <w:p>
            <w:pPr>
              <w:jc w:val="right"/>
              <w:spacing w:after="0"/>
              <w:rPr>
                <w:sz w:val="20"/>
                <w:szCs w:val="20"/>
                <w:color w:val="auto"/>
              </w:rPr>
            </w:pPr>
            <w:r>
              <w:rPr>
                <w:rFonts w:ascii="Arial" w:cs="Arial" w:eastAsia="Arial" w:hAnsi="Arial"/>
                <w:sz w:val="16"/>
                <w:szCs w:val="16"/>
                <w:color w:val="auto"/>
              </w:rPr>
              <w:t>594,702</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56.46</w:t>
            </w:r>
          </w:p>
        </w:tc>
        <w:tc>
          <w:tcPr>
            <w:tcW w:w="2760" w:type="dxa"/>
            <w:vAlign w:val="bottom"/>
          </w:tcPr>
          <w:p>
            <w:pPr>
              <w:jc w:val="right"/>
              <w:spacing w:after="0"/>
              <w:rPr>
                <w:sz w:val="20"/>
                <w:szCs w:val="20"/>
                <w:color w:val="auto"/>
              </w:rPr>
            </w:pPr>
            <w:r>
              <w:rPr>
                <w:rFonts w:ascii="Arial" w:cs="Arial" w:eastAsia="Arial" w:hAnsi="Arial"/>
                <w:sz w:val="16"/>
                <w:szCs w:val="16"/>
                <w:color w:val="auto"/>
              </w:rPr>
              <w:t>532,764</w:t>
            </w:r>
          </w:p>
        </w:tc>
        <w:tc>
          <w:tcPr>
            <w:tcW w:w="32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11/3/24 - 11/30/24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61.10</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0"/>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594,941</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56.46</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532,764</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80" w:hanging="252"/>
        <w:spacing w:after="0" w:line="209" w:lineRule="auto"/>
        <w:tabs>
          <w:tab w:leader="none" w:pos="263"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3" w:lineRule="auto"/>
        <w:tabs>
          <w:tab w:leader="none" w:pos="26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Senior Secured Notes, as defined in Note 8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quarter ended November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ectPr>
          <w:pgSz w:w="11900" w:h="16838" w:orient="portrait"/>
          <w:cols w:equalWidth="0" w:num="1">
            <w:col w:w="10239"/>
          </w:cols>
          <w:pgMar w:left="220" w:top="125" w:right="1440" w:bottom="1440" w:gutter="0" w:footer="0" w:header="0"/>
        </w:sectPr>
      </w:pPr>
    </w:p>
    <w:p>
      <w:pPr>
        <w:spacing w:after="0" w:line="289" w:lineRule="exact"/>
        <w:rPr>
          <w:sz w:val="20"/>
          <w:szCs w:val="20"/>
          <w:color w:val="auto"/>
        </w:rPr>
      </w:pPr>
    </w:p>
    <w:p>
      <w:pPr>
        <w:ind w:left="20"/>
        <w:spacing w:after="0"/>
        <w:rPr>
          <w:rFonts w:ascii="Arial" w:cs="Arial" w:eastAsia="Arial" w:hAnsi="Arial"/>
          <w:sz w:val="16"/>
          <w:szCs w:val="16"/>
          <w:color w:val="0000FF"/>
        </w:rPr>
      </w:pPr>
      <w:hyperlink r:id="rId37">
        <w:r>
          <w:rPr>
            <w:rFonts w:ascii="Arial" w:cs="Arial" w:eastAsia="Arial" w:hAnsi="Arial"/>
            <w:sz w:val="16"/>
            <w:szCs w:val="16"/>
            <w:color w:val="0000FF"/>
          </w:rPr>
          <w:t>.1</w:t>
        </w:r>
      </w:hyperlink>
    </w:p>
    <w:p>
      <w:pPr>
        <w:spacing w:after="0" w:line="113" w:lineRule="exact"/>
        <w:rPr>
          <w:sz w:val="20"/>
          <w:szCs w:val="20"/>
          <w:color w:val="auto"/>
        </w:rPr>
      </w:pPr>
    </w:p>
    <w:p>
      <w:pPr>
        <w:ind w:left="20"/>
        <w:spacing w:after="0"/>
        <w:rPr>
          <w:rFonts w:ascii="Arial" w:cs="Arial" w:eastAsia="Arial" w:hAnsi="Arial"/>
          <w:sz w:val="16"/>
          <w:szCs w:val="16"/>
          <w:color w:val="0000FF"/>
        </w:rPr>
      </w:pPr>
      <w:hyperlink r:id="rId38">
        <w:r>
          <w:rPr>
            <w:rFonts w:ascii="Arial" w:cs="Arial" w:eastAsia="Arial" w:hAnsi="Arial"/>
            <w:sz w:val="16"/>
            <w:szCs w:val="16"/>
            <w:color w:val="0000FF"/>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92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92710" cy="8255"/>
                    </a:xfrm>
                    <a:prstGeom prst="rect">
                      <a:avLst/>
                    </a:prstGeom>
                    <a:noFill/>
                  </pic:spPr>
                </pic:pic>
              </a:graphicData>
            </a:graphic>
          </wp:anchor>
        </w:drawing>
      </w:r>
    </w:p>
    <w:p>
      <w:pPr>
        <w:spacing w:after="0" w:line="174" w:lineRule="exact"/>
        <w:rPr>
          <w:sz w:val="20"/>
          <w:szCs w:val="20"/>
          <w:color w:val="auto"/>
        </w:rPr>
      </w:pPr>
    </w:p>
    <w:p>
      <w:pPr>
        <w:ind w:left="20"/>
        <w:spacing w:after="0"/>
        <w:rPr>
          <w:rFonts w:ascii="Arial" w:cs="Arial" w:eastAsia="Arial" w:hAnsi="Arial"/>
          <w:sz w:val="16"/>
          <w:szCs w:val="16"/>
          <w:color w:val="0000FF"/>
        </w:rPr>
      </w:pPr>
      <w:hyperlink r:id="rId40">
        <w:r>
          <w:rPr>
            <w:rFonts w:ascii="Arial" w:cs="Arial" w:eastAsia="Arial" w:hAnsi="Arial"/>
            <w:sz w:val="16"/>
            <w:szCs w:val="16"/>
            <w:color w:val="0000FF"/>
          </w:rPr>
          <w:t>.1</w:t>
        </w:r>
      </w:hyperlink>
    </w:p>
    <w:p>
      <w:pPr>
        <w:spacing w:after="0" w:line="194" w:lineRule="exact"/>
        <w:rPr>
          <w:sz w:val="20"/>
          <w:szCs w:val="20"/>
          <w:color w:val="auto"/>
        </w:rPr>
      </w:pPr>
    </w:p>
    <w:p>
      <w:pPr>
        <w:ind w:left="20"/>
        <w:spacing w:after="0"/>
        <w:rPr>
          <w:rFonts w:ascii="Arial" w:cs="Arial" w:eastAsia="Arial" w:hAnsi="Arial"/>
          <w:sz w:val="16"/>
          <w:szCs w:val="16"/>
          <w:color w:val="0000FF"/>
        </w:rPr>
      </w:pPr>
      <w:hyperlink r:id="rId40">
        <w:r>
          <w:rPr>
            <w:rFonts w:ascii="Arial" w:cs="Arial" w:eastAsia="Arial" w:hAnsi="Arial"/>
            <w:sz w:val="16"/>
            <w:szCs w:val="16"/>
            <w:color w:val="0000FF"/>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92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92710" cy="8255"/>
                    </a:xfrm>
                    <a:prstGeom prst="rect">
                      <a:avLst/>
                    </a:prstGeom>
                    <a:noFill/>
                  </pic:spPr>
                </pic:pic>
              </a:graphicData>
            </a:graphic>
          </wp:anchor>
        </w:drawing>
      </w:r>
    </w:p>
    <w:p>
      <w:pPr>
        <w:spacing w:after="0" w:line="363" w:lineRule="exact"/>
        <w:rPr>
          <w:sz w:val="20"/>
          <w:szCs w:val="20"/>
          <w:color w:val="auto"/>
        </w:rPr>
      </w:pPr>
    </w:p>
    <w:p>
      <w:pPr>
        <w:ind w:left="20"/>
        <w:spacing w:after="0"/>
        <w:rPr>
          <w:rFonts w:ascii="Arial" w:cs="Arial" w:eastAsia="Arial" w:hAnsi="Arial"/>
          <w:sz w:val="16"/>
          <w:szCs w:val="16"/>
          <w:color w:val="0000FF"/>
        </w:rPr>
      </w:pPr>
      <w:hyperlink r:id="rId42">
        <w:r>
          <w:rPr>
            <w:rFonts w:ascii="Arial" w:cs="Arial" w:eastAsia="Arial" w:hAnsi="Arial"/>
            <w:sz w:val="16"/>
            <w:szCs w:val="16"/>
            <w:color w:val="0000FF"/>
          </w:rPr>
          <w:t>.3</w:t>
        </w:r>
      </w:hyperlink>
    </w:p>
    <w:p>
      <w:pPr>
        <w:spacing w:after="0" w:line="221" w:lineRule="exact"/>
        <w:rPr>
          <w:sz w:val="20"/>
          <w:szCs w:val="20"/>
          <w:color w:val="auto"/>
        </w:rPr>
      </w:pPr>
    </w:p>
    <w:p>
      <w:pPr>
        <w:ind w:left="20"/>
        <w:spacing w:after="0"/>
        <w:rPr>
          <w:rFonts w:ascii="Arial" w:cs="Arial" w:eastAsia="Arial" w:hAnsi="Arial"/>
          <w:sz w:val="16"/>
          <w:szCs w:val="16"/>
          <w:color w:val="0000FF"/>
        </w:rPr>
      </w:pPr>
      <w:hyperlink r:id="rId43">
        <w:r>
          <w:rPr>
            <w:rFonts w:ascii="Arial" w:cs="Arial" w:eastAsia="Arial" w:hAnsi="Arial"/>
            <w:sz w:val="16"/>
            <w:szCs w:val="16"/>
            <w:color w:val="0000FF"/>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92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2710" cy="8255"/>
                    </a:xfrm>
                    <a:prstGeom prst="rect">
                      <a:avLst/>
                    </a:prstGeom>
                    <a:noFill/>
                  </pic:spPr>
                </pic:pic>
              </a:graphicData>
            </a:graphic>
          </wp:anchor>
        </w:drawing>
      </w:r>
    </w:p>
    <w:p>
      <w:pPr>
        <w:spacing w:after="0" w:line="282" w:lineRule="exact"/>
        <w:rPr>
          <w:sz w:val="20"/>
          <w:szCs w:val="20"/>
          <w:color w:val="auto"/>
        </w:rPr>
      </w:pPr>
    </w:p>
    <w:p>
      <w:pPr>
        <w:ind w:left="20"/>
        <w:spacing w:after="0"/>
        <w:rPr>
          <w:rFonts w:ascii="Arial" w:cs="Arial" w:eastAsia="Arial" w:hAnsi="Arial"/>
          <w:sz w:val="16"/>
          <w:szCs w:val="16"/>
          <w:color w:val="0000FF"/>
        </w:rPr>
      </w:pPr>
      <w:hyperlink r:id="rId45">
        <w:r>
          <w:rPr>
            <w:rFonts w:ascii="Arial" w:cs="Arial" w:eastAsia="Arial" w:hAnsi="Arial"/>
            <w:sz w:val="16"/>
            <w:szCs w:val="16"/>
            <w:color w:val="0000FF"/>
          </w:rPr>
          <w:t>.5</w:t>
        </w:r>
      </w:hyperlink>
    </w:p>
    <w:p>
      <w:pPr>
        <w:spacing w:after="0" w:line="302" w:lineRule="exact"/>
        <w:rPr>
          <w:sz w:val="20"/>
          <w:szCs w:val="20"/>
          <w:color w:val="auto"/>
        </w:rPr>
      </w:pPr>
    </w:p>
    <w:p>
      <w:pPr>
        <w:ind w:left="20"/>
        <w:spacing w:after="0"/>
        <w:rPr>
          <w:rFonts w:ascii="Arial" w:cs="Arial" w:eastAsia="Arial" w:hAnsi="Arial"/>
          <w:sz w:val="16"/>
          <w:szCs w:val="16"/>
          <w:color w:val="0000FF"/>
        </w:rPr>
      </w:pPr>
      <w:hyperlink r:id="rId45">
        <w:r>
          <w:rPr>
            <w:rFonts w:ascii="Arial" w:cs="Arial" w:eastAsia="Arial" w:hAnsi="Arial"/>
            <w:sz w:val="16"/>
            <w:szCs w:val="16"/>
            <w:color w:val="0000FF"/>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92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9271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.LAB</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39"/>
        <w:spacing w:after="0" w:line="246" w:lineRule="auto"/>
        <w:rPr>
          <w:rFonts w:ascii="Arial" w:cs="Arial" w:eastAsia="Arial" w:hAnsi="Arial"/>
          <w:sz w:val="16"/>
          <w:szCs w:val="16"/>
          <w:u w:val="single" w:color="auto"/>
          <w:color w:val="0000FF"/>
        </w:rPr>
      </w:pPr>
      <w:hyperlink r:id="rId37">
        <w:r>
          <w:rPr>
            <w:rFonts w:ascii="Arial" w:cs="Arial" w:eastAsia="Arial" w:hAnsi="Arial"/>
            <w:sz w:val="16"/>
            <w:szCs w:val="16"/>
            <w:u w:val="single" w:color="auto"/>
            <w:color w:val="0000FF"/>
          </w:rPr>
          <w:t>Articles of Incorporation of Winnebago Industries, Inc., effective January 1, 2022 (incorporated by reference from</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Exhibit 3.1 to the Registrant’s Current Report on Form 8-K dated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-238760</wp:posOffset>
            </wp:positionV>
            <wp:extent cx="600075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000750" cy="240030"/>
                    </a:xfrm>
                    <a:prstGeom prst="rect">
                      <a:avLst/>
                    </a:prstGeom>
                    <a:noFill/>
                  </pic:spPr>
                </pic:pic>
              </a:graphicData>
            </a:graphic>
          </wp:anchor>
        </w:drawing>
      </w:r>
    </w:p>
    <w:p>
      <w:pPr>
        <w:ind w:right="1159"/>
        <w:spacing w:after="0" w:line="246"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Bylaws of Winnebago Industries, Inc., effective August 15, 2023 (incorporated by reference from Exhibit 3.2 to the</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Registrant’s Current Report on Form 8-K dated August 17, 2023).</w:t>
        </w:r>
      </w:hyperlink>
    </w:p>
    <w:p>
      <w:pPr>
        <w:spacing w:after="0" w:line="1" w:lineRule="exact"/>
        <w:rPr>
          <w:sz w:val="20"/>
          <w:szCs w:val="20"/>
          <w:color w:val="auto"/>
        </w:rPr>
      </w:pPr>
    </w:p>
    <w:p>
      <w:pPr>
        <w:jc w:val="both"/>
        <w:ind w:right="939"/>
        <w:spacing w:after="0" w:line="251" w:lineRule="auto"/>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Indenture, dated November 1, 2019, by and between Winnebago Industries, Inc. and U.S. Bank National Association</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(incorporated by reference from Exhibit 4.1 to the Registrant’s Current Report on Form 8-K dated October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-243205</wp:posOffset>
            </wp:positionV>
            <wp:extent cx="600075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000750" cy="240030"/>
                    </a:xfrm>
                    <a:prstGeom prst="rect">
                      <a:avLst/>
                    </a:prstGeom>
                    <a:noFill/>
                  </pic:spPr>
                </pic:pic>
              </a:graphicData>
            </a:graphic>
          </wp:anchor>
        </w:drawing>
      </w:r>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Form of 1.50% Convertible Senior Note due 2025 (included in Exhibit 4.1).</w:t>
        </w:r>
      </w:hyperlink>
    </w:p>
    <w:p>
      <w:pPr>
        <w:spacing w:after="0" w:line="113" w:lineRule="exact"/>
        <w:rPr>
          <w:sz w:val="20"/>
          <w:szCs w:val="20"/>
          <w:color w:val="auto"/>
        </w:rPr>
      </w:pPr>
    </w:p>
    <w:p>
      <w:pPr>
        <w:ind w:right="819"/>
        <w:spacing w:after="0" w:line="257" w:lineRule="auto"/>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Indenture, dated as of July 8, 2020, by and among Winnebago Industries, Inc., the guarantors named therein and U.S.</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Bank National Association, as trustee (incorporated by reference from Exhibit 4.1 to the Registrant’s Current Report</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on Form 8-K dated July 8, 2020).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-596265</wp:posOffset>
            </wp:positionH>
            <wp:positionV relativeFrom="paragraph">
              <wp:posOffset>-374015</wp:posOffset>
            </wp:positionV>
            <wp:extent cx="600075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000750" cy="377190"/>
                    </a:xfrm>
                    <a:prstGeom prst="rect">
                      <a:avLst/>
                    </a:prstGeom>
                    <a:noFill/>
                  </pic:spPr>
                </pic:pic>
              </a:graphicData>
            </a:graphic>
          </wp:anchor>
        </w:drawing>
      </w:r>
    </w:p>
    <w:p>
      <w:pPr>
        <w:spacing w:after="0" w:line="64"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Form of 6.250% Senior Secured Note due 2028 (included in Exhibit 4.3).</w:t>
        </w:r>
      </w:hyperlink>
    </w:p>
    <w:p>
      <w:pPr>
        <w:spacing w:after="0" w:line="113" w:lineRule="exact"/>
        <w:rPr>
          <w:rFonts w:ascii="Arial" w:cs="Arial" w:eastAsia="Arial" w:hAnsi="Arial"/>
          <w:sz w:val="16"/>
          <w:szCs w:val="16"/>
          <w:u w:val="single" w:color="auto"/>
          <w:color w:val="0000FF"/>
        </w:rPr>
      </w:pPr>
    </w:p>
    <w:p>
      <w:pPr>
        <w:ind w:right="839"/>
        <w:spacing w:after="0" w:line="257" w:lineRule="auto"/>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Indenture, dated January 23, 2024, by and between Winnebago Industries, Inc. and U.S. Bank Trust Company,</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National Association (incorporated by reference from Exhibit 4.1 to the Registrant’s Current Report on Form 8-K dated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January 23, 2024.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-596265</wp:posOffset>
            </wp:positionH>
            <wp:positionV relativeFrom="paragraph">
              <wp:posOffset>-374015</wp:posOffset>
            </wp:positionV>
            <wp:extent cx="600075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000750" cy="377190"/>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Form of 3.250% Convertible Senior Note due 2030 (included in Exhibit 4.5).</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wp:posOffset>
            </wp:positionV>
            <wp:extent cx="593217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932170" cy="240030"/>
                    </a:xfrm>
                    <a:prstGeom prst="rect">
                      <a:avLst/>
                    </a:prstGeom>
                    <a:noFill/>
                  </pic:spPr>
                </pic:pic>
              </a:graphicData>
            </a:graphic>
          </wp:anchor>
        </w:drawing>
      </w:r>
    </w:p>
    <w:p>
      <w:pPr>
        <w:spacing w:after="0" w:line="107"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u w:val="single" w:color="auto"/>
          <w:color w:val="0000FF"/>
        </w:rPr>
        <w:t>Certification by the Chief Executive Officer pursuant to Section 302 of the Sarbanes-Oxley Act of 2002 (filed herewith)</w:t>
      </w:r>
      <w:r>
        <w:rPr>
          <w:rFonts w:ascii="Arial" w:cs="Arial" w:eastAsia="Arial" w:hAnsi="Arial"/>
          <w:sz w:val="16"/>
          <w:szCs w:val="16"/>
          <w:color w:val="000000"/>
        </w:rPr>
        <w:t>.</w:t>
      </w:r>
    </w:p>
    <w:p>
      <w:pPr>
        <w:spacing w:after="0" w:line="19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u w:val="single" w:color="auto"/>
          <w:color w:val="0000FF"/>
        </w:rPr>
        <w:t>Certification by the Chief Financial Officer pursuant to Section 302 of the Sarbanes-Oxley Act of 2002 (filed herewith).</w:t>
      </w:r>
    </w:p>
    <w:p>
      <w:pPr>
        <w:spacing w:after="0" w:line="113" w:lineRule="exact"/>
        <w:rPr>
          <w:rFonts w:ascii="Arial" w:cs="Arial" w:eastAsia="Arial" w:hAnsi="Arial"/>
          <w:sz w:val="16"/>
          <w:szCs w:val="16"/>
          <w:u w:val="single" w:color="auto"/>
          <w:color w:val="0000FF"/>
        </w:rPr>
      </w:pPr>
    </w:p>
    <w:p>
      <w:pPr>
        <w:ind w:right="839"/>
        <w:spacing w:after="0" w:line="246" w:lineRule="auto"/>
        <w:rPr>
          <w:sz w:val="20"/>
          <w:szCs w:val="20"/>
          <w:color w:val="auto"/>
        </w:rPr>
      </w:pPr>
      <w:r>
        <w:rPr>
          <w:rFonts w:ascii="Arial" w:cs="Arial" w:eastAsia="Arial" w:hAnsi="Arial"/>
          <w:sz w:val="16"/>
          <w:szCs w:val="16"/>
          <w:u w:val="single" w:color="auto"/>
          <w:color w:val="0000FF"/>
        </w:rPr>
        <w:t>Certification by the Chief Executive Officer pursuant to 18 U.S.C. Section 1350, as adopted pursuant to Section 906 of the Sarbanes-Oxley Act of 2002 (furnished herewith).</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-238760</wp:posOffset>
            </wp:positionV>
            <wp:extent cx="593217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932170" cy="240030"/>
                    </a:xfrm>
                    <a:prstGeom prst="rect">
                      <a:avLst/>
                    </a:prstGeom>
                    <a:noFill/>
                  </pic:spPr>
                </pic:pic>
              </a:graphicData>
            </a:graphic>
          </wp:anchor>
        </w:drawing>
      </w:r>
    </w:p>
    <w:p>
      <w:pPr>
        <w:ind w:right="899"/>
        <w:spacing w:after="0" w:line="246" w:lineRule="auto"/>
        <w:rPr>
          <w:sz w:val="20"/>
          <w:szCs w:val="20"/>
          <w:color w:val="auto"/>
        </w:rPr>
      </w:pPr>
      <w:r>
        <w:rPr>
          <w:rFonts w:ascii="Arial" w:cs="Arial" w:eastAsia="Arial" w:hAnsi="Arial"/>
          <w:sz w:val="16"/>
          <w:szCs w:val="16"/>
          <w:u w:val="single" w:color="auto"/>
          <w:color w:val="0000FF"/>
        </w:rPr>
        <w:t>Certification by the Chief Financial Officer pursuant to 18 U.S.C. Section 1350, as adopted pursuant to Section 906 of the Sarbanes-Oxley Act of 2002 (furnished herewith).</w:t>
      </w:r>
    </w:p>
    <w:p>
      <w:pPr>
        <w:spacing w:after="0" w:line="1" w:lineRule="exact"/>
        <w:rPr>
          <w:rFonts w:ascii="Arial" w:cs="Arial" w:eastAsia="Arial" w:hAnsi="Arial"/>
          <w:sz w:val="16"/>
          <w:szCs w:val="16"/>
          <w:u w:val="single" w:color="auto"/>
          <w:color w:val="0000FF"/>
        </w:rPr>
      </w:pPr>
    </w:p>
    <w:p>
      <w:pPr>
        <w:ind w:right="819"/>
        <w:spacing w:after="0" w:line="246"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 (furnished herewith).</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-238760</wp:posOffset>
            </wp:positionV>
            <wp:extent cx="593217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932170" cy="2400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Inline XBRL Taxonomy Extension Schema Document (furnished herewith).</w:t>
      </w:r>
    </w:p>
    <w:p>
      <w:pPr>
        <w:spacing w:after="0" w:line="3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Calculation Linkbase Document (furnished herewith).</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-115570</wp:posOffset>
            </wp:positionV>
            <wp:extent cx="593217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932170" cy="137160"/>
                    </a:xfrm>
                    <a:prstGeom prst="rect">
                      <a:avLst/>
                    </a:prstGeom>
                    <a:noFill/>
                  </pic:spPr>
                </pic:pic>
              </a:graphicData>
            </a:graphic>
          </wp:anchor>
        </w:drawing>
      </w:r>
    </w:p>
    <w:p>
      <w:pPr>
        <w:spacing w:after="0" w:line="1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p>
      <w:pPr>
        <w:spacing w:after="0" w:line="3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Label Linkbase Document (furnished herewith).</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-115570</wp:posOffset>
            </wp:positionV>
            <wp:extent cx="59321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932170" cy="137160"/>
                    </a:xfrm>
                    <a:prstGeom prst="rect">
                      <a:avLst/>
                    </a:prstGeom>
                    <a:noFill/>
                  </pic:spPr>
                </pic:pic>
              </a:graphicData>
            </a:graphic>
          </wp:anchor>
        </w:drawing>
      </w:r>
    </w:p>
    <w:p>
      <w:pPr>
        <w:spacing w:after="0" w:line="1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Presentation Linkbase Document (furnished herewith).</w:t>
      </w:r>
    </w:p>
    <w:p>
      <w:pPr>
        <w:spacing w:after="0" w:line="3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-115570</wp:posOffset>
            </wp:positionV>
            <wp:extent cx="593217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932170" cy="24003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360" w:space="580"/>
            <w:col w:w="9299"/>
          </w:cols>
          <w:pgMar w:left="220" w:top="125" w:right="1440" w:bottom="1440" w:gutter="0" w:footer="0" w:header="0"/>
          <w:type w:val="continuous"/>
        </w:sectPr>
      </w:pPr>
    </w:p>
    <w:p>
      <w:pPr>
        <w:spacing w:after="0" w:line="237" w:lineRule="exact"/>
        <w:rPr>
          <w:rFonts w:ascii="Arial" w:cs="Arial" w:eastAsia="Arial" w:hAnsi="Arial"/>
          <w:sz w:val="16"/>
          <w:szCs w:val="16"/>
          <w:u w:val="single" w:color="auto"/>
          <w:color w:val="0000FF"/>
        </w:rPr>
      </w:pPr>
    </w:p>
    <w:p>
      <w:pPr>
        <w:ind w:left="100"/>
        <w:spacing w:after="0"/>
        <w:rPr>
          <w:sz w:val="20"/>
          <w:szCs w:val="20"/>
          <w:color w:val="auto"/>
        </w:rPr>
      </w:pPr>
      <w:r>
        <w:rPr>
          <w:rFonts w:ascii="Arial" w:cs="Arial" w:eastAsia="Arial" w:hAnsi="Arial"/>
          <w:sz w:val="16"/>
          <w:szCs w:val="16"/>
          <w:color w:val="auto"/>
        </w:rPr>
        <w:t>* Management contract or compensation plan or arrangement.</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9" w:lineRule="exact"/>
        <w:rPr>
          <w:rFonts w:ascii="Arial" w:cs="Arial" w:eastAsia="Arial" w:hAnsi="Arial"/>
          <w:sz w:val="16"/>
          <w:szCs w:val="16"/>
          <w:u w:val="single" w:color="auto"/>
          <w:color w:val="0000FF"/>
        </w:rPr>
      </w:pPr>
    </w:p>
    <w:p>
      <w:pPr>
        <w:jc w:val="right"/>
        <w:ind w:right="4419"/>
        <w:spacing w:after="0"/>
        <w:rPr>
          <w:sz w:val="20"/>
          <w:szCs w:val="20"/>
          <w:color w:val="auto"/>
        </w:rPr>
      </w:pPr>
      <w:r>
        <w:rPr>
          <w:rFonts w:ascii="Arial" w:cs="Arial" w:eastAsia="Arial" w:hAnsi="Arial"/>
          <w:sz w:val="16"/>
          <w:szCs w:val="16"/>
          <w:color w:val="auto"/>
        </w:rPr>
        <w:t>29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55880</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WINNEBAGO INDUSTRIES, INC.</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20, 2024</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2"/>
        </w:trPr>
        <w:tc>
          <w:tcPr>
            <w:tcW w:w="5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84"/>
        </w:trPr>
        <w:tc>
          <w:tcPr>
            <w:tcW w:w="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20, 2024</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9"/>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15"/>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940"/>
          </w:cols>
          <w:pgMar w:left="320" w:top="125" w:right="6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20, 2024</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8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3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December 20, 2024</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700" w:hanging="328"/>
        <w:spacing w:after="0" w:line="28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30, 2024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20, 2024</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8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700" w:hanging="328"/>
        <w:spacing w:after="0" w:line="28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30, 2024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20, 2024</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1" Type="http://schemas.openxmlformats.org/officeDocument/2006/relationships/image" Target="media/image31.png"/><Relationship Id="rId44"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37" Type="http://schemas.openxmlformats.org/officeDocument/2006/relationships/hyperlink" Target="https://www.sec.gov/Archives/edgar/data/107687/000010768722000004/wgo-mnarticlesreincorporat.htm" TargetMode="External"/><Relationship Id="rId38" Type="http://schemas.openxmlformats.org/officeDocument/2006/relationships/hyperlink" Target="https://www.sec.gov/Archives/edgar/data/107687/000010768723000018/wgo-bylawsxaugust152023xfi.htm" TargetMode="External"/><Relationship Id="rId40" Type="http://schemas.openxmlformats.org/officeDocument/2006/relationships/hyperlink" Target="https://www.sec.gov/Archives/edgar/data/107687/000110465919059604/a19-21005_2ex4d1.htm" TargetMode="External"/><Relationship Id="rId42" Type="http://schemas.openxmlformats.org/officeDocument/2006/relationships/hyperlink" Target="https://www.sec.gov/Archives/edgar/data/0000107687/000110465920082433/tm2024371d1_ex4-1.htm" TargetMode="External"/><Relationship Id="rId43" Type="http://schemas.openxmlformats.org/officeDocument/2006/relationships/hyperlink" Target="https://www.sec.gov/Archives/edgar/data/107687/000110465920082433/tm2024371d1_ex4-1.htm" TargetMode="External"/><Relationship Id="rId45" Type="http://schemas.openxmlformats.org/officeDocument/2006/relationships/hyperlink" Target="https://www.sec.gov/Archives/edgar/data/107687/000110465924005904/tm2438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2024-12-20T15:21:18Z</dcterms:created>
  <dcterms:modified xsi:type="dcterms:W3CDTF">2024-12-20T15:21:18Z</dcterms:modified>
</cp:coreProperties>
</file>