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June 24,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1020" w:type="dxa"/>
        <w:tblCellMar>
          <w:top w:w="0" w:type="dxa"/>
          <w:left w:w="0" w:type="dxa"/>
          <w:bottom w:w="0" w:type="dxa"/>
          <w:right w:w="0" w:type="dxa"/>
        </w:tblCellMar>
      </w:tblPr>
      <w:tr>
        <w:trPr>
          <w:trHeight w:val="256"/>
        </w:trPr>
        <w:tc>
          <w:tcPr>
            <w:tcW w:w="3240" w:type="dxa"/>
            <w:vAlign w:val="bottom"/>
          </w:tcPr>
          <w:p>
            <w:pPr>
              <w:jc w:val="center"/>
              <w:ind w:right="384"/>
              <w:spacing w:after="0"/>
              <w:rPr>
                <w:sz w:val="20"/>
                <w:szCs w:val="20"/>
                <w:color w:val="auto"/>
              </w:rPr>
            </w:pPr>
            <w:r>
              <w:rPr>
                <w:rFonts w:ascii="Arial" w:cs="Arial" w:eastAsia="Arial" w:hAnsi="Arial"/>
                <w:sz w:val="22"/>
                <w:szCs w:val="22"/>
                <w:color w:val="auto"/>
                <w:w w:val="94"/>
              </w:rPr>
              <w:t>Iowa</w:t>
            </w:r>
          </w:p>
        </w:tc>
        <w:tc>
          <w:tcPr>
            <w:tcW w:w="3260" w:type="dxa"/>
            <w:vAlign w:val="bottom"/>
          </w:tcPr>
          <w:p>
            <w:pPr>
              <w:jc w:val="right"/>
              <w:ind w:right="1242"/>
              <w:spacing w:after="0"/>
              <w:rPr>
                <w:sz w:val="20"/>
                <w:szCs w:val="20"/>
                <w:color w:val="auto"/>
              </w:rPr>
            </w:pPr>
            <w:r>
              <w:rPr>
                <w:rFonts w:ascii="Arial" w:cs="Arial" w:eastAsia="Arial" w:hAnsi="Arial"/>
                <w:sz w:val="22"/>
                <w:szCs w:val="22"/>
                <w:color w:val="auto"/>
              </w:rPr>
              <w:t>001-06403</w:t>
            </w:r>
          </w:p>
        </w:tc>
        <w:tc>
          <w:tcPr>
            <w:tcW w:w="2140" w:type="dxa"/>
            <w:vAlign w:val="bottom"/>
          </w:tcPr>
          <w:p>
            <w:pPr>
              <w:jc w:val="right"/>
              <w:ind w:right="24"/>
              <w:spacing w:after="0"/>
              <w:rPr>
                <w:sz w:val="20"/>
                <w:szCs w:val="20"/>
                <w:color w:val="auto"/>
              </w:rPr>
            </w:pPr>
            <w:r>
              <w:rPr>
                <w:rFonts w:ascii="Arial" w:cs="Arial" w:eastAsia="Arial" w:hAnsi="Arial"/>
                <w:sz w:val="22"/>
                <w:szCs w:val="22"/>
                <w:color w:val="auto"/>
              </w:rPr>
              <w:t>42-0802678</w:t>
            </w:r>
          </w:p>
        </w:tc>
      </w:tr>
      <w:tr>
        <w:trPr>
          <w:trHeight w:val="216"/>
        </w:trPr>
        <w:tc>
          <w:tcPr>
            <w:tcW w:w="3240" w:type="dxa"/>
            <w:vAlign w:val="bottom"/>
          </w:tcPr>
          <w:p>
            <w:pPr>
              <w:jc w:val="center"/>
              <w:ind w:right="384"/>
              <w:spacing w:after="0"/>
              <w:rPr>
                <w:sz w:val="20"/>
                <w:szCs w:val="20"/>
                <w:color w:val="auto"/>
              </w:rPr>
            </w:pPr>
            <w:r>
              <w:rPr>
                <w:rFonts w:ascii="Arial" w:cs="Arial" w:eastAsia="Arial" w:hAnsi="Arial"/>
                <w:sz w:val="18"/>
                <w:szCs w:val="18"/>
                <w:color w:val="auto"/>
                <w:w w:val="89"/>
              </w:rPr>
              <w:t>(State or other jurisdiction</w:t>
            </w:r>
          </w:p>
        </w:tc>
        <w:tc>
          <w:tcPr>
            <w:tcW w:w="3260" w:type="dxa"/>
            <w:vAlign w:val="bottom"/>
          </w:tcPr>
          <w:p>
            <w:pPr>
              <w:jc w:val="center"/>
              <w:ind w:right="262"/>
              <w:spacing w:after="0"/>
              <w:rPr>
                <w:sz w:val="20"/>
                <w:szCs w:val="20"/>
                <w:color w:val="auto"/>
              </w:rPr>
            </w:pPr>
            <w:r>
              <w:rPr>
                <w:rFonts w:ascii="Arial" w:cs="Arial" w:eastAsia="Arial" w:hAnsi="Arial"/>
                <w:sz w:val="18"/>
                <w:szCs w:val="18"/>
                <w:color w:val="auto"/>
                <w:w w:val="90"/>
              </w:rPr>
              <w:t>(Commission File Number)</w:t>
            </w:r>
          </w:p>
        </w:tc>
        <w:tc>
          <w:tcPr>
            <w:tcW w:w="2140" w:type="dxa"/>
            <w:vAlign w:val="bottom"/>
          </w:tcPr>
          <w:p>
            <w:pPr>
              <w:jc w:val="center"/>
              <w:ind w:left="704"/>
              <w:spacing w:after="0"/>
              <w:rPr>
                <w:sz w:val="20"/>
                <w:szCs w:val="20"/>
                <w:color w:val="auto"/>
              </w:rPr>
            </w:pPr>
            <w:r>
              <w:rPr>
                <w:rFonts w:ascii="Arial" w:cs="Arial" w:eastAsia="Arial" w:hAnsi="Arial"/>
                <w:sz w:val="18"/>
                <w:szCs w:val="18"/>
                <w:color w:val="auto"/>
                <w:w w:val="90"/>
              </w:rPr>
              <w:t>(IRS Employer</w:t>
            </w:r>
          </w:p>
        </w:tc>
      </w:tr>
      <w:tr>
        <w:trPr>
          <w:trHeight w:val="222"/>
        </w:trPr>
        <w:tc>
          <w:tcPr>
            <w:tcW w:w="3240" w:type="dxa"/>
            <w:vAlign w:val="bottom"/>
          </w:tcPr>
          <w:p>
            <w:pPr>
              <w:jc w:val="center"/>
              <w:ind w:right="384"/>
              <w:spacing w:after="0"/>
              <w:rPr>
                <w:sz w:val="20"/>
                <w:szCs w:val="20"/>
                <w:color w:val="auto"/>
              </w:rPr>
            </w:pPr>
            <w:r>
              <w:rPr>
                <w:rFonts w:ascii="Arial" w:cs="Arial" w:eastAsia="Arial" w:hAnsi="Arial"/>
                <w:sz w:val="18"/>
                <w:szCs w:val="18"/>
                <w:color w:val="auto"/>
                <w:w w:val="92"/>
              </w:rPr>
              <w:t>of incorporation)</w:t>
            </w:r>
          </w:p>
        </w:tc>
        <w:tc>
          <w:tcPr>
            <w:tcW w:w="3260" w:type="dxa"/>
            <w:vAlign w:val="bottom"/>
          </w:tcPr>
          <w:p>
            <w:pPr>
              <w:spacing w:after="0"/>
              <w:rPr>
                <w:sz w:val="19"/>
                <w:szCs w:val="19"/>
                <w:color w:val="auto"/>
              </w:rPr>
            </w:pPr>
          </w:p>
        </w:tc>
        <w:tc>
          <w:tcPr>
            <w:tcW w:w="2140" w:type="dxa"/>
            <w:vAlign w:val="bottom"/>
          </w:tcPr>
          <w:p>
            <w:pPr>
              <w:jc w:val="center"/>
              <w:ind w:left="744"/>
              <w:spacing w:after="0"/>
              <w:rPr>
                <w:sz w:val="20"/>
                <w:szCs w:val="20"/>
                <w:color w:val="auto"/>
              </w:rPr>
            </w:pPr>
            <w:r>
              <w:rPr>
                <w:rFonts w:ascii="Arial" w:cs="Arial" w:eastAsia="Arial" w:hAnsi="Arial"/>
                <w:sz w:val="18"/>
                <w:szCs w:val="18"/>
                <w:color w:val="auto"/>
                <w:w w:val="92"/>
              </w:rPr>
              <w:t>Identification No.)</w:t>
            </w:r>
          </w:p>
        </w:tc>
      </w:tr>
      <w:tr>
        <w:trPr>
          <w:trHeight w:val="385"/>
        </w:trPr>
        <w:tc>
          <w:tcPr>
            <w:tcW w:w="3240" w:type="dxa"/>
            <w:vAlign w:val="bottom"/>
          </w:tcPr>
          <w:p>
            <w:pPr>
              <w:jc w:val="center"/>
              <w:ind w:right="384"/>
              <w:spacing w:after="0"/>
              <w:rPr>
                <w:sz w:val="20"/>
                <w:szCs w:val="20"/>
                <w:color w:val="auto"/>
              </w:rPr>
            </w:pPr>
            <w:r>
              <w:rPr>
                <w:rFonts w:ascii="Arial" w:cs="Arial" w:eastAsia="Arial" w:hAnsi="Arial"/>
                <w:sz w:val="22"/>
                <w:szCs w:val="22"/>
                <w:color w:val="auto"/>
                <w:w w:val="89"/>
              </w:rPr>
              <w:t>P.O. Box 152, Forest City, Iowa</w:t>
            </w:r>
          </w:p>
        </w:tc>
        <w:tc>
          <w:tcPr>
            <w:tcW w:w="3260" w:type="dxa"/>
            <w:vAlign w:val="bottom"/>
          </w:tcPr>
          <w:p>
            <w:pPr>
              <w:spacing w:after="0"/>
              <w:rPr>
                <w:sz w:val="24"/>
                <w:szCs w:val="24"/>
                <w:color w:val="auto"/>
              </w:rPr>
            </w:pPr>
          </w:p>
        </w:tc>
        <w:tc>
          <w:tcPr>
            <w:tcW w:w="2140" w:type="dxa"/>
            <w:vAlign w:val="bottom"/>
          </w:tcPr>
          <w:p>
            <w:pPr>
              <w:jc w:val="right"/>
              <w:ind w:right="284"/>
              <w:spacing w:after="0"/>
              <w:rPr>
                <w:sz w:val="20"/>
                <w:szCs w:val="20"/>
                <w:color w:val="auto"/>
              </w:rPr>
            </w:pPr>
            <w:r>
              <w:rPr>
                <w:rFonts w:ascii="Arial" w:cs="Arial" w:eastAsia="Arial" w:hAnsi="Arial"/>
                <w:sz w:val="22"/>
                <w:szCs w:val="22"/>
                <w:color w:val="auto"/>
              </w:rPr>
              <w:t>50436</w:t>
            </w:r>
          </w:p>
        </w:tc>
      </w:tr>
      <w:tr>
        <w:trPr>
          <w:trHeight w:val="222"/>
        </w:trPr>
        <w:tc>
          <w:tcPr>
            <w:tcW w:w="3240" w:type="dxa"/>
            <w:vAlign w:val="bottom"/>
          </w:tcPr>
          <w:p>
            <w:pPr>
              <w:jc w:val="center"/>
              <w:ind w:right="364"/>
              <w:spacing w:after="0"/>
              <w:rPr>
                <w:sz w:val="20"/>
                <w:szCs w:val="20"/>
                <w:color w:val="auto"/>
              </w:rPr>
            </w:pPr>
            <w:r>
              <w:rPr>
                <w:rFonts w:ascii="Arial" w:cs="Arial" w:eastAsia="Arial" w:hAnsi="Arial"/>
                <w:sz w:val="18"/>
                <w:szCs w:val="18"/>
                <w:color w:val="auto"/>
                <w:w w:val="90"/>
              </w:rPr>
              <w:t>(Address of principal executive offices)</w:t>
            </w:r>
          </w:p>
        </w:tc>
        <w:tc>
          <w:tcPr>
            <w:tcW w:w="3260" w:type="dxa"/>
            <w:vAlign w:val="bottom"/>
          </w:tcPr>
          <w:p>
            <w:pPr>
              <w:spacing w:after="0"/>
              <w:rPr>
                <w:sz w:val="19"/>
                <w:szCs w:val="19"/>
                <w:color w:val="auto"/>
              </w:rPr>
            </w:pPr>
          </w:p>
        </w:tc>
        <w:tc>
          <w:tcPr>
            <w:tcW w:w="2140" w:type="dxa"/>
            <w:vAlign w:val="bottom"/>
          </w:tcPr>
          <w:p>
            <w:pPr>
              <w:jc w:val="center"/>
              <w:ind w:left="744"/>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 641-585-3535</w:t>
      </w:r>
    </w:p>
    <w:p>
      <w:pPr>
        <w:spacing w:after="0" w:line="219" w:lineRule="exact"/>
        <w:rPr>
          <w:sz w:val="24"/>
          <w:szCs w:val="24"/>
          <w:color w:val="auto"/>
        </w:rPr>
      </w:pPr>
    </w:p>
    <w:p>
      <w:pPr>
        <w:ind w:left="230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190" w:lineRule="exact"/>
        <w:rPr>
          <w:rFonts w:ascii="Arial" w:cs="Arial" w:eastAsia="Arial" w:hAnsi="Arial"/>
          <w:sz w:val="21"/>
          <w:szCs w:val="21"/>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1300" w:right="940" w:hanging="1296"/>
        <w:spacing w:after="0" w:line="235" w:lineRule="auto"/>
        <w:tabs>
          <w:tab w:leader="none" w:pos="1280" w:val="left"/>
        </w:tabs>
        <w:rPr>
          <w:sz w:val="20"/>
          <w:szCs w:val="20"/>
          <w:color w:val="auto"/>
        </w:rPr>
      </w:pPr>
      <w:r>
        <w:rPr>
          <w:rFonts w:ascii="Arial" w:cs="Arial" w:eastAsia="Arial" w:hAnsi="Arial"/>
          <w:sz w:val="22"/>
          <w:szCs w:val="22"/>
          <w:b w:val="1"/>
          <w:bCs w:val="1"/>
          <w:color w:val="auto"/>
        </w:rPr>
        <w:t>Item 5.02</w:t>
      </w:r>
      <w:r>
        <w:rPr>
          <w:sz w:val="20"/>
          <w:szCs w:val="20"/>
          <w:color w:val="auto"/>
        </w:rPr>
        <w:tab/>
      </w:r>
      <w:r>
        <w:rPr>
          <w:rFonts w:ascii="Arial" w:cs="Arial" w:eastAsia="Arial" w:hAnsi="Arial"/>
          <w:sz w:val="22"/>
          <w:szCs w:val="22"/>
          <w:b w:val="1"/>
          <w:bCs w:val="1"/>
          <w:color w:val="auto"/>
        </w:rPr>
        <w:t>Departure of Directors or Certain Officers; Election of Directors; Appointment of Certain Officers; Compensatory Arrangements of Certain Officers.</w:t>
      </w:r>
    </w:p>
    <w:p>
      <w:pPr>
        <w:spacing w:after="0" w:line="185" w:lineRule="exact"/>
        <w:rPr>
          <w:sz w:val="24"/>
          <w:szCs w:val="24"/>
          <w:color w:val="auto"/>
        </w:rPr>
      </w:pPr>
    </w:p>
    <w:p>
      <w:pPr>
        <w:jc w:val="both"/>
        <w:ind w:left="1300"/>
        <w:spacing w:after="0" w:line="254" w:lineRule="auto"/>
        <w:rPr>
          <w:sz w:val="20"/>
          <w:szCs w:val="20"/>
          <w:color w:val="auto"/>
        </w:rPr>
      </w:pPr>
      <w:r>
        <w:rPr>
          <w:rFonts w:ascii="Arial" w:cs="Arial" w:eastAsia="Arial" w:hAnsi="Arial"/>
          <w:sz w:val="18"/>
          <w:szCs w:val="18"/>
          <w:color w:val="auto"/>
        </w:rPr>
        <w:t>On June 24, 2008, the Board of Directors of Winnebago Industries, Inc. (the “Company”) appointed Robert M. Chiusano to the Board, effective October 1, 2008, pursuant to recommendation by the Board’s Nominating and Governance Committee. As previously reported on a Form 8-K filed by the Company on March 25, 2008, John E. Herlitz, who served on the Company’s Board as a Class II director for a term expiring at the fiscal year 2010 annual meeting and as member of the Human Resources and Sales and Marketing Committees, passed away on March 23, 2008. Mr. Chiusano will fill the unexpired term of Mr. Herlitz and has been appointed to the Board’s Human Resources and Sales and Marketing Committees.</w:t>
      </w:r>
    </w:p>
    <w:p>
      <w:pPr>
        <w:spacing w:after="0" w:line="198" w:lineRule="exact"/>
        <w:rPr>
          <w:sz w:val="24"/>
          <w:szCs w:val="24"/>
          <w:color w:val="auto"/>
        </w:rPr>
      </w:pPr>
    </w:p>
    <w:p>
      <w:pPr>
        <w:jc w:val="both"/>
        <w:ind w:left="1300"/>
        <w:spacing w:after="0" w:line="294" w:lineRule="auto"/>
        <w:rPr>
          <w:sz w:val="20"/>
          <w:szCs w:val="20"/>
          <w:color w:val="auto"/>
        </w:rPr>
      </w:pPr>
      <w:r>
        <w:rPr>
          <w:rFonts w:ascii="Arial" w:cs="Arial" w:eastAsia="Arial" w:hAnsi="Arial"/>
          <w:sz w:val="16"/>
          <w:szCs w:val="16"/>
          <w:color w:val="auto"/>
        </w:rPr>
        <w:t>Mr. Chiusano, 57, has had a long career with Rockwell Collins, Inc. (“Rockwell”) and the former Rockwell International, Cedar Rapids, IA. Retired from Rockwell, he has served as Executive Vice President and Special Assistant to the Chief Executive Officer and Executive Vice President and Chief Operating Officer - Commercial Systems, in addition to a number of top-level management positions with both companies since joining Rockwell International in 1978. Rockwell does not have business relationships with the Company which are required to be reported under Item 404(a) of Securities and Exchange Commission Regulation S-K.</w:t>
      </w:r>
    </w:p>
    <w:p>
      <w:pPr>
        <w:spacing w:after="0" w:line="170" w:lineRule="exact"/>
        <w:rPr>
          <w:sz w:val="24"/>
          <w:szCs w:val="24"/>
          <w:color w:val="auto"/>
        </w:rPr>
      </w:pPr>
    </w:p>
    <w:p>
      <w:pPr>
        <w:jc w:val="both"/>
        <w:ind w:left="1300"/>
        <w:spacing w:after="0" w:line="268" w:lineRule="auto"/>
        <w:rPr>
          <w:sz w:val="20"/>
          <w:szCs w:val="20"/>
          <w:color w:val="auto"/>
        </w:rPr>
      </w:pPr>
      <w:r>
        <w:rPr>
          <w:rFonts w:ascii="Arial" w:cs="Arial" w:eastAsia="Arial" w:hAnsi="Arial"/>
          <w:sz w:val="18"/>
          <w:szCs w:val="18"/>
          <w:color w:val="auto"/>
        </w:rPr>
        <w:t>Mr. Chiusano will be compensated in the same manner as other Company directors, as described under the heading “Director Compensation” in the Company’s Proxy Statement, dated October 4, 2007, which is incorporated herein by reference.</w:t>
      </w:r>
    </w:p>
    <w:p>
      <w:pPr>
        <w:spacing w:after="0" w:line="186" w:lineRule="exact"/>
        <w:rPr>
          <w:sz w:val="24"/>
          <w:szCs w:val="24"/>
          <w:color w:val="auto"/>
        </w:rPr>
      </w:pPr>
    </w:p>
    <w:p>
      <w:pPr>
        <w:jc w:val="both"/>
        <w:ind w:left="1300" w:right="20"/>
        <w:spacing w:after="0" w:line="268" w:lineRule="auto"/>
        <w:rPr>
          <w:sz w:val="20"/>
          <w:szCs w:val="20"/>
          <w:color w:val="auto"/>
        </w:rPr>
      </w:pPr>
      <w:r>
        <w:rPr>
          <w:rFonts w:ascii="Arial" w:cs="Arial" w:eastAsia="Arial" w:hAnsi="Arial"/>
          <w:sz w:val="18"/>
          <w:szCs w:val="18"/>
          <w:color w:val="auto"/>
        </w:rPr>
        <w:t>A copy of the press release issued by the Company in connection with this report under item 5.02(d) is attached as Exhibit 99.1 and incorporated herein by reference.</w:t>
      </w:r>
    </w:p>
    <w:p>
      <w:pPr>
        <w:sectPr>
          <w:pgSz w:w="11900" w:h="16866" w:orient="portrait"/>
          <w:cols w:equalWidth="0" w:num="1">
            <w:col w:w="11420"/>
          </w:cols>
          <w:pgMar w:left="240" w:top="786" w:right="239" w:bottom="0" w:gutter="0" w:footer="0" w:header="0"/>
        </w:sectPr>
      </w:pPr>
    </w:p>
    <w:p>
      <w:pPr>
        <w:spacing w:after="0" w:line="153"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ectPr>
          <w:pgSz w:w="11900" w:h="16866" w:orient="portrait"/>
          <w:cols w:equalWidth="0" w:num="1">
            <w:col w:w="11420"/>
          </w:cols>
          <w:pgMar w:left="240" w:top="786" w:right="239" w:bottom="0" w:gutter="0" w:footer="0" w:header="0"/>
          <w:type w:val="continuous"/>
        </w:sectPr>
      </w:pPr>
    </w:p>
    <w:bookmarkStart w:id="1" w:name="page2"/>
    <w:bookmarkEnd w:id="1"/>
    <w:p>
      <w:pPr>
        <w:ind w:left="1300"/>
        <w:spacing w:after="0"/>
        <w:rPr>
          <w:sz w:val="20"/>
          <w:szCs w:val="20"/>
          <w:color w:val="auto"/>
        </w:rPr>
      </w:pPr>
      <w:r>
        <w:rPr>
          <w:rFonts w:ascii="Arial" w:cs="Arial" w:eastAsia="Arial" w:hAnsi="Arial"/>
          <w:sz w:val="18"/>
          <w:szCs w:val="18"/>
          <w:color w:val="auto"/>
        </w:rPr>
        <w:t>Exhibits</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280"/>
        <w:spacing w:after="0"/>
        <w:tabs>
          <w:tab w:leader="none" w:pos="30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149" w:lineRule="exact"/>
        <w:rPr>
          <w:sz w:val="20"/>
          <w:szCs w:val="20"/>
          <w:color w:val="auto"/>
        </w:rPr>
      </w:pPr>
    </w:p>
    <w:p>
      <w:pPr>
        <w:ind w:left="1480"/>
        <w:spacing w:after="0"/>
        <w:tabs>
          <w:tab w:leader="none" w:pos="24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27,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20" w:type="dxa"/>
            <w:vAlign w:val="bottom"/>
          </w:tcPr>
          <w:p>
            <w:pPr>
              <w:spacing w:after="0"/>
              <w:rPr>
                <w:sz w:val="20"/>
                <w:szCs w:val="20"/>
                <w:color w:val="auto"/>
              </w:rPr>
            </w:pPr>
            <w:r>
              <w:rPr>
                <w:rFonts w:ascii="Arial" w:cs="Arial" w:eastAsia="Arial" w:hAnsi="Arial"/>
                <w:sz w:val="18"/>
                <w:szCs w:val="18"/>
                <w:color w:val="auto"/>
              </w:rPr>
              <w:t>Date: June 27, 2008</w:t>
            </w:r>
          </w:p>
        </w:tc>
        <w:tc>
          <w:tcPr>
            <w:tcW w:w="6860" w:type="dxa"/>
            <w:vAlign w:val="bottom"/>
            <w:gridSpan w:val="2"/>
          </w:tcPr>
          <w:p>
            <w:pPr>
              <w:ind w:left="2000"/>
              <w:spacing w:after="0"/>
              <w:rPr>
                <w:sz w:val="20"/>
                <w:szCs w:val="20"/>
                <w:color w:val="auto"/>
              </w:rPr>
            </w:pPr>
            <w:r>
              <w:rPr>
                <w:rFonts w:ascii="Arial" w:cs="Arial" w:eastAsia="Arial" w:hAnsi="Arial"/>
                <w:sz w:val="22"/>
                <w:szCs w:val="22"/>
                <w:color w:val="auto"/>
              </w:rPr>
              <w:t>W</w:t>
            </w:r>
            <w:r>
              <w:rPr>
                <w:rFonts w:ascii="Arial" w:cs="Arial" w:eastAsia="Arial" w:hAnsi="Arial"/>
                <w:sz w:val="18"/>
                <w:szCs w:val="18"/>
                <w:color w:val="auto"/>
              </w:rPr>
              <w:t>INNEBAGO</w:t>
            </w:r>
            <w:r>
              <w:rPr>
                <w:rFonts w:ascii="Arial" w:cs="Arial" w:eastAsia="Arial" w:hAnsi="Arial"/>
                <w:sz w:val="22"/>
                <w:szCs w:val="22"/>
                <w:color w:val="auto"/>
              </w:rPr>
              <w:t xml:space="preserve"> I</w:t>
            </w:r>
            <w:r>
              <w:rPr>
                <w:rFonts w:ascii="Arial" w:cs="Arial" w:eastAsia="Arial" w:hAnsi="Arial"/>
                <w:sz w:val="18"/>
                <w:szCs w:val="18"/>
                <w:color w:val="auto"/>
              </w:rPr>
              <w:t>NDUSTRIES,</w:t>
            </w:r>
            <w:r>
              <w:rPr>
                <w:rFonts w:ascii="Arial" w:cs="Arial" w:eastAsia="Arial" w:hAnsi="Arial"/>
                <w:sz w:val="22"/>
                <w:szCs w:val="22"/>
                <w:color w:val="auto"/>
              </w:rPr>
              <w:t xml:space="preserve"> I</w:t>
            </w:r>
            <w:r>
              <w:rPr>
                <w:rFonts w:ascii="Arial" w:cs="Arial" w:eastAsia="Arial" w:hAnsi="Arial"/>
                <w:sz w:val="18"/>
                <w:szCs w:val="18"/>
                <w:color w:val="auto"/>
              </w:rPr>
              <w:t>NC.</w:t>
            </w:r>
          </w:p>
        </w:tc>
      </w:tr>
      <w:tr>
        <w:trPr>
          <w:trHeight w:val="447"/>
        </w:trPr>
        <w:tc>
          <w:tcPr>
            <w:tcW w:w="34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203"/>
        </w:trPr>
        <w:tc>
          <w:tcPr>
            <w:tcW w:w="3420" w:type="dxa"/>
            <w:vAlign w:val="bottom"/>
          </w:tcPr>
          <w:p>
            <w:pPr>
              <w:spacing w:after="0"/>
              <w:rPr>
                <w:sz w:val="17"/>
                <w:szCs w:val="17"/>
                <w:color w:val="auto"/>
              </w:rPr>
            </w:pPr>
          </w:p>
        </w:tc>
        <w:tc>
          <w:tcPr>
            <w:tcW w:w="2640" w:type="dxa"/>
            <w:vAlign w:val="bottom"/>
          </w:tcPr>
          <w:p>
            <w:pPr>
              <w:ind w:left="2000"/>
              <w:spacing w:after="0" w:line="202" w:lineRule="exact"/>
              <w:rPr>
                <w:sz w:val="20"/>
                <w:szCs w:val="20"/>
                <w:color w:val="auto"/>
              </w:rPr>
            </w:pPr>
            <w:r>
              <w:rPr>
                <w:rFonts w:ascii="Arial" w:cs="Arial" w:eastAsia="Arial" w:hAnsi="Arial"/>
                <w:sz w:val="18"/>
                <w:szCs w:val="18"/>
                <w:color w:val="auto"/>
              </w:rPr>
              <w:t>Name:</w:t>
            </w:r>
          </w:p>
        </w:tc>
        <w:tc>
          <w:tcPr>
            <w:tcW w:w="4220" w:type="dxa"/>
            <w:vAlign w:val="bottom"/>
          </w:tcPr>
          <w:p>
            <w:pPr>
              <w:spacing w:after="0" w:line="203" w:lineRule="exact"/>
              <w:rPr>
                <w:sz w:val="20"/>
                <w:szCs w:val="20"/>
                <w:color w:val="auto"/>
              </w:rPr>
            </w:pPr>
            <w:r>
              <w:rPr>
                <w:rFonts w:ascii="Arial" w:cs="Arial" w:eastAsia="Arial" w:hAnsi="Arial"/>
                <w:sz w:val="18"/>
                <w:szCs w:val="18"/>
                <w:color w:val="auto"/>
              </w:rPr>
              <w:t>Robert J. Olson</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of the Board, Chief Executive Officer and</w:t>
            </w:r>
          </w:p>
        </w:tc>
      </w:tr>
      <w:tr>
        <w:trPr>
          <w:trHeight w:val="222"/>
        </w:trPr>
        <w:tc>
          <w:tcPr>
            <w:tcW w:w="34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9"/>
          <w:szCs w:val="19"/>
          <w:b w:val="1"/>
          <w:bCs w:val="1"/>
          <w:color w:val="auto"/>
        </w:rPr>
        <w:t>Exhibit 99.1</w:t>
      </w:r>
    </w:p>
    <w:p>
      <w:pPr>
        <w:sectPr>
          <w:pgSz w:w="11900" w:h="16838" w:orient="portrait"/>
          <w:cols w:equalWidth="0" w:num="1">
            <w:col w:w="11420"/>
          </w:cols>
          <w:pgMar w:left="240" w:top="355" w:right="23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Sheila Davis, PR/IR Manager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641-585-6803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sdavis@winnebagoind.com</w:t>
      </w:r>
    </w:p>
    <w:p>
      <w:pPr>
        <w:spacing w:after="0" w:line="200" w:lineRule="exact"/>
        <w:rPr>
          <w:sz w:val="20"/>
          <w:szCs w:val="20"/>
          <w:color w:val="auto"/>
        </w:rPr>
      </w:pPr>
    </w:p>
    <w:p>
      <w:pPr>
        <w:sectPr>
          <w:pgSz w:w="11900" w:h="16838" w:orient="portrait"/>
          <w:cols w:equalWidth="0" w:num="2">
            <w:col w:w="600" w:space="380"/>
            <w:col w:w="10440"/>
          </w:cols>
          <w:pgMar w:left="240" w:top="355" w:right="239" w:bottom="1440" w:gutter="0" w:footer="0" w:header="0"/>
          <w:type w:val="continuous"/>
        </w:sectPr>
      </w:pP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ANNOUNCES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APPOINTMENT OF ROBERT CHIUSANO TO BOARD</w:t>
      </w:r>
    </w:p>
    <w:p>
      <w:pPr>
        <w:jc w:val="center"/>
        <w:spacing w:after="0"/>
        <w:rPr>
          <w:sz w:val="20"/>
          <w:szCs w:val="20"/>
          <w:color w:val="auto"/>
        </w:rPr>
      </w:pPr>
      <w:r>
        <w:rPr>
          <w:rFonts w:ascii="Arial" w:cs="Arial" w:eastAsia="Arial" w:hAnsi="Arial"/>
          <w:sz w:val="22"/>
          <w:szCs w:val="22"/>
          <w:b w:val="1"/>
          <w:bCs w:val="1"/>
          <w:color w:val="auto"/>
        </w:rPr>
        <w:t>-- Cash Dividend Announced --</w:t>
      </w:r>
    </w:p>
    <w:p>
      <w:pPr>
        <w:spacing w:after="0" w:line="228"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FOREST CITY, IOWA, June 27, 2008 -- Winnebago Industries, Inc. (NYSE:WGO), has announced the appointment of a new board member. By action taken at a meeting on June 24, 2008 the Board of Directors of Winnebago Industries appointed Robert M. Chiusano to the Board effective as of October 1, 2008. Chiusano was appointed upon the recommendation of the Board’s Nominating and Governance Committee to complete the unexpired term of John E. Herlitz who passed away on March 23, 2008. Chiusano will therefore serve as a Class II director for a term expiring at the Company’s annual meeting to be held in December 2010.</w:t>
      </w:r>
    </w:p>
    <w:p>
      <w:pPr>
        <w:spacing w:after="0" w:line="1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Chiusano, 57, has had a long and illustrious career with Rockwell Collins, Inc. and the former Rockwell International, Cedar Rapids, IA. Retired from Rockwell Collins, he has served as Executive Vice President and Special Assistant to the CEO and Executive Vice President and Chief Operating Officer – Commercial Systems, in addition to a number of top-level management positions with both companies since joining Rockwell International in 1978. Chiusano holds a Bachelor of Science degree in Industrial Engineering from the State University of New York, Buffalo, NY and a Masters of Business Administration Degree from the University of Iowa, Iowa City, IA.</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welcome Robert to our Board,” said Winnebago Industries’ Chairman, CEO and President Bob Olson. “We believe his vast management experience with Rockwell Collins and his background in engineering and technology will be great assets to our organization.”</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separate action, the Board of Directors declared a quarterly cash dividend of 12 cents a share, payable on October 6, 2008 to shareholders of record as of September 5,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Winnebago Industries, Inc. is a leading United States manufacturer of motor homes,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2019-12-11T13:31:01Z</dcterms:created>
  <dcterms:modified xsi:type="dcterms:W3CDTF">2019-12-11T13:31:01Z</dcterms:modified>
</cp:coreProperties>
</file>