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134620</wp:posOffset>
            </wp:positionH>
            <wp:positionV relativeFrom="page">
              <wp:posOffset>248920</wp:posOffset>
            </wp:positionV>
            <wp:extent cx="72923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page">
              <wp:posOffset>134620</wp:posOffset>
            </wp:positionH>
            <wp:positionV relativeFrom="page">
              <wp:posOffset>203200</wp:posOffset>
            </wp:positionV>
            <wp:extent cx="7292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2340" cy="17145"/>
                    </a:xfrm>
                    <a:prstGeom prst="rect">
                      <a:avLst/>
                    </a:prstGeom>
                    <a:noFill/>
                  </pic:spPr>
                </pic:pic>
              </a:graphicData>
            </a:graphic>
          </wp:anchor>
        </w:drawing>
      </w:r>
    </w:p>
    <w:p>
      <w:pPr>
        <w:jc w:val="center"/>
        <w:ind w:right="52"/>
        <w:spacing w:after="0"/>
        <w:rPr>
          <w:sz w:val="20"/>
          <w:szCs w:val="20"/>
          <w:color w:val="auto"/>
        </w:rPr>
      </w:pPr>
      <w:r>
        <w:rPr>
          <w:rFonts w:ascii="Arial" w:cs="Arial" w:eastAsia="Arial" w:hAnsi="Arial"/>
          <w:sz w:val="14"/>
          <w:szCs w:val="14"/>
          <w:b w:val="1"/>
          <w:bCs w:val="1"/>
          <w:color w:val="auto"/>
        </w:rPr>
        <w:t>UNITED STATES</w:t>
      </w:r>
    </w:p>
    <w:p>
      <w:pPr>
        <w:spacing w:after="0" w:line="28"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Washington, D.C. 20549</w:t>
      </w:r>
    </w:p>
    <w:p>
      <w:pPr>
        <w:spacing w:after="0" w:line="156" w:lineRule="exact"/>
        <w:rPr>
          <w:sz w:val="24"/>
          <w:szCs w:val="24"/>
          <w:color w:val="auto"/>
        </w:rPr>
      </w:pPr>
    </w:p>
    <w:p>
      <w:pPr>
        <w:jc w:val="center"/>
        <w:ind w:right="52"/>
        <w:spacing w:after="0"/>
        <w:rPr>
          <w:sz w:val="20"/>
          <w:szCs w:val="20"/>
          <w:color w:val="auto"/>
        </w:rPr>
      </w:pPr>
      <w:r>
        <w:rPr>
          <w:rFonts w:ascii="Arial" w:cs="Arial" w:eastAsia="Arial" w:hAnsi="Arial"/>
          <w:sz w:val="14"/>
          <w:szCs w:val="14"/>
          <w:b w:val="1"/>
          <w:bCs w:val="1"/>
          <w:color w:val="auto"/>
        </w:rPr>
        <w:t>FORM 10-Q</w:t>
      </w:r>
    </w:p>
    <w:p>
      <w:pPr>
        <w:spacing w:after="0" w:line="131" w:lineRule="exact"/>
        <w:rPr>
          <w:sz w:val="24"/>
          <w:szCs w:val="24"/>
          <w:color w:val="auto"/>
        </w:rPr>
      </w:pPr>
    </w:p>
    <w:p>
      <w:pPr>
        <w:ind w:left="8"/>
        <w:spacing w:after="0"/>
        <w:rPr>
          <w:sz w:val="20"/>
          <w:szCs w:val="20"/>
          <w:color w:val="auto"/>
        </w:rPr>
      </w:pPr>
      <w:r>
        <w:rPr>
          <w:rFonts w:ascii="Arial" w:cs="Arial" w:eastAsia="Arial" w:hAnsi="Arial"/>
          <w:sz w:val="12"/>
          <w:szCs w:val="12"/>
          <w:color w:val="auto"/>
        </w:rPr>
        <w:t>(Mark One)</w:t>
      </w:r>
    </w:p>
    <w:p>
      <w:pPr>
        <w:ind w:left="348" w:hanging="348"/>
        <w:spacing w:after="0" w:line="185" w:lineRule="auto"/>
        <w:tabs>
          <w:tab w:leader="none" w:pos="348" w:val="left"/>
        </w:tabs>
        <w:numPr>
          <w:ilvl w:val="0"/>
          <w:numId w:val="1"/>
        </w:numPr>
        <w:rPr>
          <w:rFonts w:ascii="Arial" w:cs="Arial" w:eastAsia="Arial" w:hAnsi="Arial"/>
          <w:sz w:val="24"/>
          <w:szCs w:val="24"/>
          <w:color w:val="auto"/>
          <w:vertAlign w:val="superscript"/>
        </w:rPr>
      </w:pPr>
      <w:r>
        <w:rPr>
          <w:rFonts w:ascii="Arial" w:cs="Arial" w:eastAsia="Arial" w:hAnsi="Arial"/>
          <w:sz w:val="12"/>
          <w:szCs w:val="12"/>
          <w:b w:val="1"/>
          <w:bCs w:val="1"/>
          <w:color w:val="auto"/>
        </w:rPr>
        <w:t>QUARTERLY REPORT PURSUANT TO SECTION 13 OR 15(d) OF THE SECURITIES EXCHANGE ACT OF 1934</w:t>
      </w:r>
    </w:p>
    <w:p>
      <w:pPr>
        <w:spacing w:after="0" w:line="34"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For the quarterly period ended </w:t>
      </w:r>
      <w:r>
        <w:rPr>
          <w:rFonts w:ascii="Arial" w:cs="Arial" w:eastAsia="Arial" w:hAnsi="Arial"/>
          <w:sz w:val="12"/>
          <w:szCs w:val="12"/>
          <w:u w:val="single" w:color="auto"/>
          <w:color w:val="auto"/>
        </w:rPr>
        <w:t>May 29, 2010</w:t>
      </w:r>
    </w:p>
    <w:p>
      <w:pPr>
        <w:jc w:val="center"/>
        <w:ind w:right="52"/>
        <w:spacing w:after="0"/>
        <w:rPr>
          <w:sz w:val="20"/>
          <w:szCs w:val="20"/>
          <w:color w:val="auto"/>
        </w:rPr>
      </w:pPr>
      <w:r>
        <w:rPr>
          <w:rFonts w:ascii="Arial" w:cs="Arial" w:eastAsia="Arial" w:hAnsi="Arial"/>
          <w:sz w:val="12"/>
          <w:szCs w:val="12"/>
          <w:color w:val="auto"/>
        </w:rPr>
        <w:t>or</w:t>
      </w:r>
    </w:p>
    <w:p>
      <w:pPr>
        <w:spacing w:after="0" w:line="55" w:lineRule="exact"/>
        <w:rPr>
          <w:sz w:val="24"/>
          <w:szCs w:val="24"/>
          <w:color w:val="auto"/>
        </w:rPr>
      </w:pPr>
    </w:p>
    <w:p>
      <w:pPr>
        <w:ind w:left="8" w:right="5060" w:hanging="8"/>
        <w:spacing w:after="0" w:line="196" w:lineRule="auto"/>
        <w:tabs>
          <w:tab w:leader="none" w:pos="350" w:val="left"/>
        </w:tabs>
        <w:numPr>
          <w:ilvl w:val="0"/>
          <w:numId w:val="2"/>
        </w:numPr>
        <w:rPr>
          <w:rFonts w:ascii="Arial" w:cs="Arial" w:eastAsia="Arial" w:hAnsi="Arial"/>
          <w:sz w:val="24"/>
          <w:szCs w:val="24"/>
          <w:color w:val="auto"/>
          <w:vertAlign w:val="superscript"/>
        </w:rPr>
      </w:pPr>
      <w:r>
        <w:rPr>
          <w:rFonts w:ascii="Arial" w:cs="Arial" w:eastAsia="Arial" w:hAnsi="Arial"/>
          <w:sz w:val="12"/>
          <w:szCs w:val="12"/>
          <w:b w:val="1"/>
          <w:bCs w:val="1"/>
          <w:color w:val="auto"/>
        </w:rPr>
        <w:t xml:space="preserve">TRANSITION REPORT PURSUANT TO SECTION 13 OR 15(d) OF THE SECURITIES EXCHANGE ACT OF 1934 </w:t>
      </w:r>
      <w:r>
        <w:rPr>
          <w:rFonts w:ascii="Arial" w:cs="Arial" w:eastAsia="Arial" w:hAnsi="Arial"/>
          <w:sz w:val="12"/>
          <w:szCs w:val="12"/>
          <w:color w:val="auto"/>
        </w:rPr>
        <w:t>For the transition period from _________________ to _________________</w:t>
      </w:r>
    </w:p>
    <w:p>
      <w:pPr>
        <w:spacing w:after="0" w:line="139" w:lineRule="exact"/>
        <w:rPr>
          <w:sz w:val="24"/>
          <w:szCs w:val="24"/>
          <w:color w:val="auto"/>
        </w:rPr>
      </w:pPr>
    </w:p>
    <w:p>
      <w:pPr>
        <w:jc w:val="center"/>
        <w:ind w:right="52"/>
        <w:spacing w:after="0"/>
        <w:rPr>
          <w:sz w:val="20"/>
          <w:szCs w:val="20"/>
          <w:color w:val="auto"/>
        </w:rPr>
      </w:pPr>
      <w:r>
        <w:rPr>
          <w:rFonts w:ascii="Arial" w:cs="Arial" w:eastAsia="Arial" w:hAnsi="Arial"/>
          <w:sz w:val="22"/>
          <w:szCs w:val="22"/>
          <w:b w:val="1"/>
          <w:bCs w:val="1"/>
          <w:color w:val="auto"/>
        </w:rPr>
        <w:t>WINNEBAGO INDUSTRIES, INC.</w:t>
      </w:r>
    </w:p>
    <w:p>
      <w:pPr>
        <w:spacing w:after="0" w:line="22" w:lineRule="exact"/>
        <w:rPr>
          <w:sz w:val="24"/>
          <w:szCs w:val="24"/>
          <w:color w:val="auto"/>
        </w:rPr>
      </w:pPr>
    </w:p>
    <w:p>
      <w:pPr>
        <w:jc w:val="center"/>
        <w:ind w:right="52"/>
        <w:spacing w:after="0"/>
        <w:rPr>
          <w:sz w:val="20"/>
          <w:szCs w:val="20"/>
          <w:color w:val="auto"/>
        </w:rPr>
      </w:pPr>
      <w:r>
        <w:rPr>
          <w:rFonts w:ascii="Arial" w:cs="Arial" w:eastAsia="Arial" w:hAnsi="Arial"/>
          <w:sz w:val="12"/>
          <w:szCs w:val="12"/>
          <w:color w:val="auto"/>
        </w:rPr>
        <w:t>(Exact name of registrant as specified in its charter)</w:t>
      </w:r>
    </w:p>
    <w:p>
      <w:pPr>
        <w:spacing w:after="0" w:line="60" w:lineRule="exact"/>
        <w:rPr>
          <w:sz w:val="24"/>
          <w:szCs w:val="24"/>
          <w:color w:val="auto"/>
        </w:rPr>
      </w:pPr>
    </w:p>
    <w:p>
      <w:pPr>
        <w:jc w:val="center"/>
        <w:ind w:right="52"/>
        <w:spacing w:after="0"/>
        <w:rPr>
          <w:sz w:val="20"/>
          <w:szCs w:val="20"/>
          <w:color w:val="auto"/>
        </w:rPr>
      </w:pPr>
      <w:r>
        <w:rPr>
          <w:rFonts w:ascii="Arial" w:cs="Arial" w:eastAsia="Arial" w:hAnsi="Arial"/>
          <w:sz w:val="12"/>
          <w:szCs w:val="12"/>
          <w:color w:val="auto"/>
        </w:rPr>
        <w:t xml:space="preserve">Commission File Nu mber: </w:t>
      </w:r>
      <w:r>
        <w:rPr>
          <w:rFonts w:ascii="Arial" w:cs="Arial" w:eastAsia="Arial" w:hAnsi="Arial"/>
          <w:sz w:val="12"/>
          <w:szCs w:val="12"/>
          <w:u w:val="single" w:color="auto"/>
          <w:color w:val="auto"/>
        </w:rPr>
        <w:t>001-06403</w:t>
      </w:r>
    </w:p>
    <w:p>
      <w:pPr>
        <w:spacing w:after="0" w:line="157" w:lineRule="exact"/>
        <w:rPr>
          <w:sz w:val="24"/>
          <w:szCs w:val="24"/>
          <w:color w:val="auto"/>
        </w:rPr>
      </w:pPr>
    </w:p>
    <w:tbl>
      <w:tblPr>
        <w:tblLayout w:type="fixed"/>
        <w:tblInd w:w="8" w:type="dxa"/>
        <w:tblCellMar>
          <w:top w:w="0" w:type="dxa"/>
          <w:left w:w="0" w:type="dxa"/>
          <w:bottom w:w="0" w:type="dxa"/>
          <w:right w:w="0" w:type="dxa"/>
        </w:tblCellMar>
      </w:tblPr>
      <w:tr>
        <w:trPr>
          <w:trHeight w:val="138"/>
        </w:trPr>
        <w:tc>
          <w:tcPr>
            <w:tcW w:w="2640" w:type="dxa"/>
            <w:vAlign w:val="bottom"/>
          </w:tcPr>
          <w:p>
            <w:pPr>
              <w:spacing w:after="0"/>
              <w:rPr>
                <w:sz w:val="12"/>
                <w:szCs w:val="12"/>
                <w:color w:val="auto"/>
              </w:rPr>
            </w:pPr>
          </w:p>
        </w:tc>
        <w:tc>
          <w:tcPr>
            <w:tcW w:w="3220" w:type="dxa"/>
            <w:vAlign w:val="bottom"/>
            <w:gridSpan w:val="2"/>
          </w:tcPr>
          <w:p>
            <w:pPr>
              <w:jc w:val="center"/>
              <w:ind w:right="280"/>
              <w:spacing w:after="0"/>
              <w:rPr>
                <w:sz w:val="20"/>
                <w:szCs w:val="20"/>
                <w:color w:val="auto"/>
              </w:rPr>
            </w:pPr>
            <w:r>
              <w:rPr>
                <w:rFonts w:ascii="Arial" w:cs="Arial" w:eastAsia="Arial" w:hAnsi="Arial"/>
                <w:sz w:val="12"/>
                <w:szCs w:val="12"/>
                <w:color w:val="auto"/>
              </w:rPr>
              <w:t>Iowa</w:t>
            </w:r>
          </w:p>
        </w:tc>
        <w:tc>
          <w:tcPr>
            <w:tcW w:w="2960" w:type="dxa"/>
            <w:vAlign w:val="bottom"/>
          </w:tcPr>
          <w:p>
            <w:pPr>
              <w:jc w:val="right"/>
              <w:ind w:right="1100"/>
              <w:spacing w:after="0"/>
              <w:rPr>
                <w:sz w:val="20"/>
                <w:szCs w:val="20"/>
                <w:color w:val="auto"/>
              </w:rPr>
            </w:pPr>
            <w:r>
              <w:rPr>
                <w:rFonts w:ascii="Arial" w:cs="Arial" w:eastAsia="Arial" w:hAnsi="Arial"/>
                <w:sz w:val="12"/>
                <w:szCs w:val="12"/>
                <w:color w:val="auto"/>
              </w:rPr>
              <w:t>42-0802678</w:t>
            </w:r>
          </w:p>
        </w:tc>
      </w:tr>
      <w:tr>
        <w:trPr>
          <w:trHeight w:val="133"/>
        </w:trPr>
        <w:tc>
          <w:tcPr>
            <w:tcW w:w="2640" w:type="dxa"/>
            <w:vAlign w:val="bottom"/>
          </w:tcPr>
          <w:p>
            <w:pPr>
              <w:spacing w:after="0"/>
              <w:rPr>
                <w:sz w:val="11"/>
                <w:szCs w:val="11"/>
                <w:color w:val="auto"/>
              </w:rPr>
            </w:pPr>
          </w:p>
        </w:tc>
        <w:tc>
          <w:tcPr>
            <w:tcW w:w="294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rPr>
              <w:t>(State or other jurisdiction</w:t>
            </w:r>
          </w:p>
        </w:tc>
        <w:tc>
          <w:tcPr>
            <w:tcW w:w="280" w:type="dxa"/>
            <w:vAlign w:val="bottom"/>
          </w:tcPr>
          <w:p>
            <w:pPr>
              <w:spacing w:after="0"/>
              <w:rPr>
                <w:sz w:val="11"/>
                <w:szCs w:val="11"/>
                <w:color w:val="auto"/>
              </w:rPr>
            </w:pPr>
          </w:p>
        </w:tc>
        <w:tc>
          <w:tcPr>
            <w:tcW w:w="296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(I.R.S. Employer</w:t>
            </w:r>
          </w:p>
        </w:tc>
      </w:tr>
      <w:tr>
        <w:trPr>
          <w:trHeight w:val="145"/>
        </w:trPr>
        <w:tc>
          <w:tcPr>
            <w:tcW w:w="2640" w:type="dxa"/>
            <w:vAlign w:val="bottom"/>
          </w:tcPr>
          <w:p>
            <w:pPr>
              <w:spacing w:after="0"/>
              <w:rPr>
                <w:sz w:val="12"/>
                <w:szCs w:val="12"/>
                <w:color w:val="auto"/>
              </w:rPr>
            </w:pPr>
          </w:p>
        </w:tc>
        <w:tc>
          <w:tcPr>
            <w:tcW w:w="3220" w:type="dxa"/>
            <w:vAlign w:val="bottom"/>
            <w:gridSpan w:val="2"/>
          </w:tcPr>
          <w:p>
            <w:pPr>
              <w:jc w:val="center"/>
              <w:ind w:right="280"/>
              <w:spacing w:after="0"/>
              <w:rPr>
                <w:sz w:val="20"/>
                <w:szCs w:val="20"/>
                <w:color w:val="auto"/>
              </w:rPr>
            </w:pPr>
            <w:r>
              <w:rPr>
                <w:rFonts w:ascii="Arial" w:cs="Arial" w:eastAsia="Arial" w:hAnsi="Arial"/>
                <w:sz w:val="12"/>
                <w:szCs w:val="12"/>
                <w:color w:val="auto"/>
              </w:rPr>
              <w:t>of incorporation or organization)</w:t>
            </w:r>
          </w:p>
        </w:tc>
        <w:tc>
          <w:tcPr>
            <w:tcW w:w="2960" w:type="dxa"/>
            <w:vAlign w:val="bottom"/>
          </w:tcPr>
          <w:p>
            <w:pPr>
              <w:jc w:val="center"/>
              <w:spacing w:after="0"/>
              <w:rPr>
                <w:sz w:val="20"/>
                <w:szCs w:val="20"/>
                <w:color w:val="auto"/>
              </w:rPr>
            </w:pPr>
            <w:r>
              <w:rPr>
                <w:rFonts w:ascii="Arial" w:cs="Arial" w:eastAsia="Arial" w:hAnsi="Arial"/>
                <w:sz w:val="12"/>
                <w:szCs w:val="12"/>
                <w:color w:val="auto"/>
                <w:w w:val="98"/>
              </w:rPr>
              <w:t>Identification No.)</w:t>
            </w:r>
          </w:p>
        </w:tc>
      </w:tr>
      <w:tr>
        <w:trPr>
          <w:trHeight w:val="180"/>
        </w:trPr>
        <w:tc>
          <w:tcPr>
            <w:tcW w:w="2640" w:type="dxa"/>
            <w:vAlign w:val="bottom"/>
          </w:tcPr>
          <w:p>
            <w:pPr>
              <w:spacing w:after="0"/>
              <w:rPr>
                <w:sz w:val="15"/>
                <w:szCs w:val="15"/>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9"/>
              </w:rPr>
              <w:t>P. O. Box 152, Forest City, Iowa</w:t>
            </w:r>
          </w:p>
        </w:tc>
        <w:tc>
          <w:tcPr>
            <w:tcW w:w="280" w:type="dxa"/>
            <w:vAlign w:val="bottom"/>
          </w:tcPr>
          <w:p>
            <w:pPr>
              <w:spacing w:after="0"/>
              <w:rPr>
                <w:sz w:val="15"/>
                <w:szCs w:val="15"/>
                <w:color w:val="auto"/>
              </w:rPr>
            </w:pPr>
          </w:p>
        </w:tc>
        <w:tc>
          <w:tcPr>
            <w:tcW w:w="2960" w:type="dxa"/>
            <w:vAlign w:val="bottom"/>
            <w:tcBorders>
              <w:bottom w:val="single" w:sz="8" w:color="auto"/>
            </w:tcBorders>
          </w:tcPr>
          <w:p>
            <w:pPr>
              <w:jc w:val="right"/>
              <w:ind w:right="1260"/>
              <w:spacing w:after="0"/>
              <w:rPr>
                <w:sz w:val="20"/>
                <w:szCs w:val="20"/>
                <w:color w:val="auto"/>
              </w:rPr>
            </w:pPr>
            <w:r>
              <w:rPr>
                <w:rFonts w:ascii="Arial" w:cs="Arial" w:eastAsia="Arial" w:hAnsi="Arial"/>
                <w:sz w:val="12"/>
                <w:szCs w:val="12"/>
                <w:color w:val="auto"/>
              </w:rPr>
              <w:t>50436</w:t>
            </w:r>
          </w:p>
        </w:tc>
      </w:tr>
      <w:tr>
        <w:trPr>
          <w:trHeight w:val="151"/>
        </w:trPr>
        <w:tc>
          <w:tcPr>
            <w:tcW w:w="2640" w:type="dxa"/>
            <w:vAlign w:val="bottom"/>
          </w:tcPr>
          <w:p>
            <w:pPr>
              <w:spacing w:after="0"/>
              <w:rPr>
                <w:sz w:val="13"/>
                <w:szCs w:val="13"/>
                <w:color w:val="auto"/>
              </w:rPr>
            </w:pPr>
          </w:p>
        </w:tc>
        <w:tc>
          <w:tcPr>
            <w:tcW w:w="3220" w:type="dxa"/>
            <w:vAlign w:val="bottom"/>
            <w:gridSpan w:val="2"/>
          </w:tcPr>
          <w:p>
            <w:pPr>
              <w:jc w:val="center"/>
              <w:ind w:right="280"/>
              <w:spacing w:after="0"/>
              <w:rPr>
                <w:sz w:val="20"/>
                <w:szCs w:val="20"/>
                <w:color w:val="auto"/>
              </w:rPr>
            </w:pPr>
            <w:r>
              <w:rPr>
                <w:rFonts w:ascii="Arial" w:cs="Arial" w:eastAsia="Arial" w:hAnsi="Arial"/>
                <w:sz w:val="12"/>
                <w:szCs w:val="12"/>
                <w:color w:val="auto"/>
              </w:rPr>
              <w:t>(Address of principal executive offices)</w:t>
            </w:r>
          </w:p>
        </w:tc>
        <w:tc>
          <w:tcPr>
            <w:tcW w:w="2960" w:type="dxa"/>
            <w:vAlign w:val="bottom"/>
          </w:tcPr>
          <w:p>
            <w:pPr>
              <w:jc w:val="center"/>
              <w:spacing w:after="0"/>
              <w:rPr>
                <w:sz w:val="20"/>
                <w:szCs w:val="20"/>
                <w:color w:val="auto"/>
              </w:rPr>
            </w:pPr>
            <w:r>
              <w:rPr>
                <w:rFonts w:ascii="Arial" w:cs="Arial" w:eastAsia="Arial" w:hAnsi="Arial"/>
                <w:sz w:val="12"/>
                <w:szCs w:val="12"/>
                <w:color w:val="auto"/>
                <w:w w:val="98"/>
              </w:rPr>
              <w:t>(Zip Code)</w:t>
            </w:r>
          </w:p>
        </w:tc>
      </w:tr>
      <w:tr>
        <w:trPr>
          <w:trHeight w:val="279"/>
        </w:trPr>
        <w:tc>
          <w:tcPr>
            <w:tcW w:w="5860" w:type="dxa"/>
            <w:vAlign w:val="bottom"/>
            <w:gridSpan w:val="3"/>
          </w:tcPr>
          <w:p>
            <w:pPr>
              <w:spacing w:after="0"/>
              <w:rPr>
                <w:sz w:val="20"/>
                <w:szCs w:val="20"/>
                <w:color w:val="auto"/>
              </w:rPr>
            </w:pPr>
            <w:r>
              <w:rPr>
                <w:rFonts w:ascii="Arial" w:cs="Arial" w:eastAsia="Arial" w:hAnsi="Arial"/>
                <w:sz w:val="12"/>
                <w:szCs w:val="12"/>
                <w:color w:val="auto"/>
              </w:rPr>
              <w:t>Registrant's telephone number, including area code: (641) 585-3535</w:t>
            </w:r>
          </w:p>
        </w:tc>
        <w:tc>
          <w:tcPr>
            <w:tcW w:w="2960" w:type="dxa"/>
            <w:vAlign w:val="bottom"/>
          </w:tcPr>
          <w:p>
            <w:pPr>
              <w:spacing w:after="0"/>
              <w:rPr>
                <w:sz w:val="24"/>
                <w:szCs w:val="24"/>
                <w:color w:val="auto"/>
              </w:rPr>
            </w:pPr>
          </w:p>
        </w:tc>
      </w:tr>
    </w:tbl>
    <w:p>
      <w:pPr>
        <w:spacing w:after="0" w:line="171" w:lineRule="exact"/>
        <w:rPr>
          <w:sz w:val="24"/>
          <w:szCs w:val="24"/>
          <w:color w:val="auto"/>
        </w:rPr>
      </w:pPr>
    </w:p>
    <w:p>
      <w:pPr>
        <w:ind w:left="8" w:right="200"/>
        <w:spacing w:after="0" w:line="262"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58" w:lineRule="exact"/>
        <w:rPr>
          <w:sz w:val="24"/>
          <w:szCs w:val="24"/>
          <w:color w:val="auto"/>
        </w:rPr>
      </w:pPr>
    </w:p>
    <w:p>
      <w:pPr>
        <w:ind w:left="8" w:right="560"/>
        <w:spacing w:after="0" w:line="262"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158" w:lineRule="exact"/>
        <w:rPr>
          <w:sz w:val="24"/>
          <w:szCs w:val="24"/>
          <w:color w:val="auto"/>
        </w:rPr>
      </w:pPr>
    </w:p>
    <w:p>
      <w:pPr>
        <w:ind w:left="8" w:right="280"/>
        <w:spacing w:after="0" w:line="262"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6" w:lineRule="exact"/>
        <w:rPr>
          <w:sz w:val="24"/>
          <w:szCs w:val="24"/>
          <w:color w:val="auto"/>
        </w:rPr>
      </w:pPr>
    </w:p>
    <w:p>
      <w:pPr>
        <w:ind w:left="8"/>
        <w:spacing w:after="0"/>
        <w:tabs>
          <w:tab w:leader="none" w:pos="1508" w:val="left"/>
          <w:tab w:leader="none" w:pos="3068" w:val="left"/>
          <w:tab w:leader="none" w:pos="4588" w:val="left"/>
        </w:tabs>
        <w:rPr>
          <w:sz w:val="20"/>
          <w:szCs w:val="20"/>
          <w:color w:val="auto"/>
        </w:rPr>
      </w:pPr>
      <w:r>
        <w:rPr>
          <w:rFonts w:ascii="Arial" w:cs="Arial" w:eastAsia="Arial" w:hAnsi="Arial"/>
          <w:sz w:val="11"/>
          <w:szCs w:val="11"/>
          <w:color w:val="auto"/>
        </w:rPr>
        <w:t xml:space="preserve">Large accelerated filer </w:t>
      </w:r>
      <w:r>
        <w:rPr>
          <w:rFonts w:ascii="Arial" w:cs="Arial" w:eastAsia="Arial" w:hAnsi="Arial"/>
          <w:sz w:val="12"/>
          <w:szCs w:val="12"/>
          <w:color w:val="auto"/>
        </w:rPr>
        <w:t>o</w:t>
      </w:r>
      <w:r>
        <w:rPr>
          <w:sz w:val="20"/>
          <w:szCs w:val="20"/>
          <w:color w:val="auto"/>
        </w:rPr>
        <w:tab/>
      </w:r>
      <w:r>
        <w:rPr>
          <w:rFonts w:ascii="Arial" w:cs="Arial" w:eastAsia="Arial" w:hAnsi="Arial"/>
          <w:sz w:val="11"/>
          <w:szCs w:val="11"/>
          <w:color w:val="auto"/>
        </w:rPr>
        <w:t xml:space="preserve">Accelerated filer </w:t>
      </w:r>
      <w:r>
        <w:rPr>
          <w:rFonts w:ascii="Arial" w:cs="Arial" w:eastAsia="Arial" w:hAnsi="Arial"/>
          <w:sz w:val="12"/>
          <w:szCs w:val="12"/>
          <w:color w:val="auto"/>
        </w:rPr>
        <w:t>x</w:t>
      </w:r>
      <w:r>
        <w:rPr>
          <w:sz w:val="20"/>
          <w:szCs w:val="20"/>
          <w:color w:val="auto"/>
        </w:rPr>
        <w:tab/>
      </w:r>
      <w:r>
        <w:rPr>
          <w:rFonts w:ascii="Arial" w:cs="Arial" w:eastAsia="Arial" w:hAnsi="Arial"/>
          <w:sz w:val="11"/>
          <w:szCs w:val="11"/>
          <w:color w:val="auto"/>
        </w:rPr>
        <w:t xml:space="preserve">Non-accelerated filer </w:t>
      </w:r>
      <w:r>
        <w:rPr>
          <w:rFonts w:ascii="Arial" w:cs="Arial" w:eastAsia="Arial" w:hAnsi="Arial"/>
          <w:sz w:val="12"/>
          <w:szCs w:val="12"/>
          <w:color w:val="auto"/>
        </w:rPr>
        <w:t>o</w:t>
      </w:r>
      <w:r>
        <w:rPr>
          <w:sz w:val="20"/>
          <w:szCs w:val="20"/>
          <w:color w:val="auto"/>
        </w:rPr>
        <w:tab/>
      </w:r>
      <w:r>
        <w:rPr>
          <w:rFonts w:ascii="Arial" w:cs="Arial" w:eastAsia="Arial" w:hAnsi="Arial"/>
          <w:sz w:val="10"/>
          <w:szCs w:val="10"/>
          <w:color w:val="auto"/>
        </w:rPr>
        <w:t xml:space="preserve">Smaller Reporting Company </w:t>
      </w:r>
      <w:r>
        <w:rPr>
          <w:rFonts w:ascii="Arial" w:cs="Arial" w:eastAsia="Arial" w:hAnsi="Arial"/>
          <w:sz w:val="11"/>
          <w:szCs w:val="11"/>
          <w:color w:val="auto"/>
        </w:rPr>
        <w:t>o</w:t>
      </w:r>
    </w:p>
    <w:p>
      <w:pPr>
        <w:spacing w:after="0" w:line="186"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by check mark whether the registrant is a shell company (as defined in Rule 12b-2 of the Exchange Act). Yes o No x</w:t>
      </w:r>
    </w:p>
    <w:p>
      <w:pPr>
        <w:spacing w:after="0" w:line="186" w:lineRule="exact"/>
        <w:rPr>
          <w:sz w:val="24"/>
          <w:szCs w:val="24"/>
          <w:color w:val="auto"/>
        </w:rPr>
      </w:pPr>
    </w:p>
    <w:p>
      <w:pPr>
        <w:ind w:left="8"/>
        <w:spacing w:after="0"/>
        <w:rPr>
          <w:sz w:val="20"/>
          <w:szCs w:val="20"/>
          <w:color w:val="auto"/>
        </w:rPr>
      </w:pPr>
      <w:r>
        <w:rPr>
          <w:rFonts w:ascii="Arial" w:cs="Arial" w:eastAsia="Arial" w:hAnsi="Arial"/>
          <w:sz w:val="12"/>
          <w:szCs w:val="12"/>
          <w:color w:val="auto"/>
        </w:rPr>
        <w:t>The number of shares of common stock, par value $0.50 per share, outstanding July 1, 2010 was 29,112,602.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123190</wp:posOffset>
            </wp:positionV>
            <wp:extent cx="73177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269"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WINNEBAGO INDUSTRIES, INC.</w:t>
      </w:r>
    </w:p>
    <w:p>
      <w:pPr>
        <w:spacing w:after="0" w:line="177" w:lineRule="exact"/>
        <w:rPr>
          <w:sz w:val="24"/>
          <w:szCs w:val="24"/>
          <w:color w:val="auto"/>
        </w:rPr>
      </w:pPr>
    </w:p>
    <w:p>
      <w:pPr>
        <w:jc w:val="center"/>
        <w:ind w:right="52"/>
        <w:spacing w:after="0"/>
        <w:rPr>
          <w:sz w:val="20"/>
          <w:szCs w:val="20"/>
          <w:color w:val="auto"/>
        </w:rPr>
      </w:pPr>
      <w:r>
        <w:rPr>
          <w:rFonts w:ascii="Arial" w:cs="Arial" w:eastAsia="Arial" w:hAnsi="Arial"/>
          <w:sz w:val="12"/>
          <w:szCs w:val="12"/>
          <w:b w:val="1"/>
          <w:bCs w:val="1"/>
          <w:color w:val="auto"/>
        </w:rPr>
        <w:t>INDEX TO REPORT ON FORM 10-Q</w:t>
      </w:r>
    </w:p>
    <w:p>
      <w:pPr>
        <w:spacing w:after="0" w:line="200" w:lineRule="exact"/>
        <w:rPr>
          <w:sz w:val="24"/>
          <w:szCs w:val="24"/>
          <w:color w:val="auto"/>
        </w:rPr>
      </w:pPr>
    </w:p>
    <w:p>
      <w:pPr>
        <w:spacing w:after="0" w:line="358" w:lineRule="exact"/>
        <w:rPr>
          <w:sz w:val="24"/>
          <w:szCs w:val="24"/>
          <w:color w:val="auto"/>
        </w:rPr>
      </w:pPr>
    </w:p>
    <w:tbl>
      <w:tblPr>
        <w:tblLayout w:type="fixed"/>
        <w:tblInd w:w="8"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340" w:type="dxa"/>
            <w:vAlign w:val="bottom"/>
            <w:gridSpan w:val="6"/>
          </w:tcPr>
          <w:p>
            <w:pPr>
              <w:jc w:val="right"/>
              <w:ind w:right="2760"/>
              <w:spacing w:after="0"/>
              <w:rPr>
                <w:sz w:val="20"/>
                <w:szCs w:val="20"/>
                <w:color w:val="auto"/>
              </w:rPr>
            </w:pPr>
            <w:r>
              <w:rPr>
                <w:rFonts w:ascii="Arial" w:cs="Arial" w:eastAsia="Arial" w:hAnsi="Arial"/>
                <w:sz w:val="12"/>
                <w:szCs w:val="12"/>
                <w:color w:val="auto"/>
              </w:rPr>
              <w:t>Page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0000FF"/>
              </w:rPr>
              <w:t>PART I.</w:t>
            </w:r>
          </w:p>
        </w:tc>
        <w:tc>
          <w:tcPr>
            <w:tcW w:w="80" w:type="dxa"/>
            <w:vAlign w:val="bottom"/>
          </w:tcPr>
          <w:p>
            <w:pPr>
              <w:spacing w:after="0"/>
              <w:rPr>
                <w:sz w:val="13"/>
                <w:szCs w:val="13"/>
                <w:color w:val="auto"/>
              </w:rPr>
            </w:pPr>
          </w:p>
        </w:tc>
        <w:tc>
          <w:tcPr>
            <w:tcW w:w="1500" w:type="dxa"/>
            <w:vAlign w:val="bottom"/>
            <w:tcBorders>
              <w:bottom w:val="single" w:sz="8" w:color="0000FF"/>
            </w:tcBorders>
            <w:gridSpan w:val="7"/>
          </w:tcPr>
          <w:p>
            <w:pPr>
              <w:spacing w:after="0"/>
              <w:rPr>
                <w:rFonts w:ascii="Arial" w:cs="Arial" w:eastAsia="Arial" w:hAnsi="Arial"/>
                <w:sz w:val="12"/>
                <w:szCs w:val="12"/>
                <w:b w:val="1"/>
                <w:bCs w:val="1"/>
                <w:color w:val="0000FF"/>
                <w:w w:val="96"/>
              </w:rPr>
            </w:pPr>
            <w:hyperlink w:anchor="page1">
              <w:r>
                <w:rPr>
                  <w:rFonts w:ascii="Arial" w:cs="Arial" w:eastAsia="Arial" w:hAnsi="Arial"/>
                  <w:sz w:val="12"/>
                  <w:szCs w:val="12"/>
                  <w:b w:val="1"/>
                  <w:bCs w:val="1"/>
                  <w:color w:val="0000FF"/>
                  <w:w w:val="96"/>
                </w:rPr>
                <w:t>FINANCIAL INFORMATION</w:t>
              </w:r>
            </w:hyperlink>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top w:val="single" w:sz="8" w:color="auto"/>
              <w:bottom w:val="single" w:sz="8" w:color="auto"/>
            </w:tcBorders>
            <w:gridSpan w:val="3"/>
          </w:tcPr>
          <w:p>
            <w:pPr>
              <w:jc w:val="center"/>
              <w:spacing w:after="0"/>
              <w:rPr>
                <w:rFonts w:ascii="Arial" w:cs="Arial" w:eastAsia="Arial" w:hAnsi="Arial"/>
                <w:sz w:val="12"/>
                <w:szCs w:val="12"/>
                <w:color w:val="0000FF"/>
                <w:w w:val="89"/>
              </w:rPr>
            </w:pPr>
            <w:hyperlink w:anchor="page1">
              <w:r>
                <w:rPr>
                  <w:rFonts w:ascii="Arial" w:cs="Arial" w:eastAsia="Arial" w:hAnsi="Arial"/>
                  <w:sz w:val="12"/>
                  <w:szCs w:val="12"/>
                  <w:color w:val="0000FF"/>
                  <w:w w:val="89"/>
                </w:rPr>
                <w:t>1</w:t>
              </w:r>
            </w:hyperlink>
          </w:p>
        </w:tc>
        <w:tc>
          <w:tcPr>
            <w:tcW w:w="80" w:type="dxa"/>
            <w:vAlign w:val="bottom"/>
            <w:tcBorders>
              <w:top w:val="single" w:sz="8" w:color="auto"/>
              <w:bottom w:val="single" w:sz="8" w:color="auto"/>
            </w:tcBorders>
          </w:tcPr>
          <w:p>
            <w:pPr>
              <w:spacing w:after="0"/>
              <w:rPr>
                <w:sz w:val="13"/>
                <w:szCs w:val="13"/>
                <w:color w:val="auto"/>
              </w:rPr>
            </w:pP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5"/>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ITEM 1.</w:t>
              </w:r>
            </w:hyperlink>
          </w:p>
        </w:tc>
        <w:tc>
          <w:tcPr>
            <w:tcW w:w="80" w:type="dxa"/>
            <w:vAlign w:val="bottom"/>
          </w:tcPr>
          <w:p>
            <w:pPr>
              <w:spacing w:after="0"/>
              <w:rPr>
                <w:sz w:val="16"/>
                <w:szCs w:val="16"/>
                <w:color w:val="auto"/>
              </w:rPr>
            </w:pPr>
          </w:p>
        </w:tc>
        <w:tc>
          <w:tcPr>
            <w:tcW w:w="3440" w:type="dxa"/>
            <w:vAlign w:val="bottom"/>
            <w:gridSpan w:val="15"/>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Condensed Financial Statements</w:t>
              </w:r>
            </w:hyperlink>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gridSpan w:val="4"/>
            <w:vMerge w:val="restart"/>
          </w:tcPr>
          <w:p>
            <w:pPr>
              <w:jc w:val="center"/>
              <w:ind w:left="301"/>
              <w:spacing w:after="0"/>
              <w:rPr>
                <w:rFonts w:ascii="Arial" w:cs="Arial" w:eastAsia="Arial" w:hAnsi="Arial"/>
                <w:sz w:val="12"/>
                <w:szCs w:val="12"/>
                <w:color w:val="0000FF"/>
                <w:w w:val="89"/>
              </w:rPr>
            </w:pPr>
            <w:hyperlink w:anchor="page1">
              <w:r>
                <w:rPr>
                  <w:rFonts w:ascii="Arial" w:cs="Arial" w:eastAsia="Arial" w:hAnsi="Arial"/>
                  <w:sz w:val="12"/>
                  <w:szCs w:val="12"/>
                  <w:color w:val="0000FF"/>
                  <w:w w:val="89"/>
                </w:rPr>
                <w:t>1</w:t>
              </w:r>
            </w:hyperlink>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4"/>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320" w:type="dxa"/>
            <w:vAlign w:val="bottom"/>
            <w:gridSpan w:val="14"/>
          </w:tcPr>
          <w:p>
            <w:pPr>
              <w:spacing w:after="0" w:line="106" w:lineRule="exact"/>
              <w:rPr>
                <w:rFonts w:ascii="Arial" w:cs="Arial" w:eastAsia="Arial" w:hAnsi="Arial"/>
                <w:sz w:val="12"/>
                <w:szCs w:val="12"/>
                <w:color w:val="0000FF"/>
              </w:rPr>
            </w:pPr>
            <w:hyperlink w:anchor="page1">
              <w:r>
                <w:rPr>
                  <w:rFonts w:ascii="Arial" w:cs="Arial" w:eastAsia="Arial" w:hAnsi="Arial"/>
                  <w:sz w:val="12"/>
                  <w:szCs w:val="12"/>
                  <w:color w:val="0000FF"/>
                </w:rPr>
                <w:t>Unaudited Statements of Operations</w:t>
              </w:r>
            </w:hyperlink>
          </w:p>
        </w:tc>
        <w:tc>
          <w:tcPr>
            <w:tcW w:w="6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0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560" w:type="dxa"/>
            <w:vAlign w:val="bottom"/>
            <w:tcBorders>
              <w:bottom w:val="single" w:sz="8" w:color="0000FF"/>
            </w:tcBorders>
            <w:gridSpan w:val="3"/>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5"/>
          </w:tcPr>
          <w:p>
            <w:pPr>
              <w:spacing w:after="0" w:line="105" w:lineRule="exact"/>
              <w:rPr>
                <w:rFonts w:ascii="Arial" w:cs="Arial" w:eastAsia="Arial" w:hAnsi="Arial"/>
                <w:sz w:val="12"/>
                <w:szCs w:val="12"/>
                <w:color w:val="0000FF"/>
              </w:rPr>
            </w:pPr>
            <w:hyperlink w:anchor="page2">
              <w:r>
                <w:rPr>
                  <w:rFonts w:ascii="Arial" w:cs="Arial" w:eastAsia="Arial" w:hAnsi="Arial"/>
                  <w:sz w:val="12"/>
                  <w:szCs w:val="12"/>
                  <w:color w:val="0000FF"/>
                </w:rPr>
                <w:t>Unaudited Balance Sheets</w:t>
              </w:r>
            </w:hyperlink>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4"/>
          </w:tcPr>
          <w:p>
            <w:pPr>
              <w:jc w:val="center"/>
              <w:ind w:left="301"/>
              <w:spacing w:after="0" w:line="95" w:lineRule="exact"/>
              <w:rPr>
                <w:rFonts w:ascii="Arial" w:cs="Arial" w:eastAsia="Arial" w:hAnsi="Arial"/>
                <w:sz w:val="11"/>
                <w:szCs w:val="11"/>
                <w:color w:val="0000FF"/>
                <w:w w:val="97"/>
              </w:rPr>
            </w:pPr>
            <w:hyperlink w:anchor="page2">
              <w:r>
                <w:rPr>
                  <w:rFonts w:ascii="Arial" w:cs="Arial" w:eastAsia="Arial" w:hAnsi="Arial"/>
                  <w:sz w:val="11"/>
                  <w:szCs w:val="11"/>
                  <w:color w:val="0000FF"/>
                  <w:w w:val="97"/>
                </w:rPr>
                <w:t>2</w:t>
              </w:r>
            </w:hyperlink>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0000FF"/>
            </w:tcBorders>
            <w:gridSpan w:val="2"/>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40" w:type="dxa"/>
            <w:vAlign w:val="bottom"/>
            <w:gridSpan w:val="15"/>
          </w:tcPr>
          <w:p>
            <w:pPr>
              <w:spacing w:after="0" w:line="105" w:lineRule="exact"/>
              <w:rPr>
                <w:sz w:val="20"/>
                <w:szCs w:val="20"/>
                <w:color w:val="auto"/>
              </w:rPr>
            </w:pPr>
            <w:r>
              <w:rPr>
                <w:rFonts w:ascii="Arial" w:cs="Arial" w:eastAsia="Arial" w:hAnsi="Arial"/>
                <w:sz w:val="12"/>
                <w:szCs w:val="12"/>
                <w:color w:val="0000FF"/>
              </w:rPr>
              <w:t>Unaudited Statements of Cash Flows</w:t>
            </w:r>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4"/>
          </w:tcPr>
          <w:p>
            <w:pPr>
              <w:jc w:val="center"/>
              <w:ind w:left="301"/>
              <w:spacing w:after="0" w:line="95" w:lineRule="exact"/>
              <w:rPr>
                <w:sz w:val="20"/>
                <w:szCs w:val="20"/>
                <w:color w:val="auto"/>
              </w:rPr>
            </w:pPr>
            <w:r>
              <w:rPr>
                <w:rFonts w:ascii="Arial" w:cs="Arial" w:eastAsia="Arial" w:hAnsi="Arial"/>
                <w:sz w:val="11"/>
                <w:szCs w:val="11"/>
                <w:color w:val="0000FF"/>
                <w:w w:val="97"/>
              </w:rPr>
              <w:t>3</w:t>
            </w:r>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4"/>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3320" w:type="dxa"/>
            <w:vAlign w:val="bottom"/>
            <w:gridSpan w:val="14"/>
          </w:tcPr>
          <w:p>
            <w:pPr>
              <w:spacing w:after="0" w:line="105" w:lineRule="exact"/>
              <w:rPr>
                <w:rFonts w:ascii="Arial" w:cs="Arial" w:eastAsia="Arial" w:hAnsi="Arial"/>
                <w:sz w:val="12"/>
                <w:szCs w:val="12"/>
                <w:color w:val="0000FF"/>
              </w:rPr>
            </w:pPr>
            <w:hyperlink w:anchor="page3">
              <w:r>
                <w:rPr>
                  <w:rFonts w:ascii="Arial" w:cs="Arial" w:eastAsia="Arial" w:hAnsi="Arial"/>
                  <w:sz w:val="12"/>
                  <w:szCs w:val="12"/>
                  <w:color w:val="0000FF"/>
                </w:rPr>
                <w:t>Unaudited Notes to Financial Statements</w:t>
              </w:r>
            </w:hyperlink>
          </w:p>
        </w:tc>
        <w:tc>
          <w:tcPr>
            <w:tcW w:w="6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00" w:type="dxa"/>
            <w:vAlign w:val="bottom"/>
            <w:gridSpan w:val="4"/>
          </w:tcPr>
          <w:p>
            <w:pPr>
              <w:jc w:val="center"/>
              <w:ind w:left="301"/>
              <w:spacing w:after="0" w:line="95" w:lineRule="exact"/>
              <w:rPr>
                <w:rFonts w:ascii="Arial" w:cs="Arial" w:eastAsia="Arial" w:hAnsi="Arial"/>
                <w:sz w:val="11"/>
                <w:szCs w:val="11"/>
                <w:color w:val="0000FF"/>
                <w:w w:val="97"/>
              </w:rPr>
            </w:pPr>
            <w:hyperlink w:anchor="page3">
              <w:r>
                <w:rPr>
                  <w:rFonts w:ascii="Arial" w:cs="Arial" w:eastAsia="Arial" w:hAnsi="Arial"/>
                  <w:sz w:val="11"/>
                  <w:szCs w:val="11"/>
                  <w:color w:val="0000FF"/>
                  <w:w w:val="97"/>
                </w:rPr>
                <w:t>4</w:t>
              </w:r>
            </w:hyperlink>
          </w:p>
        </w:tc>
        <w:tc>
          <w:tcPr>
            <w:tcW w:w="80" w:type="dxa"/>
            <w:vAlign w:val="bottom"/>
          </w:tcPr>
          <w:p>
            <w:pPr>
              <w:spacing w:after="0"/>
              <w:rPr>
                <w:sz w:val="9"/>
                <w:szCs w:val="9"/>
                <w:color w:val="auto"/>
              </w:rPr>
            </w:pPr>
          </w:p>
        </w:tc>
        <w:tc>
          <w:tcPr>
            <w:tcW w:w="27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vMerge w:val="restart"/>
          </w:tcPr>
          <w:p>
            <w:pPr>
              <w:spacing w:after="0"/>
              <w:rPr>
                <w:rFonts w:ascii="Arial" w:cs="Arial" w:eastAsia="Arial" w:hAnsi="Arial"/>
                <w:sz w:val="12"/>
                <w:szCs w:val="12"/>
                <w:color w:val="0000FF"/>
                <w:w w:val="95"/>
              </w:rPr>
            </w:pPr>
            <w:hyperlink w:anchor="page6">
              <w:r>
                <w:rPr>
                  <w:rFonts w:ascii="Arial" w:cs="Arial" w:eastAsia="Arial" w:hAnsi="Arial"/>
                  <w:sz w:val="12"/>
                  <w:szCs w:val="12"/>
                  <w:color w:val="0000FF"/>
                  <w:w w:val="95"/>
                </w:rPr>
                <w:t>ITEM 2.</w:t>
              </w:r>
            </w:hyperlink>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320" w:type="dxa"/>
            <w:vAlign w:val="bottom"/>
            <w:tcBorders>
              <w:bottom w:val="single" w:sz="8" w:color="0000FF"/>
            </w:tcBorders>
          </w:tcPr>
          <w:p>
            <w:pPr>
              <w:spacing w:after="0" w:line="20" w:lineRule="exact"/>
              <w:rPr>
                <w:sz w:val="1"/>
                <w:szCs w:val="1"/>
                <w:color w:val="auto"/>
              </w:rPr>
            </w:pPr>
          </w:p>
        </w:tc>
        <w:tc>
          <w:tcPr>
            <w:tcW w:w="340" w:type="dxa"/>
            <w:vAlign w:val="bottom"/>
            <w:tcBorders>
              <w:bottom w:val="single" w:sz="8" w:color="0000FF"/>
            </w:tcBorders>
          </w:tcPr>
          <w:p>
            <w:pPr>
              <w:spacing w:after="0" w:line="20" w:lineRule="exact"/>
              <w:rPr>
                <w:sz w:val="1"/>
                <w:szCs w:val="1"/>
                <w:color w:val="auto"/>
              </w:rPr>
            </w:pPr>
          </w:p>
        </w:tc>
        <w:tc>
          <w:tcPr>
            <w:tcW w:w="1020" w:type="dxa"/>
            <w:vAlign w:val="bottom"/>
            <w:tcBorders>
              <w:bottom w:val="single" w:sz="8" w:color="0000FF"/>
            </w:tcBorders>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Borders>
              <w:bottom w:val="single" w:sz="8" w:color="0000FF"/>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900" w:type="dxa"/>
            <w:vAlign w:val="bottom"/>
            <w:gridSpan w:val="18"/>
          </w:tcPr>
          <w:p>
            <w:pPr>
              <w:spacing w:after="0"/>
              <w:rPr>
                <w:rFonts w:ascii="Arial" w:cs="Arial" w:eastAsia="Arial" w:hAnsi="Arial"/>
                <w:sz w:val="12"/>
                <w:szCs w:val="12"/>
                <w:color w:val="0000FF"/>
              </w:rPr>
            </w:pPr>
            <w:hyperlink w:anchor="page6">
              <w:r>
                <w:rPr>
                  <w:rFonts w:ascii="Arial" w:cs="Arial" w:eastAsia="Arial" w:hAnsi="Arial"/>
                  <w:sz w:val="12"/>
                  <w:szCs w:val="12"/>
                  <w:color w:val="0000FF"/>
                </w:rPr>
                <w:t>Management's Discussion and Analysis of Financial Condition and Results of Operations</w:t>
              </w:r>
            </w:hyperlink>
          </w:p>
        </w:tc>
        <w:tc>
          <w:tcPr>
            <w:tcW w:w="360" w:type="dxa"/>
            <w:vAlign w:val="bottom"/>
            <w:gridSpan w:val="2"/>
          </w:tcPr>
          <w:p>
            <w:pPr>
              <w:spacing w:after="0"/>
              <w:rPr>
                <w:sz w:val="14"/>
                <w:szCs w:val="14"/>
                <w:color w:val="auto"/>
              </w:rPr>
            </w:pPr>
          </w:p>
        </w:tc>
        <w:tc>
          <w:tcPr>
            <w:tcW w:w="140" w:type="dxa"/>
            <w:vAlign w:val="bottom"/>
            <w:tcBorders>
              <w:bottom w:val="single" w:sz="8" w:color="0000FF"/>
            </w:tcBorders>
            <w:gridSpan w:val="2"/>
          </w:tcPr>
          <w:p>
            <w:pPr>
              <w:jc w:val="center"/>
              <w:spacing w:after="0" w:line="129" w:lineRule="exact"/>
              <w:rPr>
                <w:rFonts w:ascii="Arial" w:cs="Arial" w:eastAsia="Arial" w:hAnsi="Arial"/>
                <w:sz w:val="12"/>
                <w:szCs w:val="12"/>
                <w:color w:val="0000FF"/>
              </w:rPr>
            </w:pPr>
            <w:hyperlink w:anchor="page6">
              <w:r>
                <w:rPr>
                  <w:rFonts w:ascii="Arial" w:cs="Arial" w:eastAsia="Arial" w:hAnsi="Arial"/>
                  <w:sz w:val="12"/>
                  <w:szCs w:val="12"/>
                  <w:color w:val="0000FF"/>
                </w:rPr>
                <w:t>11</w:t>
              </w:r>
            </w:hyperlink>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ITEM 3.</w:t>
              </w:r>
            </w:hyperlink>
          </w:p>
        </w:tc>
        <w:tc>
          <w:tcPr>
            <w:tcW w:w="80" w:type="dxa"/>
            <w:vAlign w:val="bottom"/>
          </w:tcPr>
          <w:p>
            <w:pPr>
              <w:spacing w:after="0"/>
              <w:rPr>
                <w:sz w:val="12"/>
                <w:szCs w:val="12"/>
                <w:color w:val="auto"/>
              </w:rPr>
            </w:pPr>
          </w:p>
        </w:tc>
        <w:tc>
          <w:tcPr>
            <w:tcW w:w="3440" w:type="dxa"/>
            <w:vAlign w:val="bottom"/>
            <w:tcBorders>
              <w:top w:val="single" w:sz="8" w:color="0000FF"/>
            </w:tcBorders>
            <w:gridSpan w:val="1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Quantitative and Qualitative Disclosures About Market Risk</w:t>
              </w:r>
            </w:hyperlink>
          </w:p>
        </w:tc>
        <w:tc>
          <w:tcPr>
            <w:tcW w:w="620" w:type="dxa"/>
            <w:vAlign w:val="bottom"/>
            <w:tcBorders>
              <w:top w:val="single" w:sz="8" w:color="0000FF"/>
            </w:tcBorders>
          </w:tcPr>
          <w:p>
            <w:pPr>
              <w:spacing w:after="0"/>
              <w:rPr>
                <w:sz w:val="12"/>
                <w:szCs w:val="12"/>
                <w:color w:val="auto"/>
              </w:rPr>
            </w:pPr>
          </w:p>
        </w:tc>
        <w:tc>
          <w:tcPr>
            <w:tcW w:w="640" w:type="dxa"/>
            <w:vAlign w:val="bottom"/>
            <w:tcBorders>
              <w:top w:val="single" w:sz="8" w:color="0000FF"/>
            </w:tcBorders>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40" w:type="dxa"/>
            <w:vAlign w:val="bottom"/>
            <w:tcBorders>
              <w:bottom w:val="single" w:sz="8" w:color="0000FF"/>
            </w:tcBorders>
            <w:gridSpan w:val="2"/>
          </w:tcPr>
          <w:p>
            <w:pPr>
              <w:jc w:val="center"/>
              <w:spacing w:after="0" w:line="128" w:lineRule="exact"/>
              <w:rPr>
                <w:rFonts w:ascii="Arial" w:cs="Arial" w:eastAsia="Arial" w:hAnsi="Arial"/>
                <w:sz w:val="12"/>
                <w:szCs w:val="12"/>
                <w:color w:val="0000FF"/>
              </w:rPr>
            </w:pPr>
            <w:hyperlink w:anchor="page11">
              <w:r>
                <w:rPr>
                  <w:rFonts w:ascii="Arial" w:cs="Arial" w:eastAsia="Arial" w:hAnsi="Arial"/>
                  <w:sz w:val="12"/>
                  <w:szCs w:val="12"/>
                  <w:color w:val="0000FF"/>
                </w:rPr>
                <w:t>22</w:t>
              </w:r>
            </w:hyperlink>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vMerge w:val="restart"/>
          </w:tcPr>
          <w:p>
            <w:pPr>
              <w:jc w:val="center"/>
              <w:ind w:left="221"/>
              <w:spacing w:after="0"/>
              <w:rPr>
                <w:rFonts w:ascii="Arial" w:cs="Arial" w:eastAsia="Arial" w:hAnsi="Arial"/>
                <w:sz w:val="12"/>
                <w:szCs w:val="12"/>
                <w:color w:val="0000FF"/>
              </w:rPr>
            </w:pPr>
            <w:hyperlink w:anchor="page11">
              <w:r>
                <w:rPr>
                  <w:rFonts w:ascii="Arial" w:cs="Arial" w:eastAsia="Arial" w:hAnsi="Arial"/>
                  <w:sz w:val="12"/>
                  <w:szCs w:val="12"/>
                  <w:color w:val="0000FF"/>
                </w:rPr>
                <w:t>22</w:t>
              </w:r>
            </w:hyperlink>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ITEM 4.</w:t>
              </w:r>
            </w:hyperlink>
          </w:p>
        </w:tc>
        <w:tc>
          <w:tcPr>
            <w:tcW w:w="80" w:type="dxa"/>
            <w:vAlign w:val="bottom"/>
          </w:tcPr>
          <w:p>
            <w:pPr>
              <w:spacing w:after="0"/>
              <w:rPr>
                <w:sz w:val="12"/>
                <w:szCs w:val="12"/>
                <w:color w:val="auto"/>
              </w:rPr>
            </w:pPr>
          </w:p>
        </w:tc>
        <w:tc>
          <w:tcPr>
            <w:tcW w:w="3440" w:type="dxa"/>
            <w:vAlign w:val="bottom"/>
            <w:gridSpan w:val="1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Controls and Procedures</w:t>
              </w:r>
            </w:hyperlink>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90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0000FF"/>
                <w:w w:val="95"/>
              </w:rPr>
              <w:t>PART II.</w:t>
            </w:r>
          </w:p>
        </w:tc>
        <w:tc>
          <w:tcPr>
            <w:tcW w:w="3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3440" w:type="dxa"/>
            <w:vAlign w:val="bottom"/>
            <w:gridSpan w:val="15"/>
          </w:tcPr>
          <w:p>
            <w:pPr>
              <w:spacing w:after="0"/>
              <w:rPr>
                <w:rFonts w:ascii="Arial" w:cs="Arial" w:eastAsia="Arial" w:hAnsi="Arial"/>
                <w:sz w:val="12"/>
                <w:szCs w:val="12"/>
                <w:b w:val="1"/>
                <w:bCs w:val="1"/>
                <w:color w:val="0000FF"/>
              </w:rPr>
            </w:pPr>
            <w:hyperlink w:anchor="page11">
              <w:r>
                <w:rPr>
                  <w:rFonts w:ascii="Arial" w:cs="Arial" w:eastAsia="Arial" w:hAnsi="Arial"/>
                  <w:sz w:val="12"/>
                  <w:szCs w:val="12"/>
                  <w:b w:val="1"/>
                  <w:bCs w:val="1"/>
                  <w:color w:val="0000FF"/>
                </w:rPr>
                <w:t>OTHER INFORMATION</w:t>
              </w:r>
            </w:hyperlink>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gridSpan w:val="5"/>
          </w:tcPr>
          <w:p>
            <w:pPr>
              <w:jc w:val="center"/>
              <w:ind w:left="221"/>
              <w:spacing w:after="0"/>
              <w:rPr>
                <w:rFonts w:ascii="Arial" w:cs="Arial" w:eastAsia="Arial" w:hAnsi="Arial"/>
                <w:sz w:val="12"/>
                <w:szCs w:val="12"/>
                <w:color w:val="0000FF"/>
              </w:rPr>
            </w:pPr>
            <w:hyperlink w:anchor="page11">
              <w:r>
                <w:rPr>
                  <w:rFonts w:ascii="Arial" w:cs="Arial" w:eastAsia="Arial" w:hAnsi="Arial"/>
                  <w:sz w:val="12"/>
                  <w:szCs w:val="12"/>
                  <w:color w:val="0000FF"/>
                </w:rPr>
                <w:t>23</w:t>
              </w:r>
            </w:hyperlink>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0000FF"/>
            </w:tcBorders>
            <w:gridSpan w:val="2"/>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ITEM 1.</w:t>
              </w:r>
            </w:hyperlink>
          </w:p>
        </w:tc>
        <w:tc>
          <w:tcPr>
            <w:tcW w:w="360" w:type="dxa"/>
            <w:vAlign w:val="bottom"/>
            <w:gridSpan w:val="3"/>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0000FF"/>
            </w:tcBorders>
            <w:gridSpan w:val="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Legal Proceedings</w:t>
              </w:r>
            </w:hyperlink>
          </w:p>
        </w:tc>
        <w:tc>
          <w:tcPr>
            <w:tcW w:w="2140" w:type="dxa"/>
            <w:vAlign w:val="bottom"/>
            <w:gridSpan w:val="10"/>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spacing w:after="0"/>
              <w:rPr>
                <w:sz w:val="12"/>
                <w:szCs w:val="12"/>
                <w:color w:val="auto"/>
              </w:rPr>
            </w:pPr>
          </w:p>
        </w:tc>
        <w:tc>
          <w:tcPr>
            <w:tcW w:w="140" w:type="dxa"/>
            <w:vAlign w:val="bottom"/>
            <w:tcBorders>
              <w:top w:val="single" w:sz="8" w:color="0000FF"/>
              <w:bottom w:val="single" w:sz="8" w:color="0000FF"/>
            </w:tcBorders>
            <w:gridSpan w:val="2"/>
          </w:tcPr>
          <w:p>
            <w:pPr>
              <w:jc w:val="center"/>
              <w:spacing w:after="0" w:line="129" w:lineRule="exact"/>
              <w:rPr>
                <w:rFonts w:ascii="Arial" w:cs="Arial" w:eastAsia="Arial" w:hAnsi="Arial"/>
                <w:sz w:val="12"/>
                <w:szCs w:val="12"/>
                <w:color w:val="0000FF"/>
              </w:rPr>
            </w:pPr>
            <w:hyperlink w:anchor="page11">
              <w:r>
                <w:rPr>
                  <w:rFonts w:ascii="Arial" w:cs="Arial" w:eastAsia="Arial" w:hAnsi="Arial"/>
                  <w:sz w:val="12"/>
                  <w:szCs w:val="12"/>
                  <w:color w:val="0000FF"/>
                </w:rPr>
                <w:t>23</w:t>
              </w:r>
            </w:hyperlink>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2"/>
                <w:szCs w:val="12"/>
                <w:color w:val="0000FF"/>
              </w:rPr>
            </w:pPr>
            <w:hyperlink w:anchor="page11">
              <w:r>
                <w:rPr>
                  <w:rFonts w:ascii="Arial" w:cs="Arial" w:eastAsia="Arial" w:hAnsi="Arial"/>
                  <w:sz w:val="12"/>
                  <w:szCs w:val="12"/>
                  <w:color w:val="0000FF"/>
                </w:rPr>
                <w:t>23</w:t>
              </w:r>
            </w:hyperlink>
          </w:p>
        </w:tc>
        <w:tc>
          <w:tcPr>
            <w:tcW w:w="8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5"/>
          </w:tcPr>
          <w:p>
            <w:pPr>
              <w:spacing w:after="0"/>
              <w:rPr>
                <w:rFonts w:ascii="Arial" w:cs="Arial" w:eastAsia="Arial" w:hAnsi="Arial"/>
                <w:sz w:val="12"/>
                <w:szCs w:val="12"/>
                <w:color w:val="0000FF"/>
              </w:rPr>
            </w:pPr>
            <w:r>
              <w:rPr>
                <w:rFonts w:ascii="Arial" w:cs="Arial" w:eastAsia="Arial" w:hAnsi="Arial"/>
                <w:sz w:val="12"/>
                <w:szCs w:val="12"/>
                <w:color w:val="0000FF"/>
              </w:rPr>
              <w:t xml:space="preserve">ITEM </w:t>
            </w:r>
            <w:hyperlink w:anchor="page11">
              <w:r>
                <w:rPr>
                  <w:rFonts w:ascii="Arial" w:cs="Arial" w:eastAsia="Arial" w:hAnsi="Arial"/>
                  <w:sz w:val="12"/>
                  <w:szCs w:val="12"/>
                  <w:color w:val="0000FF"/>
                </w:rPr>
                <w:t>1A.</w:t>
              </w:r>
            </w:hyperlink>
          </w:p>
        </w:tc>
        <w:tc>
          <w:tcPr>
            <w:tcW w:w="80" w:type="dxa"/>
            <w:vAlign w:val="bottom"/>
          </w:tcPr>
          <w:p>
            <w:pPr>
              <w:spacing w:after="0"/>
              <w:rPr>
                <w:sz w:val="21"/>
                <w:szCs w:val="21"/>
                <w:color w:val="auto"/>
              </w:rPr>
            </w:pPr>
          </w:p>
        </w:tc>
        <w:tc>
          <w:tcPr>
            <w:tcW w:w="3440" w:type="dxa"/>
            <w:vAlign w:val="bottom"/>
            <w:gridSpan w:val="1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Risk Factors</w:t>
              </w:r>
            </w:hyperlink>
          </w:p>
        </w:tc>
        <w:tc>
          <w:tcPr>
            <w:tcW w:w="6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140" w:type="dxa"/>
            <w:vAlign w:val="bottom"/>
            <w:tcBorders>
              <w:bottom w:val="single" w:sz="8" w:color="0000FF"/>
            </w:tcBorders>
            <w:gridSpan w:val="2"/>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560" w:type="dxa"/>
            <w:vAlign w:val="bottom"/>
            <w:gridSpan w:val="1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vMerge w:val="restart"/>
          </w:tcPr>
          <w:p>
            <w:pPr>
              <w:spacing w:after="0" w:line="20" w:lineRule="exact"/>
              <w:rPr>
                <w:sz w:val="1"/>
                <w:szCs w:val="1"/>
                <w:color w:val="auto"/>
              </w:rPr>
            </w:pPr>
          </w:p>
        </w:tc>
        <w:tc>
          <w:tcPr>
            <w:tcW w:w="140" w:type="dxa"/>
            <w:vAlign w:val="bottom"/>
            <w:gridSpan w:val="2"/>
            <w:vMerge w:val="restart"/>
          </w:tcPr>
          <w:p>
            <w:pPr>
              <w:jc w:val="center"/>
              <w:spacing w:after="0"/>
              <w:rPr>
                <w:rFonts w:ascii="Arial" w:cs="Arial" w:eastAsia="Arial" w:hAnsi="Arial"/>
                <w:sz w:val="12"/>
                <w:szCs w:val="12"/>
                <w:color w:val="0000FF"/>
              </w:rPr>
            </w:pPr>
            <w:hyperlink w:anchor="page11">
              <w:r>
                <w:rPr>
                  <w:rFonts w:ascii="Arial" w:cs="Arial" w:eastAsia="Arial" w:hAnsi="Arial"/>
                  <w:sz w:val="12"/>
                  <w:szCs w:val="12"/>
                  <w:color w:val="0000FF"/>
                </w:rPr>
                <w:t>23</w:t>
              </w:r>
            </w:hyperlink>
          </w:p>
        </w:tc>
        <w:tc>
          <w:tcPr>
            <w:tcW w:w="80" w:type="dxa"/>
            <w:vAlign w:val="bottom"/>
            <w:vMerge w:val="restart"/>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3"/>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ITEM 2.</w:t>
              </w:r>
            </w:hyperlink>
          </w:p>
        </w:tc>
        <w:tc>
          <w:tcPr>
            <w:tcW w:w="32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440" w:type="dxa"/>
            <w:vAlign w:val="bottom"/>
            <w:gridSpan w:val="1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Unregistered Sales of Equity Securities and Use of Proceeds</w:t>
              </w:r>
            </w:hyperlink>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vMerge w:val="continue"/>
          </w:tcPr>
          <w:p>
            <w:pPr>
              <w:spacing w:after="0"/>
              <w:rPr>
                <w:sz w:val="12"/>
                <w:szCs w:val="12"/>
                <w:color w:val="auto"/>
              </w:rPr>
            </w:pPr>
          </w:p>
        </w:tc>
        <w:tc>
          <w:tcPr>
            <w:tcW w:w="140" w:type="dxa"/>
            <w:vAlign w:val="bottom"/>
            <w:tcBorders>
              <w:bottom w:val="single" w:sz="8" w:color="0000FF"/>
            </w:tcBorders>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800" w:type="dxa"/>
            <w:vAlign w:val="bottom"/>
            <w:gridSpan w:val="1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vMerge w:val="restart"/>
          </w:tcPr>
          <w:p>
            <w:pPr>
              <w:jc w:val="center"/>
              <w:ind w:left="221"/>
              <w:spacing w:after="0"/>
              <w:rPr>
                <w:rFonts w:ascii="Arial" w:cs="Arial" w:eastAsia="Arial" w:hAnsi="Arial"/>
                <w:sz w:val="12"/>
                <w:szCs w:val="12"/>
                <w:color w:val="0000FF"/>
              </w:rPr>
            </w:pPr>
            <w:hyperlink w:anchor="page11">
              <w:r>
                <w:rPr>
                  <w:rFonts w:ascii="Arial" w:cs="Arial" w:eastAsia="Arial" w:hAnsi="Arial"/>
                  <w:sz w:val="12"/>
                  <w:szCs w:val="12"/>
                  <w:color w:val="0000FF"/>
                </w:rPr>
                <w:t>24</w:t>
              </w:r>
            </w:hyperlink>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ITEM 6.</w:t>
              </w:r>
            </w:hyperlink>
          </w:p>
        </w:tc>
        <w:tc>
          <w:tcPr>
            <w:tcW w:w="80" w:type="dxa"/>
            <w:vAlign w:val="bottom"/>
          </w:tcPr>
          <w:p>
            <w:pPr>
              <w:spacing w:after="0"/>
              <w:rPr>
                <w:sz w:val="12"/>
                <w:szCs w:val="12"/>
                <w:color w:val="auto"/>
              </w:rPr>
            </w:pPr>
          </w:p>
        </w:tc>
        <w:tc>
          <w:tcPr>
            <w:tcW w:w="3440" w:type="dxa"/>
            <w:vAlign w:val="bottom"/>
            <w:gridSpan w:val="15"/>
          </w:tcPr>
          <w:p>
            <w:pPr>
              <w:spacing w:after="0"/>
              <w:rPr>
                <w:rFonts w:ascii="Arial" w:cs="Arial" w:eastAsia="Arial" w:hAnsi="Arial"/>
                <w:sz w:val="12"/>
                <w:szCs w:val="12"/>
                <w:color w:val="0000FF"/>
              </w:rPr>
            </w:pPr>
            <w:hyperlink w:anchor="page11">
              <w:r>
                <w:rPr>
                  <w:rFonts w:ascii="Arial" w:cs="Arial" w:eastAsia="Arial" w:hAnsi="Arial"/>
                  <w:sz w:val="12"/>
                  <w:szCs w:val="12"/>
                  <w:color w:val="0000FF"/>
                </w:rPr>
                <w:t>Exhibits</w:t>
              </w:r>
            </w:hyperlink>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gridSpan w:val="5"/>
            <w:vMerge w:val="continue"/>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5"/>
          </w:tcPr>
          <w:p>
            <w:pPr>
              <w:spacing w:after="0"/>
              <w:rPr>
                <w:rFonts w:ascii="Arial" w:cs="Arial" w:eastAsia="Arial" w:hAnsi="Arial"/>
                <w:sz w:val="12"/>
                <w:szCs w:val="12"/>
                <w:b w:val="1"/>
                <w:bCs w:val="1"/>
                <w:color w:val="0000EE"/>
              </w:rPr>
            </w:pPr>
            <w:hyperlink w:anchor="page12">
              <w:r>
                <w:rPr>
                  <w:rFonts w:ascii="Arial" w:cs="Arial" w:eastAsia="Arial" w:hAnsi="Arial"/>
                  <w:sz w:val="12"/>
                  <w:szCs w:val="12"/>
                  <w:b w:val="1"/>
                  <w:bCs w:val="1"/>
                  <w:color w:val="0000EE"/>
                </w:rPr>
                <w:t>SIGNATURES</w:t>
              </w:r>
            </w:hyperlink>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5"/>
          </w:tcPr>
          <w:p>
            <w:pPr>
              <w:jc w:val="center"/>
              <w:ind w:left="221"/>
              <w:spacing w:after="0"/>
              <w:rPr>
                <w:rFonts w:ascii="Arial" w:cs="Arial" w:eastAsia="Arial" w:hAnsi="Arial"/>
                <w:sz w:val="12"/>
                <w:szCs w:val="12"/>
                <w:color w:val="0000FF"/>
              </w:rPr>
            </w:pPr>
            <w:hyperlink w:anchor="page12">
              <w:r>
                <w:rPr>
                  <w:rFonts w:ascii="Arial" w:cs="Arial" w:eastAsia="Arial" w:hAnsi="Arial"/>
                  <w:sz w:val="12"/>
                  <w:szCs w:val="12"/>
                  <w:color w:val="0000FF"/>
                </w:rPr>
                <w:t>24</w:t>
              </w:r>
            </w:hyperlink>
          </w:p>
        </w:tc>
        <w:tc>
          <w:tcPr>
            <w:tcW w:w="2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2"/>
        </w:trPr>
        <w:tc>
          <w:tcPr>
            <w:tcW w:w="6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2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00" w:type="dxa"/>
            <w:vAlign w:val="bottom"/>
          </w:tcPr>
          <w:p>
            <w:pPr>
              <w:spacing w:after="0"/>
              <w:rPr>
                <w:sz w:val="16"/>
                <w:szCs w:val="16"/>
                <w:color w:val="auto"/>
              </w:rPr>
            </w:pPr>
          </w:p>
        </w:tc>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0"/>
        </w:trPr>
        <w:tc>
          <w:tcPr>
            <w:tcW w:w="2220" w:type="dxa"/>
            <w:vAlign w:val="bottom"/>
            <w:gridSpan w:val="4"/>
          </w:tcPr>
          <w:p>
            <w:pPr>
              <w:spacing w:after="0"/>
              <w:rPr>
                <w:sz w:val="20"/>
                <w:szCs w:val="20"/>
                <w:color w:val="auto"/>
              </w:rPr>
            </w:pPr>
            <w:r>
              <w:rPr>
                <w:rFonts w:ascii="Arial" w:cs="Arial" w:eastAsia="Arial" w:hAnsi="Arial"/>
                <w:sz w:val="12"/>
                <w:szCs w:val="12"/>
                <w:b w:val="1"/>
                <w:bCs w:val="1"/>
                <w:color w:val="auto"/>
              </w:rPr>
              <w:t>PART I. FINANCIAL INFORMATION</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8"/>
        </w:trPr>
        <w:tc>
          <w:tcPr>
            <w:tcW w:w="2220" w:type="dxa"/>
            <w:vAlign w:val="bottom"/>
            <w:gridSpan w:val="4"/>
          </w:tcPr>
          <w:p>
            <w:pPr>
              <w:spacing w:after="0"/>
              <w:rPr>
                <w:sz w:val="20"/>
                <w:szCs w:val="20"/>
                <w:color w:val="auto"/>
              </w:rPr>
            </w:pPr>
            <w:r>
              <w:rPr>
                <w:rFonts w:ascii="Arial" w:cs="Arial" w:eastAsia="Arial" w:hAnsi="Arial"/>
                <w:sz w:val="12"/>
                <w:szCs w:val="12"/>
                <w:b w:val="1"/>
                <w:bCs w:val="1"/>
                <w:color w:val="auto"/>
                <w:w w:val="93"/>
              </w:rPr>
              <w:t>ITEM 1. Condensed Financial Statements</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220" w:type="dxa"/>
            <w:vAlign w:val="bottom"/>
            <w:gridSpan w:val="4"/>
          </w:tcPr>
          <w:p>
            <w:pPr>
              <w:spacing w:after="0"/>
              <w:rPr>
                <w:sz w:val="20"/>
                <w:szCs w:val="20"/>
                <w:color w:val="auto"/>
              </w:rPr>
            </w:pPr>
            <w:r>
              <w:rPr>
                <w:rFonts w:ascii="Arial" w:cs="Arial" w:eastAsia="Arial" w:hAnsi="Arial"/>
                <w:sz w:val="12"/>
                <w:szCs w:val="12"/>
                <w:b w:val="1"/>
                <w:bCs w:val="1"/>
                <w:color w:val="auto"/>
              </w:rPr>
              <w:t>Winnebago Industries, Inc.</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20" w:type="dxa"/>
            <w:vAlign w:val="bottom"/>
            <w:gridSpan w:val="4"/>
          </w:tcPr>
          <w:p>
            <w:pPr>
              <w:spacing w:after="0"/>
              <w:rPr>
                <w:sz w:val="20"/>
                <w:szCs w:val="20"/>
                <w:color w:val="auto"/>
              </w:rPr>
            </w:pPr>
            <w:r>
              <w:rPr>
                <w:rFonts w:ascii="Arial" w:cs="Arial" w:eastAsia="Arial" w:hAnsi="Arial"/>
                <w:sz w:val="12"/>
                <w:szCs w:val="12"/>
                <w:b w:val="1"/>
                <w:bCs w:val="1"/>
                <w:color w:val="auto"/>
              </w:rPr>
              <w:t>Unaudited Statements of Operations</w:t>
            </w: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2"/>
        </w:trPr>
        <w:tc>
          <w:tcPr>
            <w:tcW w:w="600" w:type="dxa"/>
            <w:vAlign w:val="bottom"/>
          </w:tcPr>
          <w:p>
            <w:pPr>
              <w:spacing w:after="0"/>
              <w:rPr>
                <w:sz w:val="21"/>
                <w:szCs w:val="21"/>
                <w:color w:val="auto"/>
              </w:rPr>
            </w:pP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(In</w:t>
            </w:r>
          </w:p>
        </w:tc>
        <w:tc>
          <w:tcPr>
            <w:tcW w:w="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gridSpan w:val="4"/>
          </w:tcPr>
          <w:p>
            <w:pPr>
              <w:ind w:left="140"/>
              <w:spacing w:after="0"/>
              <w:rPr>
                <w:sz w:val="20"/>
                <w:szCs w:val="20"/>
                <w:color w:val="auto"/>
              </w:rPr>
            </w:pPr>
            <w:r>
              <w:rPr>
                <w:rFonts w:ascii="Arial" w:cs="Arial" w:eastAsia="Arial" w:hAnsi="Arial"/>
                <w:sz w:val="12"/>
                <w:szCs w:val="12"/>
                <w:b w:val="1"/>
                <w:bCs w:val="1"/>
                <w:color w:val="auto"/>
              </w:rPr>
              <w:t>Quarter Ended</w:t>
            </w:r>
          </w:p>
        </w:tc>
        <w:tc>
          <w:tcPr>
            <w:tcW w:w="6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01"/>
        </w:trPr>
        <w:tc>
          <w:tcPr>
            <w:tcW w:w="6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3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2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thousands, except per</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0" w:type="dxa"/>
            <w:vAlign w:val="bottom"/>
            <w:gridSpan w:val="12"/>
          </w:tcPr>
          <w:p>
            <w:pPr>
              <w:ind w:left="20"/>
              <w:spacing w:after="0" w:line="135" w:lineRule="exact"/>
              <w:rPr>
                <w:sz w:val="20"/>
                <w:szCs w:val="20"/>
                <w:color w:val="auto"/>
              </w:rPr>
            </w:pPr>
            <w:r>
              <w:rPr>
                <w:rFonts w:ascii="Arial" w:cs="Arial" w:eastAsia="Arial" w:hAnsi="Arial"/>
                <w:sz w:val="12"/>
                <w:szCs w:val="12"/>
                <w:b w:val="1"/>
                <w:bCs w:val="1"/>
                <w:color w:val="auto"/>
              </w:rPr>
              <w:t>May 29,</w:t>
            </w: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40" w:type="dxa"/>
            <w:vAlign w:val="bottom"/>
            <w:gridSpan w:val="6"/>
          </w:tcPr>
          <w:p>
            <w:pPr>
              <w:jc w:val="right"/>
              <w:ind w:right="2900"/>
              <w:spacing w:after="0" w:line="135" w:lineRule="exact"/>
              <w:rPr>
                <w:sz w:val="20"/>
                <w:szCs w:val="20"/>
                <w:color w:val="auto"/>
              </w:rPr>
            </w:pPr>
            <w:r>
              <w:rPr>
                <w:rFonts w:ascii="Arial" w:cs="Arial" w:eastAsia="Arial" w:hAnsi="Arial"/>
                <w:sz w:val="12"/>
                <w:szCs w:val="12"/>
                <w:b w:val="1"/>
                <w:bCs w:val="1"/>
                <w:color w:val="auto"/>
                <w:w w:val="96"/>
              </w:rPr>
              <w:t>May 30,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22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share data)</w:t>
            </w: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2"/>
                <w:szCs w:val="12"/>
                <w:b w:val="1"/>
                <w:bCs w:val="1"/>
                <w:color w:val="auto"/>
              </w:rPr>
              <w:t>2010</w:t>
            </w:r>
          </w:p>
        </w:tc>
        <w:tc>
          <w:tcPr>
            <w:tcW w:w="32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2009</w:t>
            </w:r>
          </w:p>
        </w:tc>
        <w:tc>
          <w:tcPr>
            <w:tcW w:w="3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7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ind w:left="260"/>
              <w:spacing w:after="0" w:line="134" w:lineRule="exact"/>
              <w:rPr>
                <w:sz w:val="20"/>
                <w:szCs w:val="20"/>
                <w:color w:val="auto"/>
              </w:rPr>
            </w:pPr>
            <w:r>
              <w:rPr>
                <w:rFonts w:ascii="Arial" w:cs="Arial" w:eastAsia="Arial" w:hAnsi="Arial"/>
                <w:sz w:val="12"/>
                <w:szCs w:val="12"/>
                <w:color w:val="auto"/>
              </w:rPr>
              <w:t>Net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134,813</w:t>
            </w: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2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revenues</w:t>
            </w:r>
          </w:p>
        </w:tc>
        <w:tc>
          <w:tcPr>
            <w:tcW w:w="540" w:type="dxa"/>
            <w:vAlign w:val="bottom"/>
            <w:gridSpan w:val="2"/>
            <w:shd w:val="clear" w:color="auto" w:fill="CCEEFF"/>
          </w:tcPr>
          <w:p>
            <w:pPr>
              <w:jc w:val="right"/>
              <w:ind w:right="320"/>
              <w:spacing w:after="0" w:line="136" w:lineRule="exact"/>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jc w:val="right"/>
              <w:ind w:right="360"/>
              <w:spacing w:after="0" w:line="136" w:lineRule="exact"/>
              <w:rPr>
                <w:sz w:val="20"/>
                <w:szCs w:val="20"/>
                <w:color w:val="auto"/>
              </w:rPr>
            </w:pPr>
            <w:r>
              <w:rPr>
                <w:rFonts w:ascii="Arial" w:cs="Arial" w:eastAsia="Arial" w:hAnsi="Arial"/>
                <w:sz w:val="12"/>
                <w:szCs w:val="12"/>
                <w:color w:val="auto"/>
              </w:rPr>
              <w:t>$</w:t>
            </w:r>
          </w:p>
        </w:tc>
        <w:tc>
          <w:tcPr>
            <w:tcW w:w="8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50,848</w:t>
            </w:r>
          </w:p>
        </w:tc>
        <w:tc>
          <w:tcPr>
            <w:tcW w:w="3340" w:type="dxa"/>
            <w:vAlign w:val="bottom"/>
            <w:gridSpan w:val="6"/>
            <w:shd w:val="clear" w:color="auto" w:fill="CCEEFF"/>
          </w:tcPr>
          <w:p>
            <w:pPr>
              <w:jc w:val="right"/>
              <w:ind w:right="62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1620" w:type="dxa"/>
            <w:vAlign w:val="bottom"/>
            <w:gridSpan w:val="3"/>
          </w:tcPr>
          <w:p>
            <w:pPr>
              <w:ind w:left="260"/>
              <w:spacing w:after="0" w:line="134" w:lineRule="exact"/>
              <w:rPr>
                <w:sz w:val="20"/>
                <w:szCs w:val="20"/>
                <w:color w:val="auto"/>
              </w:rPr>
            </w:pPr>
            <w:r>
              <w:rPr>
                <w:rFonts w:ascii="Arial" w:cs="Arial" w:eastAsia="Arial" w:hAnsi="Arial"/>
                <w:sz w:val="12"/>
                <w:szCs w:val="12"/>
                <w:color w:val="auto"/>
              </w:rPr>
              <w:t>Cost of</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20" w:type="dxa"/>
            <w:vAlign w:val="bottom"/>
            <w:gridSpan w:val="4"/>
          </w:tcPr>
          <w:p>
            <w:pPr>
              <w:spacing w:after="0" w:line="136" w:lineRule="exact"/>
              <w:rPr>
                <w:sz w:val="20"/>
                <w:szCs w:val="20"/>
                <w:color w:val="auto"/>
              </w:rPr>
            </w:pPr>
            <w:r>
              <w:rPr>
                <w:rFonts w:ascii="Arial" w:cs="Arial" w:eastAsia="Arial" w:hAnsi="Arial"/>
                <w:sz w:val="12"/>
                <w:szCs w:val="12"/>
                <w:color w:val="auto"/>
              </w:rPr>
              <w:t>goods sold</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right"/>
              <w:ind w:right="240"/>
              <w:spacing w:after="0" w:line="136" w:lineRule="exact"/>
              <w:rPr>
                <w:sz w:val="20"/>
                <w:szCs w:val="20"/>
                <w:color w:val="auto"/>
              </w:rPr>
            </w:pPr>
            <w:r>
              <w:rPr>
                <w:rFonts w:ascii="Arial" w:cs="Arial" w:eastAsia="Arial" w:hAnsi="Arial"/>
                <w:sz w:val="12"/>
                <w:szCs w:val="12"/>
                <w:color w:val="auto"/>
              </w:rPr>
              <w:t>125,058</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59,133</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Borders>
              <w:top w:val="single" w:sz="8" w:color="CCEEFF"/>
            </w:tcBorders>
            <w:shd w:val="clear" w:color="auto" w:fill="CCEEFF"/>
          </w:tcPr>
          <w:p>
            <w:pPr>
              <w:spacing w:after="0"/>
              <w:rPr>
                <w:sz w:val="9"/>
                <w:szCs w:val="9"/>
                <w:color w:val="auto"/>
              </w:rPr>
            </w:pPr>
          </w:p>
        </w:tc>
        <w:tc>
          <w:tcPr>
            <w:tcW w:w="840" w:type="dxa"/>
            <w:vAlign w:val="bottom"/>
            <w:tcBorders>
              <w:top w:val="single" w:sz="8" w:color="CCEEFF"/>
            </w:tcBorders>
            <w:shd w:val="clear" w:color="auto" w:fill="CCEEFF"/>
          </w:tcPr>
          <w:p>
            <w:pPr>
              <w:ind w:left="260"/>
              <w:spacing w:after="0" w:line="115" w:lineRule="exact"/>
              <w:rPr>
                <w:sz w:val="20"/>
                <w:szCs w:val="20"/>
                <w:color w:val="auto"/>
              </w:rPr>
            </w:pPr>
            <w:r>
              <w:rPr>
                <w:rFonts w:ascii="Arial" w:cs="Arial" w:eastAsia="Arial" w:hAnsi="Arial"/>
                <w:sz w:val="12"/>
                <w:szCs w:val="12"/>
                <w:color w:val="auto"/>
              </w:rPr>
              <w:t>Gross</w:t>
            </w:r>
          </w:p>
        </w:tc>
        <w:tc>
          <w:tcPr>
            <w:tcW w:w="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right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right w:val="single" w:sz="8" w:color="CCEEFF"/>
            </w:tcBorders>
            <w:shd w:val="clear" w:color="auto" w:fill="CCEEFF"/>
          </w:tcPr>
          <w:p>
            <w:pPr>
              <w:spacing w:after="0"/>
              <w:rPr>
                <w:sz w:val="9"/>
                <w:szCs w:val="9"/>
                <w:color w:val="auto"/>
              </w:rPr>
            </w:pPr>
          </w:p>
        </w:tc>
        <w:tc>
          <w:tcPr>
            <w:tcW w:w="100" w:type="dxa"/>
            <w:vAlign w:val="bottom"/>
            <w:tcBorders>
              <w:top w:val="single" w:sz="8" w:color="auto"/>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3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auto"/>
              <w:right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27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2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profit (deficit)</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shd w:val="clear" w:color="auto" w:fill="CCEEFF"/>
          </w:tcPr>
          <w:p>
            <w:pPr>
              <w:jc w:val="right"/>
              <w:ind w:right="240"/>
              <w:spacing w:after="0" w:line="136" w:lineRule="exact"/>
              <w:rPr>
                <w:sz w:val="20"/>
                <w:szCs w:val="20"/>
                <w:color w:val="auto"/>
              </w:rPr>
            </w:pPr>
            <w:r>
              <w:rPr>
                <w:rFonts w:ascii="Arial" w:cs="Arial" w:eastAsia="Arial" w:hAnsi="Arial"/>
                <w:sz w:val="12"/>
                <w:szCs w:val="12"/>
                <w:color w:val="auto"/>
              </w:rPr>
              <w:t>9,755</w:t>
            </w: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(8,285</w:t>
            </w:r>
          </w:p>
        </w:tc>
        <w:tc>
          <w:tcPr>
            <w:tcW w:w="3340" w:type="dxa"/>
            <w:vAlign w:val="bottom"/>
            <w:gridSpan w:val="6"/>
            <w:shd w:val="clear" w:color="auto" w:fill="CCEEFF"/>
          </w:tcPr>
          <w:p>
            <w:pPr>
              <w:jc w:val="right"/>
              <w:ind w:right="2440"/>
              <w:spacing w:after="0" w:line="136"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 w:type="dxa"/>
            <w:vAlign w:val="bottom"/>
          </w:tcPr>
          <w:p>
            <w:pPr>
              <w:spacing w:after="0"/>
              <w:rPr>
                <w:sz w:val="11"/>
                <w:szCs w:val="11"/>
                <w:color w:val="auto"/>
              </w:rPr>
            </w:pPr>
          </w:p>
        </w:tc>
        <w:tc>
          <w:tcPr>
            <w:tcW w:w="840" w:type="dxa"/>
            <w:vAlign w:val="bottom"/>
          </w:tcPr>
          <w:p>
            <w:pPr>
              <w:ind w:left="260"/>
              <w:spacing w:after="0" w:line="133" w:lineRule="exact"/>
              <w:rPr>
                <w:sz w:val="20"/>
                <w:szCs w:val="20"/>
                <w:color w:val="auto"/>
              </w:rPr>
            </w:pPr>
            <w:r>
              <w:rPr>
                <w:rFonts w:ascii="Arial" w:cs="Arial" w:eastAsia="Arial" w:hAnsi="Arial"/>
                <w:sz w:val="12"/>
                <w:szCs w:val="12"/>
                <w:color w:val="auto"/>
              </w:rPr>
              <w:t>&amp;nbs p;</w:t>
            </w:r>
          </w:p>
        </w:tc>
        <w:tc>
          <w:tcPr>
            <w:tcW w:w="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7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ind w:left="260"/>
              <w:spacing w:after="0" w:line="135" w:lineRule="exact"/>
              <w:rPr>
                <w:sz w:val="20"/>
                <w:szCs w:val="20"/>
                <w:color w:val="auto"/>
              </w:rPr>
            </w:pPr>
            <w:r>
              <w:rPr>
                <w:rFonts w:ascii="Arial" w:cs="Arial" w:eastAsia="Arial" w:hAnsi="Arial"/>
                <w:sz w:val="12"/>
                <w:szCs w:val="12"/>
                <w:color w:val="auto"/>
              </w:rPr>
              <w:t>Operating</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2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expenses:</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600" w:type="dxa"/>
            <w:vAlign w:val="bottom"/>
          </w:tcPr>
          <w:p>
            <w:pPr>
              <w:spacing w:after="0"/>
              <w:rPr>
                <w:sz w:val="12"/>
                <w:szCs w:val="12"/>
                <w:color w:val="auto"/>
              </w:rPr>
            </w:pPr>
          </w:p>
        </w:tc>
        <w:tc>
          <w:tcPr>
            <w:tcW w:w="1620" w:type="dxa"/>
            <w:vAlign w:val="bottom"/>
            <w:gridSpan w:val="3"/>
          </w:tcPr>
          <w:p>
            <w:pPr>
              <w:ind w:left="420"/>
              <w:spacing w:after="0"/>
              <w:rPr>
                <w:sz w:val="20"/>
                <w:szCs w:val="20"/>
                <w:color w:val="auto"/>
              </w:rPr>
            </w:pPr>
            <w:r>
              <w:rPr>
                <w:rFonts w:ascii="Arial" w:cs="Arial" w:eastAsia="Arial" w:hAnsi="Arial"/>
                <w:sz w:val="12"/>
                <w:szCs w:val="12"/>
                <w:color w:val="auto"/>
              </w:rPr>
              <w:t>Selling</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4"/>
          </w:tcPr>
          <w:p>
            <w:pPr>
              <w:jc w:val="right"/>
              <w:ind w:right="240"/>
              <w:spacing w:after="0"/>
              <w:rPr>
                <w:sz w:val="20"/>
                <w:szCs w:val="20"/>
                <w:color w:val="auto"/>
              </w:rPr>
            </w:pPr>
            <w:r>
              <w:rPr>
                <w:rFonts w:ascii="Arial" w:cs="Arial" w:eastAsia="Arial" w:hAnsi="Arial"/>
                <w:sz w:val="12"/>
                <w:szCs w:val="12"/>
                <w:color w:val="auto"/>
              </w:rPr>
              <w:t>3,107</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2"/>
                <w:szCs w:val="12"/>
                <w:color w:val="auto"/>
              </w:rPr>
              <w:t>3,083</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600" w:type="dxa"/>
            <w:vAlign w:val="bottom"/>
            <w:shd w:val="clear" w:color="auto" w:fill="CCEEFF"/>
          </w:tcPr>
          <w:p>
            <w:pPr>
              <w:spacing w:after="0"/>
              <w:rPr>
                <w:sz w:val="11"/>
                <w:szCs w:val="11"/>
                <w:color w:val="auto"/>
              </w:rPr>
            </w:pPr>
          </w:p>
        </w:tc>
        <w:tc>
          <w:tcPr>
            <w:tcW w:w="1620" w:type="dxa"/>
            <w:vAlign w:val="bottom"/>
            <w:gridSpan w:val="3"/>
            <w:shd w:val="clear" w:color="auto" w:fill="CCEEFF"/>
          </w:tcPr>
          <w:p>
            <w:pPr>
              <w:ind w:left="420"/>
              <w:spacing w:after="0" w:line="134" w:lineRule="exact"/>
              <w:rPr>
                <w:sz w:val="20"/>
                <w:szCs w:val="20"/>
                <w:color w:val="auto"/>
              </w:rPr>
            </w:pPr>
            <w:r>
              <w:rPr>
                <w:rFonts w:ascii="Arial" w:cs="Arial" w:eastAsia="Arial" w:hAnsi="Arial"/>
                <w:sz w:val="12"/>
                <w:szCs w:val="12"/>
                <w:color w:val="auto"/>
              </w:rPr>
              <w:t>General</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vMerge w:val="restart"/>
            <w:shd w:val="clear" w:color="auto" w:fill="CCEEFF"/>
          </w:tcPr>
          <w:p>
            <w:pPr>
              <w:jc w:val="right"/>
              <w:ind w:right="240"/>
              <w:spacing w:after="0"/>
              <w:rPr>
                <w:sz w:val="20"/>
                <w:szCs w:val="20"/>
                <w:color w:val="auto"/>
              </w:rPr>
            </w:pPr>
            <w:r>
              <w:rPr>
                <w:rFonts w:ascii="Arial" w:cs="Arial" w:eastAsia="Arial" w:hAnsi="Arial"/>
                <w:sz w:val="12"/>
                <w:szCs w:val="12"/>
                <w:color w:val="auto"/>
              </w:rPr>
              <w:t>3,244</w:t>
            </w: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20" w:type="dxa"/>
            <w:vAlign w:val="bottom"/>
            <w:gridSpan w:val="4"/>
            <w:shd w:val="clear" w:color="auto" w:fill="CCEEFF"/>
          </w:tcPr>
          <w:p>
            <w:pPr>
              <w:ind w:left="140"/>
              <w:spacing w:after="0" w:line="136" w:lineRule="exact"/>
              <w:rPr>
                <w:sz w:val="20"/>
                <w:szCs w:val="20"/>
                <w:color w:val="auto"/>
              </w:rPr>
            </w:pPr>
            <w:r>
              <w:rPr>
                <w:rFonts w:ascii="Arial" w:cs="Arial" w:eastAsia="Arial" w:hAnsi="Arial"/>
                <w:sz w:val="12"/>
                <w:szCs w:val="12"/>
                <w:color w:val="auto"/>
              </w:rPr>
              <w:t>and administrative</w:t>
            </w: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20" w:type="dxa"/>
            <w:vAlign w:val="bottom"/>
            <w:gridSpan w:val="4"/>
            <w:vMerge w:val="continue"/>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340" w:type="dxa"/>
            <w:vAlign w:val="bottom"/>
            <w:tcBorders>
              <w:right w:val="single" w:sz="8" w:color="CCEEFF"/>
            </w:tcBorders>
            <w:shd w:val="clear" w:color="auto" w:fill="CCEEFF"/>
          </w:tcPr>
          <w:p>
            <w:pPr>
              <w:spacing w:after="0"/>
              <w:rPr>
                <w:sz w:val="11"/>
                <w:szCs w:val="11"/>
                <w:color w:val="auto"/>
              </w:rPr>
            </w:pPr>
          </w:p>
        </w:tc>
        <w:tc>
          <w:tcPr>
            <w:tcW w:w="10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2"/>
                <w:szCs w:val="12"/>
                <w:color w:val="auto"/>
              </w:rPr>
              <w:t>3,414</w:t>
            </w:r>
          </w:p>
        </w:tc>
        <w:tc>
          <w:tcPr>
            <w:tcW w:w="3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7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600" w:type="dxa"/>
            <w:vAlign w:val="bottom"/>
          </w:tcPr>
          <w:p>
            <w:pPr>
              <w:spacing w:after="0"/>
              <w:rPr>
                <w:sz w:val="9"/>
                <w:szCs w:val="9"/>
                <w:color w:val="auto"/>
              </w:rPr>
            </w:pPr>
          </w:p>
        </w:tc>
        <w:tc>
          <w:tcPr>
            <w:tcW w:w="840" w:type="dxa"/>
            <w:vAlign w:val="bottom"/>
          </w:tcPr>
          <w:p>
            <w:pPr>
              <w:ind w:left="540"/>
              <w:spacing w:after="0" w:line="115" w:lineRule="exact"/>
              <w:rPr>
                <w:sz w:val="20"/>
                <w:szCs w:val="20"/>
                <w:color w:val="auto"/>
              </w:rPr>
            </w:pPr>
            <w:r>
              <w:rPr>
                <w:rFonts w:ascii="Arial" w:cs="Arial" w:eastAsia="Arial" w:hAnsi="Arial"/>
                <w:sz w:val="12"/>
                <w:szCs w:val="12"/>
                <w:color w:val="auto"/>
              </w:rPr>
              <w:t>Total</w:t>
            </w:r>
          </w:p>
        </w:tc>
        <w:tc>
          <w:tcPr>
            <w:tcW w:w="2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6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760" w:type="dxa"/>
            <w:vAlign w:val="bottom"/>
            <w:tcBorders>
              <w:top w:val="single" w:sz="8" w:color="auto"/>
            </w:tcBorders>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220" w:type="dxa"/>
            <w:vAlign w:val="bottom"/>
            <w:gridSpan w:val="4"/>
          </w:tcPr>
          <w:p>
            <w:pPr>
              <w:ind w:left="260"/>
              <w:spacing w:after="0" w:line="136" w:lineRule="exact"/>
              <w:rPr>
                <w:sz w:val="20"/>
                <w:szCs w:val="20"/>
                <w:color w:val="auto"/>
              </w:rPr>
            </w:pPr>
            <w:r>
              <w:rPr>
                <w:rFonts w:ascii="Arial" w:cs="Arial" w:eastAsia="Arial" w:hAnsi="Arial"/>
                <w:sz w:val="12"/>
                <w:szCs w:val="12"/>
                <w:color w:val="auto"/>
              </w:rPr>
              <w:t>operating expenses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right"/>
              <w:ind w:right="240"/>
              <w:spacing w:after="0" w:line="136" w:lineRule="exact"/>
              <w:rPr>
                <w:sz w:val="20"/>
                <w:szCs w:val="20"/>
                <w:color w:val="auto"/>
              </w:rPr>
            </w:pPr>
            <w:r>
              <w:rPr>
                <w:rFonts w:ascii="Arial" w:cs="Arial" w:eastAsia="Arial" w:hAnsi="Arial"/>
                <w:sz w:val="12"/>
                <w:szCs w:val="12"/>
                <w:color w:val="auto"/>
              </w:rPr>
              <w:t>6,351</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6,497</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6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340" w:type="dxa"/>
            <w:vAlign w:val="bottom"/>
            <w:tcBorders>
              <w:top w:val="single" w:sz="8" w:color="auto"/>
              <w:right w:val="single" w:sz="8" w:color="CCEEFF"/>
            </w:tcBorders>
            <w:shd w:val="clear" w:color="auto" w:fill="CCEEFF"/>
          </w:tcPr>
          <w:p>
            <w:pPr>
              <w:spacing w:after="0"/>
              <w:rPr>
                <w:sz w:val="11"/>
                <w:szCs w:val="11"/>
                <w:color w:val="auto"/>
              </w:rPr>
            </w:pPr>
          </w:p>
        </w:tc>
        <w:tc>
          <w:tcPr>
            <w:tcW w:w="100" w:type="dxa"/>
            <w:vAlign w:val="bottom"/>
            <w:tcBorders>
              <w:top w:val="single" w:sz="8" w:color="auto"/>
              <w:left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27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1620" w:type="dxa"/>
            <w:vAlign w:val="bottom"/>
            <w:gridSpan w:val="3"/>
          </w:tcPr>
          <w:p>
            <w:pPr>
              <w:ind w:left="260"/>
              <w:spacing w:after="0" w:line="134" w:lineRule="exact"/>
              <w:rPr>
                <w:sz w:val="20"/>
                <w:szCs w:val="20"/>
                <w:color w:val="auto"/>
              </w:rPr>
            </w:pPr>
            <w:r>
              <w:rPr>
                <w:rFonts w:ascii="Arial" w:cs="Arial" w:eastAsia="Arial" w:hAnsi="Arial"/>
                <w:sz w:val="12"/>
                <w:szCs w:val="12"/>
                <w:color w:val="auto"/>
              </w:rPr>
              <w:t>Operating</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220" w:type="dxa"/>
            <w:vAlign w:val="bottom"/>
            <w:gridSpan w:val="4"/>
          </w:tcPr>
          <w:p>
            <w:pPr>
              <w:spacing w:after="0" w:line="136" w:lineRule="exact"/>
              <w:rPr>
                <w:sz w:val="20"/>
                <w:szCs w:val="20"/>
                <w:color w:val="auto"/>
              </w:rPr>
            </w:pPr>
            <w:r>
              <w:rPr>
                <w:rFonts w:ascii="Arial" w:cs="Arial" w:eastAsia="Arial" w:hAnsi="Arial"/>
                <w:sz w:val="12"/>
                <w:szCs w:val="12"/>
                <w:color w:val="auto"/>
              </w:rPr>
              <w:t>income (loss)</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4"/>
          </w:tcPr>
          <w:p>
            <w:pPr>
              <w:jc w:val="right"/>
              <w:ind w:right="240"/>
              <w:spacing w:after="0" w:line="136" w:lineRule="exact"/>
              <w:rPr>
                <w:sz w:val="20"/>
                <w:szCs w:val="20"/>
                <w:color w:val="auto"/>
              </w:rPr>
            </w:pPr>
            <w:r>
              <w:rPr>
                <w:rFonts w:ascii="Arial" w:cs="Arial" w:eastAsia="Arial" w:hAnsi="Arial"/>
                <w:sz w:val="12"/>
                <w:szCs w:val="12"/>
                <w:color w:val="auto"/>
              </w:rPr>
              <w:t>3,404</w:t>
            </w: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jc w:val="right"/>
              <w:ind w:right="20"/>
              <w:spacing w:after="0" w:line="136" w:lineRule="exact"/>
              <w:rPr>
                <w:sz w:val="20"/>
                <w:szCs w:val="20"/>
                <w:color w:val="auto"/>
              </w:rPr>
            </w:pPr>
            <w:r>
              <w:rPr>
                <w:rFonts w:ascii="Arial" w:cs="Arial" w:eastAsia="Arial" w:hAnsi="Arial"/>
                <w:sz w:val="12"/>
                <w:szCs w:val="12"/>
                <w:color w:val="auto"/>
              </w:rPr>
              <w:t>(14,782</w:t>
            </w:r>
          </w:p>
        </w:tc>
        <w:tc>
          <w:tcPr>
            <w:tcW w:w="3340" w:type="dxa"/>
            <w:vAlign w:val="bottom"/>
            <w:gridSpan w:val="6"/>
          </w:tcPr>
          <w:p>
            <w:pPr>
              <w:jc w:val="right"/>
              <w:ind w:right="2440"/>
              <w:spacing w:after="0" w:line="136"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60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260"/>
              <w:spacing w:after="0"/>
              <w:rPr>
                <w:sz w:val="20"/>
                <w:szCs w:val="20"/>
                <w:color w:val="auto"/>
              </w:rPr>
            </w:pPr>
            <w:r>
              <w:rPr>
                <w:rFonts w:ascii="Arial" w:cs="Arial" w:eastAsia="Arial" w:hAnsi="Arial"/>
                <w:sz w:val="12"/>
                <w:szCs w:val="12"/>
                <w:color w:val="auto"/>
              </w:rPr>
              <w:t>Financial</w:t>
            </w: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20" w:type="dxa"/>
            <w:vAlign w:val="bottom"/>
            <w:gridSpan w:val="4"/>
            <w:shd w:val="clear" w:color="auto" w:fill="CCEEFF"/>
          </w:tcPr>
          <w:p>
            <w:pPr>
              <w:jc w:val="right"/>
              <w:ind w:right="240"/>
              <w:spacing w:after="0"/>
              <w:rPr>
                <w:sz w:val="20"/>
                <w:szCs w:val="20"/>
                <w:color w:val="auto"/>
              </w:rPr>
            </w:pPr>
            <w:r>
              <w:rPr>
                <w:rFonts w:ascii="Arial" w:cs="Arial" w:eastAsia="Arial" w:hAnsi="Arial"/>
                <w:sz w:val="12"/>
                <w:szCs w:val="12"/>
                <w:color w:val="auto"/>
              </w:rPr>
              <w:t>158</w:t>
            </w:r>
          </w:p>
        </w:tc>
        <w:tc>
          <w:tcPr>
            <w:tcW w:w="320" w:type="dxa"/>
            <w:vAlign w:val="bottom"/>
            <w:shd w:val="clear" w:color="auto" w:fill="CCEEFF"/>
          </w:tcPr>
          <w:p>
            <w:pPr>
              <w:spacing w:after="0"/>
              <w:rPr>
                <w:sz w:val="12"/>
                <w:szCs w:val="12"/>
                <w:color w:val="auto"/>
              </w:rPr>
            </w:pPr>
          </w:p>
        </w:tc>
        <w:tc>
          <w:tcPr>
            <w:tcW w:w="340" w:type="dxa"/>
            <w:vAlign w:val="bottom"/>
            <w:tcBorders>
              <w:right w:val="single" w:sz="8" w:color="CCEEFF"/>
            </w:tcBorders>
            <w:shd w:val="clear" w:color="auto" w:fill="CCEEFF"/>
          </w:tcPr>
          <w:p>
            <w:pPr>
              <w:spacing w:after="0"/>
              <w:rPr>
                <w:sz w:val="12"/>
                <w:szCs w:val="12"/>
                <w:color w:val="auto"/>
              </w:rPr>
            </w:pPr>
          </w:p>
        </w:tc>
        <w:tc>
          <w:tcPr>
            <w:tcW w:w="10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209</w:t>
            </w:r>
          </w:p>
        </w:tc>
        <w:tc>
          <w:tcPr>
            <w:tcW w:w="3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77"/>
        </w:trPr>
        <w:tc>
          <w:tcPr>
            <w:tcW w:w="600" w:type="dxa"/>
            <w:vAlign w:val="bottom"/>
            <w:shd w:val="clear" w:color="auto" w:fill="CCEEFF"/>
          </w:tcPr>
          <w:p>
            <w:pPr>
              <w:spacing w:after="0"/>
              <w:rPr>
                <w:sz w:val="6"/>
                <w:szCs w:val="6"/>
                <w:color w:val="auto"/>
              </w:rPr>
            </w:pPr>
          </w:p>
        </w:tc>
        <w:tc>
          <w:tcPr>
            <w:tcW w:w="84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tcBorders>
              <w:right w:val="single" w:sz="8" w:color="CCEEFF"/>
            </w:tcBorders>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340" w:type="dxa"/>
            <w:vAlign w:val="bottom"/>
            <w:tcBorders>
              <w:right w:val="single" w:sz="8" w:color="CCEEFF"/>
            </w:tcBorders>
            <w:shd w:val="clear" w:color="auto" w:fill="CCEEFF"/>
          </w:tcPr>
          <w:p>
            <w:pPr>
              <w:spacing w:after="0"/>
              <w:rPr>
                <w:sz w:val="6"/>
                <w:szCs w:val="6"/>
                <w:color w:val="auto"/>
              </w:rPr>
            </w:pPr>
          </w:p>
        </w:tc>
        <w:tc>
          <w:tcPr>
            <w:tcW w:w="100" w:type="dxa"/>
            <w:vAlign w:val="bottom"/>
            <w:tcBorders>
              <w:left w:val="single" w:sz="8" w:color="CCEEFF"/>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00" w:type="dxa"/>
            <w:vAlign w:val="bottom"/>
            <w:tcBorders>
              <w:right w:val="single" w:sz="8" w:color="CCEEFF"/>
            </w:tcBorders>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276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7273925</wp:posOffset>
            </wp:positionH>
            <wp:positionV relativeFrom="paragraph">
              <wp:posOffset>-3292475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-3292475</wp:posOffset>
            </wp:positionV>
            <wp:extent cx="31115" cy="368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900" w:orient="portrait"/>
          <w:cols w:equalWidth="0" w:num="1">
            <w:col w:w="11548"/>
          </w:cols>
          <w:pgMar w:left="212" w:top="559" w:right="139" w:bottom="0" w:gutter="0" w:footer="0" w:header="0"/>
        </w:sectPr>
      </w:pPr>
    </w:p>
    <w:bookmarkStart w:id="1" w:name="page2"/>
    <w:bookmarkEnd w:id="1"/>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44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2"/>
                <w:szCs w:val="12"/>
                <w:color w:val="auto"/>
              </w:rPr>
              <w:t>income</w:t>
            </w:r>
          </w:p>
        </w:tc>
        <w:tc>
          <w:tcPr>
            <w:tcW w:w="140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1420" w:type="dxa"/>
            <w:vAlign w:val="bottom"/>
            <w:tcBorders>
              <w:top w:val="single" w:sz="8" w:color="CCEEFF"/>
            </w:tcBorders>
          </w:tcPr>
          <w:p>
            <w:pPr>
              <w:spacing w:after="0"/>
              <w:rPr>
                <w:sz w:val="11"/>
                <w:szCs w:val="11"/>
                <w:color w:val="auto"/>
              </w:rPr>
            </w:pPr>
          </w:p>
        </w:tc>
        <w:tc>
          <w:tcPr>
            <w:tcW w:w="134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860"/>
              <w:spacing w:after="0" w:line="134" w:lineRule="exact"/>
              <w:rPr>
                <w:sz w:val="20"/>
                <w:szCs w:val="20"/>
                <w:color w:val="auto"/>
              </w:rPr>
            </w:pPr>
            <w:r>
              <w:rPr>
                <w:rFonts w:ascii="Arial" w:cs="Arial" w:eastAsia="Arial" w:hAnsi="Arial"/>
                <w:sz w:val="12"/>
                <w:szCs w:val="12"/>
                <w:color w:val="auto"/>
              </w:rPr>
              <w:t>Income</w:t>
            </w:r>
          </w:p>
        </w:tc>
        <w:tc>
          <w:tcPr>
            <w:tcW w:w="1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vMerge w:val="restart"/>
          </w:tcPr>
          <w:p>
            <w:pPr>
              <w:jc w:val="right"/>
              <w:ind w:right="380"/>
              <w:spacing w:after="0"/>
              <w:rPr>
                <w:sz w:val="20"/>
                <w:szCs w:val="20"/>
                <w:color w:val="auto"/>
              </w:rPr>
            </w:pPr>
            <w:r>
              <w:rPr>
                <w:rFonts w:ascii="Arial" w:cs="Arial" w:eastAsia="Arial" w:hAnsi="Arial"/>
                <w:sz w:val="12"/>
                <w:szCs w:val="12"/>
                <w:color w:val="auto"/>
              </w:rPr>
              <w:t>(14,573</w:t>
            </w: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1440" w:type="dxa"/>
            <w:vAlign w:val="bottom"/>
            <w:vMerge w:val="restart"/>
          </w:tcPr>
          <w:p>
            <w:pPr>
              <w:spacing w:after="0" w:line="136" w:lineRule="exact"/>
              <w:rPr>
                <w:sz w:val="20"/>
                <w:szCs w:val="20"/>
                <w:color w:val="auto"/>
              </w:rPr>
            </w:pPr>
            <w:r>
              <w:rPr>
                <w:rFonts w:ascii="Arial" w:cs="Arial" w:eastAsia="Arial" w:hAnsi="Arial"/>
                <w:sz w:val="12"/>
                <w:szCs w:val="12"/>
                <w:color w:val="auto"/>
              </w:rPr>
              <w:t>(loss) before income taxes</w:t>
            </w:r>
          </w:p>
        </w:tc>
        <w:tc>
          <w:tcPr>
            <w:tcW w:w="1400" w:type="dxa"/>
            <w:vAlign w:val="bottom"/>
          </w:tcPr>
          <w:p>
            <w:pPr>
              <w:spacing w:after="0"/>
              <w:rPr>
                <w:sz w:val="7"/>
                <w:szCs w:val="7"/>
                <w:color w:val="auto"/>
              </w:rPr>
            </w:pPr>
          </w:p>
        </w:tc>
        <w:tc>
          <w:tcPr>
            <w:tcW w:w="1240" w:type="dxa"/>
            <w:vAlign w:val="bottom"/>
            <w:vMerge w:val="restart"/>
          </w:tcPr>
          <w:p>
            <w:pPr>
              <w:jc w:val="right"/>
              <w:ind w:right="380"/>
              <w:spacing w:after="0" w:line="136" w:lineRule="exact"/>
              <w:rPr>
                <w:sz w:val="20"/>
                <w:szCs w:val="20"/>
                <w:color w:val="auto"/>
              </w:rPr>
            </w:pPr>
            <w:r>
              <w:rPr>
                <w:rFonts w:ascii="Arial" w:cs="Arial" w:eastAsia="Arial" w:hAnsi="Arial"/>
                <w:sz w:val="12"/>
                <w:szCs w:val="12"/>
                <w:color w:val="auto"/>
              </w:rPr>
              <w:t>3,562</w:t>
            </w:r>
          </w:p>
        </w:tc>
        <w:tc>
          <w:tcPr>
            <w:tcW w:w="4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480" w:type="dxa"/>
            <w:vAlign w:val="bottom"/>
            <w:vMerge w:val="restart"/>
          </w:tcPr>
          <w:p>
            <w:pPr>
              <w:jc w:val="right"/>
              <w:spacing w:after="0" w:line="136" w:lineRule="exact"/>
              <w:rPr>
                <w:sz w:val="20"/>
                <w:szCs w:val="20"/>
                <w:color w:val="auto"/>
              </w:rPr>
            </w:pPr>
            <w:r>
              <w:rPr>
                <w:rFonts w:ascii="Arial" w:cs="Arial" w:eastAsia="Arial" w:hAnsi="Arial"/>
                <w:sz w:val="12"/>
                <w:szCs w:val="12"/>
                <w:color w:val="auto"/>
              </w:rPr>
              <w:t>)</w:t>
            </w:r>
          </w:p>
        </w:tc>
        <w:tc>
          <w:tcPr>
            <w:tcW w:w="900" w:type="dxa"/>
            <w:vAlign w:val="bottom"/>
          </w:tcPr>
          <w:p>
            <w:pPr>
              <w:spacing w:after="0"/>
              <w:rPr>
                <w:sz w:val="7"/>
                <w:szCs w:val="7"/>
                <w:color w:val="auto"/>
              </w:rPr>
            </w:pPr>
          </w:p>
        </w:tc>
        <w:tc>
          <w:tcPr>
            <w:tcW w:w="1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1440" w:type="dxa"/>
            <w:vAlign w:val="bottom"/>
            <w:vMerge w:val="continue"/>
          </w:tcPr>
          <w:p>
            <w:pPr>
              <w:spacing w:after="0"/>
              <w:rPr>
                <w:sz w:val="4"/>
                <w:szCs w:val="4"/>
                <w:color w:val="auto"/>
              </w:rPr>
            </w:pPr>
          </w:p>
        </w:tc>
        <w:tc>
          <w:tcPr>
            <w:tcW w:w="1400" w:type="dxa"/>
            <w:vAlign w:val="bottom"/>
          </w:tcPr>
          <w:p>
            <w:pPr>
              <w:spacing w:after="0"/>
              <w:rPr>
                <w:sz w:val="4"/>
                <w:szCs w:val="4"/>
                <w:color w:val="auto"/>
              </w:rPr>
            </w:pPr>
          </w:p>
        </w:tc>
        <w:tc>
          <w:tcPr>
            <w:tcW w:w="1240" w:type="dxa"/>
            <w:vAlign w:val="bottom"/>
            <w:vMerge w:val="continue"/>
          </w:tcPr>
          <w:p>
            <w:pPr>
              <w:spacing w:after="0"/>
              <w:rPr>
                <w:sz w:val="4"/>
                <w:szCs w:val="4"/>
                <w:color w:val="auto"/>
              </w:rPr>
            </w:pPr>
          </w:p>
        </w:tc>
        <w:tc>
          <w:tcPr>
            <w:tcW w:w="460" w:type="dxa"/>
            <w:vAlign w:val="bottom"/>
          </w:tcPr>
          <w:p>
            <w:pPr>
              <w:spacing w:after="0"/>
              <w:rPr>
                <w:sz w:val="4"/>
                <w:szCs w:val="4"/>
                <w:color w:val="auto"/>
              </w:rPr>
            </w:pPr>
          </w:p>
        </w:tc>
        <w:tc>
          <w:tcPr>
            <w:tcW w:w="14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8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144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ind w:left="860"/>
              <w:spacing w:after="0" w:line="134" w:lineRule="exact"/>
              <w:rPr>
                <w:sz w:val="20"/>
                <w:szCs w:val="20"/>
                <w:color w:val="auto"/>
              </w:rPr>
            </w:pPr>
            <w:r>
              <w:rPr>
                <w:rFonts w:ascii="Arial" w:cs="Arial" w:eastAsia="Arial" w:hAnsi="Arial"/>
                <w:sz w:val="12"/>
                <w:szCs w:val="12"/>
                <w:color w:val="auto"/>
              </w:rPr>
              <w:t>Benefit for</w:t>
            </w:r>
          </w:p>
        </w:tc>
        <w:tc>
          <w:tcPr>
            <w:tcW w:w="14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tcBorders>
              <w:bottom w:val="single" w:sz="8" w:color="CCEEFF"/>
            </w:tcBorders>
          </w:tcPr>
          <w:p>
            <w:pPr>
              <w:spacing w:after="0" w:line="136" w:lineRule="exact"/>
              <w:rPr>
                <w:sz w:val="20"/>
                <w:szCs w:val="20"/>
                <w:color w:val="auto"/>
              </w:rPr>
            </w:pPr>
            <w:r>
              <w:rPr>
                <w:rFonts w:ascii="Arial" w:cs="Arial" w:eastAsia="Arial" w:hAnsi="Arial"/>
                <w:sz w:val="12"/>
                <w:szCs w:val="12"/>
                <w:color w:val="auto"/>
              </w:rPr>
              <w:t>taxes</w:t>
            </w:r>
          </w:p>
        </w:tc>
        <w:tc>
          <w:tcPr>
            <w:tcW w:w="1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right"/>
              <w:ind w:right="380"/>
              <w:spacing w:after="0" w:line="136" w:lineRule="exact"/>
              <w:rPr>
                <w:sz w:val="20"/>
                <w:szCs w:val="20"/>
                <w:color w:val="auto"/>
              </w:rPr>
            </w:pPr>
            <w:r>
              <w:rPr>
                <w:rFonts w:ascii="Arial" w:cs="Arial" w:eastAsia="Arial" w:hAnsi="Arial"/>
                <w:sz w:val="12"/>
                <w:szCs w:val="12"/>
                <w:color w:val="auto"/>
              </w:rPr>
              <w:t>(2,430</w:t>
            </w:r>
          </w:p>
        </w:tc>
        <w:tc>
          <w:tcPr>
            <w:tcW w:w="4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1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ind w:right="380"/>
              <w:spacing w:after="0" w:line="136" w:lineRule="exact"/>
              <w:rPr>
                <w:sz w:val="20"/>
                <w:szCs w:val="20"/>
                <w:color w:val="auto"/>
              </w:rPr>
            </w:pPr>
            <w:r>
              <w:rPr>
                <w:rFonts w:ascii="Arial" w:cs="Arial" w:eastAsia="Arial" w:hAnsi="Arial"/>
                <w:sz w:val="12"/>
                <w:szCs w:val="12"/>
                <w:color w:val="auto"/>
              </w:rPr>
              <w:t>(6,020</w:t>
            </w:r>
          </w:p>
        </w:tc>
        <w:tc>
          <w:tcPr>
            <w:tcW w:w="48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1440" w:type="dxa"/>
            <w:vAlign w:val="bottom"/>
            <w:shd w:val="clear" w:color="auto" w:fill="CCEEFF"/>
          </w:tcPr>
          <w:p>
            <w:pPr>
              <w:ind w:left="860"/>
              <w:spacing w:after="0" w:line="115" w:lineRule="exact"/>
              <w:rPr>
                <w:sz w:val="20"/>
                <w:szCs w:val="20"/>
                <w:color w:val="auto"/>
              </w:rPr>
            </w:pPr>
            <w:r>
              <w:rPr>
                <w:rFonts w:ascii="Arial" w:cs="Arial" w:eastAsia="Arial" w:hAnsi="Arial"/>
                <w:sz w:val="12"/>
                <w:szCs w:val="12"/>
                <w:color w:val="auto"/>
              </w:rPr>
              <w:t>Net</w:t>
            </w:r>
          </w:p>
        </w:tc>
        <w:tc>
          <w:tcPr>
            <w:tcW w:w="1400" w:type="dxa"/>
            <w:vAlign w:val="bottom"/>
            <w:vMerge w:val="restart"/>
            <w:shd w:val="clear" w:color="auto" w:fill="CCEEFF"/>
          </w:tcPr>
          <w:p>
            <w:pPr>
              <w:jc w:val="right"/>
              <w:ind w:right="400"/>
              <w:spacing w:after="0"/>
              <w:rPr>
                <w:sz w:val="20"/>
                <w:szCs w:val="20"/>
                <w:color w:val="auto"/>
              </w:rPr>
            </w:pPr>
            <w:r>
              <w:rPr>
                <w:rFonts w:ascii="Arial" w:cs="Arial" w:eastAsia="Arial" w:hAnsi="Arial"/>
                <w:sz w:val="12"/>
                <w:szCs w:val="12"/>
                <w:color w:val="auto"/>
              </w:rPr>
              <w:t>$</w:t>
            </w:r>
          </w:p>
        </w:tc>
        <w:tc>
          <w:tcPr>
            <w:tcW w:w="1240" w:type="dxa"/>
            <w:vAlign w:val="bottom"/>
            <w:vMerge w:val="restart"/>
            <w:shd w:val="clear" w:color="auto" w:fill="CCEEFF"/>
          </w:tcPr>
          <w:p>
            <w:pPr>
              <w:jc w:val="right"/>
              <w:ind w:right="380"/>
              <w:spacing w:after="0"/>
              <w:rPr>
                <w:sz w:val="20"/>
                <w:szCs w:val="20"/>
                <w:color w:val="auto"/>
              </w:rPr>
            </w:pPr>
            <w:r>
              <w:rPr>
                <w:rFonts w:ascii="Arial" w:cs="Arial" w:eastAsia="Arial" w:hAnsi="Arial"/>
                <w:sz w:val="12"/>
                <w:szCs w:val="12"/>
                <w:color w:val="auto"/>
              </w:rPr>
              <w:t>5,992</w:t>
            </w:r>
          </w:p>
        </w:tc>
        <w:tc>
          <w:tcPr>
            <w:tcW w:w="460" w:type="dxa"/>
            <w:vAlign w:val="bottom"/>
            <w:shd w:val="clear" w:color="auto" w:fill="CCEEFF"/>
          </w:tcPr>
          <w:p>
            <w:pPr>
              <w:spacing w:after="0"/>
              <w:rPr>
                <w:sz w:val="9"/>
                <w:szCs w:val="9"/>
                <w:color w:val="auto"/>
              </w:rPr>
            </w:pPr>
          </w:p>
        </w:tc>
        <w:tc>
          <w:tcPr>
            <w:tcW w:w="1420" w:type="dxa"/>
            <w:vAlign w:val="bottom"/>
          </w:tcPr>
          <w:p>
            <w:pPr>
              <w:spacing w:after="0"/>
              <w:rPr>
                <w:sz w:val="9"/>
                <w:szCs w:val="9"/>
                <w:color w:val="auto"/>
              </w:rPr>
            </w:pPr>
          </w:p>
        </w:tc>
        <w:tc>
          <w:tcPr>
            <w:tcW w:w="1340" w:type="dxa"/>
            <w:vAlign w:val="bottom"/>
            <w:vMerge w:val="restart"/>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1260" w:type="dxa"/>
            <w:vAlign w:val="bottom"/>
            <w:vMerge w:val="restart"/>
            <w:shd w:val="clear" w:color="auto" w:fill="CCEEFF"/>
          </w:tcPr>
          <w:p>
            <w:pPr>
              <w:jc w:val="right"/>
              <w:ind w:right="380"/>
              <w:spacing w:after="0"/>
              <w:rPr>
                <w:sz w:val="20"/>
                <w:szCs w:val="20"/>
                <w:color w:val="auto"/>
              </w:rPr>
            </w:pPr>
            <w:r>
              <w:rPr>
                <w:rFonts w:ascii="Arial" w:cs="Arial" w:eastAsia="Arial" w:hAnsi="Arial"/>
                <w:sz w:val="12"/>
                <w:szCs w:val="12"/>
                <w:color w:val="auto"/>
              </w:rPr>
              <w:t>(8,553</w:t>
            </w: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00" w:type="dxa"/>
            <w:vAlign w:val="bottom"/>
            <w:shd w:val="clear" w:color="auto" w:fill="CCEEFF"/>
          </w:tcPr>
          <w:p>
            <w:pPr>
              <w:spacing w:after="0"/>
              <w:rPr>
                <w:sz w:val="9"/>
                <w:szCs w:val="9"/>
                <w:color w:val="auto"/>
              </w:rPr>
            </w:pPr>
          </w:p>
        </w:tc>
        <w:tc>
          <w:tcPr>
            <w:tcW w:w="1600" w:type="dxa"/>
            <w:vAlign w:val="bottom"/>
            <w:vMerge w:val="restart"/>
            <w:shd w:val="clear" w:color="auto" w:fill="CCEEFF"/>
          </w:tcPr>
          <w:p>
            <w:pPr>
              <w:jc w:val="right"/>
              <w:ind w:righ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1440" w:type="dxa"/>
            <w:vAlign w:val="bottom"/>
            <w:tcBorders>
              <w:bottom w:val="single" w:sz="8" w:color="CCEEFF"/>
            </w:tcBorders>
            <w:shd w:val="clear" w:color="auto" w:fill="CCEEFF"/>
          </w:tcPr>
          <w:p>
            <w:pPr>
              <w:spacing w:after="0" w:line="127" w:lineRule="exact"/>
              <w:rPr>
                <w:sz w:val="20"/>
                <w:szCs w:val="20"/>
                <w:color w:val="auto"/>
              </w:rPr>
            </w:pPr>
            <w:r>
              <w:rPr>
                <w:rFonts w:ascii="Arial" w:cs="Arial" w:eastAsia="Arial" w:hAnsi="Arial"/>
                <w:sz w:val="12"/>
                <w:szCs w:val="12"/>
                <w:color w:val="auto"/>
              </w:rPr>
              <w:t>income (loss)</w:t>
            </w:r>
          </w:p>
        </w:tc>
        <w:tc>
          <w:tcPr>
            <w:tcW w:w="1400" w:type="dxa"/>
            <w:vAlign w:val="bottom"/>
            <w:tcBorders>
              <w:bottom w:val="single" w:sz="8" w:color="auto"/>
            </w:tcBorders>
            <w:vMerge w:val="continue"/>
            <w:shd w:val="clear" w:color="auto" w:fill="CCEEFF"/>
          </w:tcPr>
          <w:p>
            <w:pPr>
              <w:spacing w:after="0"/>
              <w:rPr>
                <w:sz w:val="11"/>
                <w:szCs w:val="11"/>
                <w:color w:val="auto"/>
              </w:rPr>
            </w:pPr>
          </w:p>
        </w:tc>
        <w:tc>
          <w:tcPr>
            <w:tcW w:w="1240" w:type="dxa"/>
            <w:vAlign w:val="bottom"/>
            <w:tcBorders>
              <w:bottom w:val="single" w:sz="8" w:color="auto"/>
            </w:tcBorders>
            <w:vMerge w:val="continue"/>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vMerge w:val="continue"/>
            <w:shd w:val="clear" w:color="auto" w:fill="CCEEFF"/>
          </w:tcPr>
          <w:p>
            <w:pPr>
              <w:spacing w:after="0"/>
              <w:rPr>
                <w:sz w:val="11"/>
                <w:szCs w:val="11"/>
                <w:color w:val="auto"/>
              </w:rPr>
            </w:pPr>
          </w:p>
        </w:tc>
        <w:tc>
          <w:tcPr>
            <w:tcW w:w="1260" w:type="dxa"/>
            <w:vAlign w:val="bottom"/>
            <w:tcBorders>
              <w:bottom w:val="single" w:sz="8" w:color="auto"/>
            </w:tcBorders>
            <w:vMerge w:val="continue"/>
            <w:shd w:val="clear" w:color="auto" w:fill="CCEEFF"/>
          </w:tcPr>
          <w:p>
            <w:pPr>
              <w:spacing w:after="0"/>
              <w:rPr>
                <w:sz w:val="11"/>
                <w:szCs w:val="11"/>
                <w:color w:val="auto"/>
              </w:rPr>
            </w:pPr>
          </w:p>
        </w:tc>
        <w:tc>
          <w:tcPr>
            <w:tcW w:w="480" w:type="dxa"/>
            <w:vAlign w:val="bottom"/>
            <w:tcBorders>
              <w:bottom w:val="single" w:sz="8" w:color="auto"/>
            </w:tcBorders>
            <w:vMerge w:val="continue"/>
            <w:shd w:val="clear" w:color="auto" w:fill="CCEEFF"/>
          </w:tcPr>
          <w:p>
            <w:pPr>
              <w:spacing w:after="0"/>
              <w:rPr>
                <w:sz w:val="11"/>
                <w:szCs w:val="11"/>
                <w:color w:val="auto"/>
              </w:rPr>
            </w:pPr>
          </w:p>
        </w:tc>
        <w:tc>
          <w:tcPr>
            <w:tcW w:w="900" w:type="dxa"/>
            <w:vAlign w:val="bottom"/>
            <w:tcBorders>
              <w:bottom w:val="single" w:sz="8" w:color="auto"/>
            </w:tcBorders>
            <w:shd w:val="clear" w:color="auto" w:fill="CCEEFF"/>
          </w:tcPr>
          <w:p>
            <w:pPr>
              <w:spacing w:after="0"/>
              <w:rPr>
                <w:sz w:val="11"/>
                <w:szCs w:val="11"/>
                <w:color w:val="auto"/>
              </w:rPr>
            </w:pPr>
          </w:p>
        </w:tc>
        <w:tc>
          <w:tcPr>
            <w:tcW w:w="1600" w:type="dxa"/>
            <w:vAlign w:val="bottom"/>
            <w:tcBorders>
              <w:bottom w:val="single" w:sz="8" w:color="auto"/>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4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shd w:val="clear" w:color="auto" w:fill="CCEEFF"/>
          </w:tcPr>
          <w:p>
            <w:pPr>
              <w:ind w:left="860"/>
              <w:spacing w:after="0" w:line="134" w:lineRule="exact"/>
              <w:rPr>
                <w:sz w:val="20"/>
                <w:szCs w:val="20"/>
                <w:color w:val="auto"/>
              </w:rPr>
            </w:pPr>
            <w:r>
              <w:rPr>
                <w:rFonts w:ascii="Arial" w:cs="Arial" w:eastAsia="Arial" w:hAnsi="Arial"/>
                <w:sz w:val="12"/>
                <w:szCs w:val="12"/>
                <w:color w:val="auto"/>
              </w:rPr>
              <w:t>Income</w:t>
            </w:r>
          </w:p>
        </w:tc>
        <w:tc>
          <w:tcPr>
            <w:tcW w:w="1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14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(loss) per common share:</w:t>
            </w:r>
          </w:p>
        </w:tc>
        <w:tc>
          <w:tcPr>
            <w:tcW w:w="140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1440" w:type="dxa"/>
            <w:vAlign w:val="bottom"/>
          </w:tcPr>
          <w:p>
            <w:pPr>
              <w:ind w:left="1020"/>
              <w:spacing w:after="0"/>
              <w:rPr>
                <w:sz w:val="20"/>
                <w:szCs w:val="20"/>
                <w:color w:val="auto"/>
              </w:rPr>
            </w:pPr>
            <w:r>
              <w:rPr>
                <w:rFonts w:ascii="Arial" w:cs="Arial" w:eastAsia="Arial" w:hAnsi="Arial"/>
                <w:sz w:val="12"/>
                <w:szCs w:val="12"/>
                <w:color w:val="auto"/>
              </w:rPr>
              <w:t>Basic</w:t>
            </w:r>
          </w:p>
        </w:tc>
        <w:tc>
          <w:tcPr>
            <w:tcW w:w="1400" w:type="dxa"/>
            <w:vAlign w:val="bottom"/>
            <w:tcBorders>
              <w:bottom w:val="single" w:sz="8" w:color="auto"/>
            </w:tcBorders>
          </w:tcPr>
          <w:p>
            <w:pPr>
              <w:jc w:val="right"/>
              <w:ind w:right="400"/>
              <w:spacing w:after="0"/>
              <w:rPr>
                <w:sz w:val="20"/>
                <w:szCs w:val="20"/>
                <w:color w:val="auto"/>
              </w:rPr>
            </w:pPr>
            <w:r>
              <w:rPr>
                <w:rFonts w:ascii="Arial" w:cs="Arial" w:eastAsia="Arial" w:hAnsi="Arial"/>
                <w:sz w:val="12"/>
                <w:szCs w:val="12"/>
                <w:color w:val="auto"/>
              </w:rPr>
              <w:t>$</w:t>
            </w:r>
          </w:p>
        </w:tc>
        <w:tc>
          <w:tcPr>
            <w:tcW w:w="12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0.21</w:t>
            </w:r>
          </w:p>
        </w:tc>
        <w:tc>
          <w:tcPr>
            <w:tcW w:w="46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60"/>
              <w:spacing w:after="0"/>
              <w:rPr>
                <w:sz w:val="20"/>
                <w:szCs w:val="20"/>
                <w:color w:val="auto"/>
              </w:rPr>
            </w:pPr>
            <w:r>
              <w:rPr>
                <w:rFonts w:ascii="Arial" w:cs="Arial" w:eastAsia="Arial" w:hAnsi="Arial"/>
                <w:sz w:val="12"/>
                <w:szCs w:val="12"/>
                <w:color w:val="auto"/>
              </w:rPr>
              <w:t>$</w:t>
            </w:r>
          </w:p>
        </w:tc>
        <w:tc>
          <w:tcPr>
            <w:tcW w:w="12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(0.29</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9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332980" cy="2914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332980" cy="291465"/>
                    </a:xfrm>
                    <a:prstGeom prst="rect">
                      <a:avLst/>
                    </a:prstGeom>
                    <a:noFill/>
                  </pic:spPr>
                </pic:pic>
              </a:graphicData>
            </a:graphic>
          </wp:anchor>
        </w:drawing>
      </w:r>
    </w:p>
    <w:p>
      <w:pPr>
        <w:ind w:left="5520" w:hanging="106"/>
        <w:spacing w:after="0"/>
        <w:tabs>
          <w:tab w:leader="none" w:pos="5520" w:val="left"/>
        </w:tabs>
        <w:numPr>
          <w:ilvl w:val="0"/>
          <w:numId w:val="3"/>
        </w:numPr>
        <w:rPr>
          <w:rFonts w:ascii="Arial" w:cs="Arial" w:eastAsia="Arial" w:hAnsi="Arial"/>
          <w:sz w:val="12"/>
          <w:szCs w:val="12"/>
          <w:color w:val="auto"/>
        </w:rPr>
      </w:pPr>
      <w:r>
        <w:rPr>
          <w:rFonts w:ascii="Arial" w:cs="Arial" w:eastAsia="Arial" w:hAnsi="Arial"/>
          <w:sz w:val="12"/>
          <w:szCs w:val="12"/>
          <w:color w:val="auto"/>
        </w:rPr>
        <w:t>div</w:t>
      </w:r>
    </w:p>
    <w:p>
      <w:pPr>
        <w:spacing w:after="0" w:line="6" w:lineRule="exact"/>
        <w:rPr>
          <w:rFonts w:ascii="Arial" w:cs="Arial" w:eastAsia="Arial" w:hAnsi="Arial"/>
          <w:sz w:val="12"/>
          <w:szCs w:val="12"/>
          <w:color w:val="auto"/>
        </w:rPr>
      </w:pPr>
    </w:p>
    <w:p>
      <w:pPr>
        <w:ind w:left="4540"/>
        <w:spacing w:after="0"/>
        <w:rPr>
          <w:rFonts w:ascii="Arial" w:cs="Arial" w:eastAsia="Arial" w:hAnsi="Arial"/>
          <w:sz w:val="12"/>
          <w:szCs w:val="12"/>
          <w:color w:val="auto"/>
        </w:rPr>
      </w:pPr>
      <w:r>
        <w:rPr>
          <w:rFonts w:ascii="Arial" w:cs="Arial" w:eastAsia="Arial" w:hAnsi="Arial"/>
          <w:sz w:val="12"/>
          <w:szCs w:val="12"/>
          <w:color w:val="auto"/>
        </w:rPr>
        <w:t>style="overflow:hidden;font-</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80" w:type="dxa"/>
            <w:vAlign w:val="bottom"/>
            <w:gridSpan w:val="3"/>
          </w:tcPr>
          <w:p>
            <w:pPr>
              <w:jc w:val="right"/>
              <w:ind w:right="900"/>
              <w:spacing w:after="0"/>
              <w:rPr>
                <w:sz w:val="20"/>
                <w:szCs w:val="20"/>
                <w:color w:val="auto"/>
              </w:rPr>
            </w:pPr>
            <w:r>
              <w:rPr>
                <w:rFonts w:ascii="Arial" w:cs="Arial" w:eastAsia="Arial" w:hAnsi="Arial"/>
                <w:sz w:val="12"/>
                <w:szCs w:val="12"/>
                <w:color w:val="auto"/>
              </w:rPr>
              <w:t>Diluted</w:t>
            </w:r>
          </w:p>
        </w:tc>
        <w:tc>
          <w:tcPr>
            <w:tcW w:w="960" w:type="dxa"/>
            <w:vAlign w:val="bottom"/>
          </w:tcPr>
          <w:p>
            <w:pPr>
              <w:jc w:val="right"/>
              <w:ind w:right="800"/>
              <w:spacing w:after="0"/>
              <w:rPr>
                <w:sz w:val="20"/>
                <w:szCs w:val="20"/>
                <w:color w:val="auto"/>
              </w:rPr>
            </w:pPr>
            <w:r>
              <w:rPr>
                <w:rFonts w:ascii="Arial" w:cs="Arial" w:eastAsia="Arial" w:hAnsi="Arial"/>
                <w:sz w:val="12"/>
                <w:szCs w:val="12"/>
                <w:color w:val="auto"/>
              </w:rPr>
              <w:t>$</w:t>
            </w:r>
          </w:p>
        </w:tc>
        <w:tc>
          <w:tcPr>
            <w:tcW w:w="1020" w:type="dxa"/>
            <w:vAlign w:val="bottom"/>
          </w:tcPr>
          <w:p>
            <w:pPr>
              <w:jc w:val="right"/>
              <w:ind w:right="560"/>
              <w:spacing w:after="0"/>
              <w:rPr>
                <w:sz w:val="20"/>
                <w:szCs w:val="20"/>
                <w:color w:val="auto"/>
              </w:rPr>
            </w:pPr>
            <w:r>
              <w:rPr>
                <w:rFonts w:ascii="Arial" w:cs="Arial" w:eastAsia="Arial" w:hAnsi="Arial"/>
                <w:sz w:val="12"/>
                <w:szCs w:val="12"/>
                <w:color w:val="auto"/>
              </w:rPr>
              <w:t>0.21</w:t>
            </w:r>
          </w:p>
        </w:tc>
        <w:tc>
          <w:tcPr>
            <w:tcW w:w="1160" w:type="dxa"/>
            <w:vAlign w:val="bottom"/>
          </w:tcPr>
          <w:p>
            <w:pPr>
              <w:ind w:left="280"/>
              <w:spacing w:after="0"/>
              <w:rPr>
                <w:sz w:val="20"/>
                <w:szCs w:val="20"/>
                <w:color w:val="auto"/>
              </w:rPr>
            </w:pPr>
            <w:r>
              <w:rPr>
                <w:rFonts w:ascii="Arial" w:cs="Arial" w:eastAsia="Arial" w:hAnsi="Arial"/>
                <w:sz w:val="12"/>
                <w:szCs w:val="12"/>
                <w:color w:val="auto"/>
              </w:rPr>
              <w:t>size:10pt;"&gt;</w:t>
            </w:r>
          </w:p>
        </w:tc>
        <w:tc>
          <w:tcPr>
            <w:tcW w:w="2040" w:type="dxa"/>
            <w:vAlign w:val="bottom"/>
          </w:tcPr>
          <w:p>
            <w:pPr>
              <w:jc w:val="right"/>
              <w:ind w:right="520"/>
              <w:spacing w:after="0"/>
              <w:rPr>
                <w:sz w:val="20"/>
                <w:szCs w:val="20"/>
                <w:color w:val="auto"/>
              </w:rPr>
            </w:pPr>
            <w:r>
              <w:rPr>
                <w:rFonts w:ascii="Arial" w:cs="Arial" w:eastAsia="Arial" w:hAnsi="Arial"/>
                <w:sz w:val="12"/>
                <w:szCs w:val="12"/>
                <w:color w:val="auto"/>
              </w:rPr>
              <w:t>$</w:t>
            </w:r>
          </w:p>
        </w:tc>
        <w:tc>
          <w:tcPr>
            <w:tcW w:w="1500" w:type="dxa"/>
            <w:vAlign w:val="bottom"/>
          </w:tcPr>
          <w:p>
            <w:pPr>
              <w:jc w:val="right"/>
              <w:ind w:right="780"/>
              <w:spacing w:after="0"/>
              <w:rPr>
                <w:sz w:val="20"/>
                <w:szCs w:val="20"/>
                <w:color w:val="auto"/>
              </w:rPr>
            </w:pPr>
            <w:r>
              <w:rPr>
                <w:rFonts w:ascii="Arial" w:cs="Arial" w:eastAsia="Arial" w:hAnsi="Arial"/>
                <w:sz w:val="12"/>
                <w:szCs w:val="12"/>
                <w:color w:val="auto"/>
              </w:rPr>
              <w:t>(0.29</w:t>
            </w:r>
          </w:p>
        </w:tc>
        <w:tc>
          <w:tcPr>
            <w:tcW w:w="140" w:type="dxa"/>
            <w:vAlign w:val="bottom"/>
          </w:tcPr>
          <w:p>
            <w:pPr>
              <w:ind w:left="4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0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jc w:val="right"/>
              <w:ind w:right="920"/>
              <w:spacing w:after="0" w:line="134" w:lineRule="exact"/>
              <w:rPr>
                <w:sz w:val="20"/>
                <w:szCs w:val="20"/>
                <w:color w:val="auto"/>
              </w:rPr>
            </w:pPr>
            <w:r>
              <w:rPr>
                <w:rFonts w:ascii="Arial" w:cs="Arial" w:eastAsia="Arial" w:hAnsi="Arial"/>
                <w:sz w:val="12"/>
                <w:szCs w:val="12"/>
                <w:color w:val="auto"/>
              </w:rPr>
              <w:t>Weighted</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260" w:type="dxa"/>
            <w:vAlign w:val="bottom"/>
            <w:gridSpan w:val="4"/>
            <w:shd w:val="clear" w:color="auto" w:fill="CCEEFF"/>
          </w:tcPr>
          <w:p>
            <w:pPr>
              <w:spacing w:after="0" w:line="135" w:lineRule="exact"/>
              <w:rPr>
                <w:sz w:val="20"/>
                <w:szCs w:val="20"/>
                <w:color w:val="auto"/>
              </w:rPr>
            </w:pPr>
            <w:r>
              <w:rPr>
                <w:rFonts w:ascii="Arial" w:cs="Arial" w:eastAsia="Arial" w:hAnsi="Arial"/>
                <w:sz w:val="12"/>
                <w:szCs w:val="12"/>
                <w:color w:val="auto"/>
              </w:rPr>
              <w:t>average common shares</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outstanding:</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80" w:type="dxa"/>
            <w:vAlign w:val="bottom"/>
            <w:gridSpan w:val="3"/>
          </w:tcPr>
          <w:p>
            <w:pPr>
              <w:ind w:left="420"/>
              <w:spacing w:after="0"/>
              <w:rPr>
                <w:sz w:val="20"/>
                <w:szCs w:val="20"/>
                <w:color w:val="auto"/>
              </w:rPr>
            </w:pPr>
            <w:r>
              <w:rPr>
                <w:rFonts w:ascii="Arial" w:cs="Arial" w:eastAsia="Arial" w:hAnsi="Arial"/>
                <w:sz w:val="12"/>
                <w:szCs w:val="12"/>
                <w:color w:val="auto"/>
              </w:rPr>
              <w:t>Basic</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jc w:val="right"/>
              <w:ind w:right="560"/>
              <w:spacing w:after="0"/>
              <w:rPr>
                <w:sz w:val="20"/>
                <w:szCs w:val="20"/>
                <w:color w:val="auto"/>
              </w:rPr>
            </w:pPr>
            <w:r>
              <w:rPr>
                <w:rFonts w:ascii="Arial" w:cs="Arial" w:eastAsia="Arial" w:hAnsi="Arial"/>
                <w:sz w:val="12"/>
                <w:szCs w:val="12"/>
                <w:color w:val="auto"/>
              </w:rPr>
              <w:t>29,098</w:t>
            </w:r>
          </w:p>
        </w:tc>
        <w:tc>
          <w:tcPr>
            <w:tcW w:w="1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500" w:type="dxa"/>
            <w:vAlign w:val="bottom"/>
          </w:tcPr>
          <w:p>
            <w:pPr>
              <w:jc w:val="right"/>
              <w:ind w:right="780"/>
              <w:spacing w:after="0"/>
              <w:rPr>
                <w:sz w:val="20"/>
                <w:szCs w:val="20"/>
                <w:color w:val="auto"/>
              </w:rPr>
            </w:pPr>
            <w:r>
              <w:rPr>
                <w:rFonts w:ascii="Arial" w:cs="Arial" w:eastAsia="Arial" w:hAnsi="Arial"/>
                <w:sz w:val="12"/>
                <w:szCs w:val="12"/>
                <w:color w:val="auto"/>
              </w:rPr>
              <w:t>29,045</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80" w:type="dxa"/>
            <w:vAlign w:val="bottom"/>
            <w:gridSpan w:val="3"/>
            <w:shd w:val="clear" w:color="auto" w:fill="CCEEFF"/>
          </w:tcPr>
          <w:p>
            <w:pPr>
              <w:jc w:val="right"/>
              <w:ind w:right="900"/>
              <w:spacing w:after="0"/>
              <w:rPr>
                <w:sz w:val="20"/>
                <w:szCs w:val="20"/>
                <w:color w:val="auto"/>
              </w:rPr>
            </w:pPr>
            <w:r>
              <w:rPr>
                <w:rFonts w:ascii="Arial" w:cs="Arial" w:eastAsia="Arial" w:hAnsi="Arial"/>
                <w:sz w:val="12"/>
                <w:szCs w:val="12"/>
                <w:color w:val="auto"/>
              </w:rPr>
              <w:t>Diluted</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560"/>
              <w:spacing w:after="0"/>
              <w:rPr>
                <w:sz w:val="20"/>
                <w:szCs w:val="20"/>
                <w:color w:val="auto"/>
              </w:rPr>
            </w:pPr>
            <w:r>
              <w:rPr>
                <w:rFonts w:ascii="Arial" w:cs="Arial" w:eastAsia="Arial" w:hAnsi="Arial"/>
                <w:sz w:val="12"/>
                <w:szCs w:val="12"/>
                <w:color w:val="auto"/>
              </w:rPr>
              <w:t>29,107</w:t>
            </w: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jc w:val="right"/>
              <w:ind w:right="780"/>
              <w:spacing w:after="0"/>
              <w:rPr>
                <w:sz w:val="20"/>
                <w:szCs w:val="20"/>
                <w:color w:val="auto"/>
              </w:rPr>
            </w:pPr>
            <w:r>
              <w:rPr>
                <w:rFonts w:ascii="Arial" w:cs="Arial" w:eastAsia="Arial" w:hAnsi="Arial"/>
                <w:sz w:val="12"/>
                <w:szCs w:val="12"/>
                <w:color w:val="auto"/>
              </w:rPr>
              <w:t>29,056</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80" w:type="dxa"/>
            <w:vAlign w:val="bottom"/>
            <w:gridSpan w:val="3"/>
            <w:shd w:val="clear" w:color="auto" w:fill="CCEEFF"/>
          </w:tcPr>
          <w:p>
            <w:pPr>
              <w:jc w:val="right"/>
              <w:ind w:right="900"/>
              <w:spacing w:after="0" w:line="134" w:lineRule="exact"/>
              <w:rPr>
                <w:sz w:val="20"/>
                <w:szCs w:val="20"/>
                <w:color w:val="auto"/>
              </w:rPr>
            </w:pPr>
            <w:r>
              <w:rPr>
                <w:rFonts w:ascii="Arial" w:cs="Arial" w:eastAsia="Arial" w:hAnsi="Arial"/>
                <w:sz w:val="12"/>
                <w:szCs w:val="12"/>
                <w:color w:val="auto"/>
              </w:rPr>
              <w:t>Dividends</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260" w:type="dxa"/>
            <w:vAlign w:val="bottom"/>
            <w:gridSpan w:val="4"/>
            <w:shd w:val="clear" w:color="auto" w:fill="CCEEFF"/>
          </w:tcPr>
          <w:p>
            <w:pPr>
              <w:spacing w:after="0" w:line="136" w:lineRule="exact"/>
              <w:rPr>
                <w:sz w:val="20"/>
                <w:szCs w:val="20"/>
                <w:color w:val="auto"/>
              </w:rPr>
            </w:pPr>
            <w:r>
              <w:rPr>
                <w:rFonts w:ascii="Arial" w:cs="Arial" w:eastAsia="Arial" w:hAnsi="Arial"/>
                <w:sz w:val="12"/>
                <w:szCs w:val="12"/>
                <w:color w:val="auto"/>
              </w:rPr>
              <w:t>paid per common share</w:t>
            </w:r>
          </w:p>
        </w:tc>
        <w:tc>
          <w:tcPr>
            <w:tcW w:w="960" w:type="dxa"/>
            <w:vAlign w:val="bottom"/>
            <w:shd w:val="clear" w:color="auto" w:fill="CCEEFF"/>
          </w:tcPr>
          <w:p>
            <w:pPr>
              <w:jc w:val="right"/>
              <w:ind w:right="800"/>
              <w:spacing w:after="0" w:line="136" w:lineRule="exact"/>
              <w:rPr>
                <w:sz w:val="20"/>
                <w:szCs w:val="20"/>
                <w:color w:val="auto"/>
              </w:rPr>
            </w:pPr>
            <w:r>
              <w:rPr>
                <w:rFonts w:ascii="Arial" w:cs="Arial" w:eastAsia="Arial" w:hAnsi="Arial"/>
                <w:sz w:val="12"/>
                <w:szCs w:val="12"/>
                <w:color w:val="auto"/>
              </w:rPr>
              <w:t>$</w:t>
            </w:r>
          </w:p>
        </w:tc>
        <w:tc>
          <w:tcPr>
            <w:tcW w:w="1020" w:type="dxa"/>
            <w:vAlign w:val="bottom"/>
            <w:shd w:val="clear" w:color="auto" w:fill="CCEEFF"/>
          </w:tcPr>
          <w:p>
            <w:pPr>
              <w:jc w:val="right"/>
              <w:ind w:right="560"/>
              <w:spacing w:after="0" w:line="136"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jc w:val="right"/>
              <w:ind w:right="520"/>
              <w:spacing w:after="0" w:line="136" w:lineRule="exact"/>
              <w:rPr>
                <w:sz w:val="20"/>
                <w:szCs w:val="20"/>
                <w:color w:val="auto"/>
              </w:rPr>
            </w:pPr>
            <w:r>
              <w:rPr>
                <w:rFonts w:ascii="Arial" w:cs="Arial" w:eastAsia="Arial" w:hAnsi="Arial"/>
                <w:sz w:val="12"/>
                <w:szCs w:val="12"/>
                <w:color w:val="auto"/>
              </w:rPr>
              <w:t>$</w:t>
            </w:r>
          </w:p>
        </w:tc>
        <w:tc>
          <w:tcPr>
            <w:tcW w:w="1500" w:type="dxa"/>
            <w:vAlign w:val="bottom"/>
            <w:shd w:val="clear" w:color="auto" w:fill="CCEEFF"/>
          </w:tcPr>
          <w:p>
            <w:pPr>
              <w:jc w:val="right"/>
              <w:ind w:right="780"/>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420"/>
              <w:spacing w:after="0" w:line="136"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88"/>
        </w:trPr>
        <w:tc>
          <w:tcPr>
            <w:tcW w:w="3240" w:type="dxa"/>
            <w:vAlign w:val="bottom"/>
            <w:gridSpan w:val="6"/>
          </w:tcPr>
          <w:p>
            <w:pPr>
              <w:spacing w:after="0"/>
              <w:rPr>
                <w:sz w:val="20"/>
                <w:szCs w:val="20"/>
                <w:color w:val="auto"/>
              </w:rPr>
            </w:pPr>
            <w:r>
              <w:rPr>
                <w:rFonts w:ascii="Arial" w:cs="Arial" w:eastAsia="Arial" w:hAnsi="Arial"/>
                <w:sz w:val="12"/>
                <w:szCs w:val="12"/>
                <w:i w:val="1"/>
                <w:iCs w:val="1"/>
                <w:color w:val="auto"/>
              </w:rPr>
              <w:t>See unaudited notes to financial statements.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jc w:val="center"/>
              <w:ind w:right="1360"/>
              <w:spacing w:after="0"/>
              <w:rPr>
                <w:sz w:val="20"/>
                <w:szCs w:val="20"/>
                <w:color w:val="auto"/>
              </w:rPr>
            </w:pPr>
            <w:r>
              <w:rPr>
                <w:rFonts w:ascii="Arial" w:cs="Arial" w:eastAsia="Arial" w:hAnsi="Arial"/>
                <w:sz w:val="12"/>
                <w:szCs w:val="12"/>
                <w:color w:val="auto"/>
                <w:w w:val="89"/>
              </w:rPr>
              <w:t>1</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gridSpan w:val="2"/>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Winnebago Industries, Inc.</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Unaudited Balance Sheets</w:t>
            </w: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4"/>
          </w:tcPr>
          <w:p>
            <w:pPr>
              <w:jc w:val="right"/>
              <w:ind w:right="307"/>
              <w:spacing w:after="0"/>
              <w:rPr>
                <w:sz w:val="20"/>
                <w:szCs w:val="20"/>
                <w:color w:val="auto"/>
              </w:rPr>
            </w:pPr>
            <w:r>
              <w:rPr>
                <w:rFonts w:ascii="Arial" w:cs="Arial" w:eastAsia="Arial" w:hAnsi="Arial"/>
                <w:sz w:val="12"/>
                <w:szCs w:val="12"/>
                <w:b w:val="1"/>
                <w:bCs w:val="1"/>
                <w:color w:val="auto"/>
              </w:rPr>
              <w:t>May 29,</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3"/>
          </w:tcPr>
          <w:p>
            <w:pPr>
              <w:ind w:left="40"/>
              <w:spacing w:after="0"/>
              <w:rPr>
                <w:sz w:val="20"/>
                <w:szCs w:val="20"/>
                <w:color w:val="auto"/>
              </w:rPr>
            </w:pPr>
            <w:r>
              <w:rPr>
                <w:rFonts w:ascii="Arial" w:cs="Arial" w:eastAsia="Arial" w:hAnsi="Arial"/>
                <w:sz w:val="12"/>
                <w:szCs w:val="12"/>
                <w:b w:val="1"/>
                <w:bCs w:val="1"/>
                <w:color w:val="auto"/>
              </w:rPr>
              <w:t>August 29,</w:t>
            </w:r>
          </w:p>
        </w:tc>
        <w:tc>
          <w:tcPr>
            <w:tcW w:w="0" w:type="dxa"/>
            <w:vAlign w:val="bottom"/>
          </w:tcPr>
          <w:p>
            <w:pPr>
              <w:spacing w:after="0"/>
              <w:rPr>
                <w:sz w:val="1"/>
                <w:szCs w:val="1"/>
                <w:color w:val="auto"/>
              </w:rPr>
            </w:pPr>
          </w:p>
        </w:tc>
      </w:tr>
      <w:tr>
        <w:trPr>
          <w:trHeight w:val="150"/>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4"/>
          </w:tcPr>
          <w:p>
            <w:pPr>
              <w:jc w:val="right"/>
              <w:ind w:right="367"/>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120"/>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vMerge w:val="restart"/>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84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040" w:type="dxa"/>
            <w:vAlign w:val="bottom"/>
            <w:tcBorders>
              <w:top w:val="single" w:sz="8" w:color="auto"/>
            </w:tcBorders>
          </w:tcPr>
          <w:p>
            <w:pPr>
              <w:spacing w:after="0"/>
              <w:rPr>
                <w:sz w:val="2"/>
                <w:szCs w:val="2"/>
                <w:color w:val="auto"/>
              </w:rPr>
            </w:pPr>
          </w:p>
        </w:tc>
        <w:tc>
          <w:tcPr>
            <w:tcW w:w="150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46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Current assets: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Cash and cash equivalents</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76,296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36,566</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Short-term investments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1,150</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13,500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40" w:type="dxa"/>
            <w:vAlign w:val="bottom"/>
            <w:gridSpan w:val="6"/>
            <w:shd w:val="clear" w:color="auto" w:fill="CCEEFF"/>
          </w:tcPr>
          <w:p>
            <w:pPr>
              <w:spacing w:after="0"/>
              <w:rPr>
                <w:sz w:val="20"/>
                <w:szCs w:val="20"/>
                <w:color w:val="auto"/>
              </w:rPr>
            </w:pPr>
            <w:r>
              <w:rPr>
                <w:rFonts w:ascii="Arial" w:cs="Arial" w:eastAsia="Arial" w:hAnsi="Arial"/>
                <w:sz w:val="12"/>
                <w:szCs w:val="12"/>
                <w:color w:val="auto"/>
              </w:rPr>
              <w:t>Receivables, less allowance for doubtful accounts ($93 and $185, respectively)</w:t>
            </w: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10,105</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11,717</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Inventories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39,134</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46,850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Prepaid expenses and other assets</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840" w:type="dxa"/>
            <w:vAlign w:val="bottom"/>
            <w:gridSpan w:val="3"/>
            <w:shd w:val="clear" w:color="auto" w:fill="CCEEFF"/>
          </w:tcPr>
          <w:p>
            <w:pPr>
              <w:ind w:left="140"/>
              <w:spacing w:after="0"/>
              <w:rPr>
                <w:sz w:val="20"/>
                <w:szCs w:val="20"/>
                <w:color w:val="auto"/>
              </w:rPr>
            </w:pPr>
            <w:r>
              <w:rPr>
                <w:rFonts w:ascii="Arial" w:cs="Arial" w:eastAsia="Arial" w:hAnsi="Arial"/>
                <w:sz w:val="12"/>
                <w:szCs w:val="12"/>
                <w:color w:val="auto"/>
              </w:rPr>
              <w:t>3,898</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3,425</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tcBorders>
              <w:bottom w:val="single" w:sz="8" w:color="CCEEFF"/>
            </w:tcBorders>
            <w:gridSpan w:val="4"/>
          </w:tcPr>
          <w:p>
            <w:pPr>
              <w:ind w:left="160"/>
              <w:spacing w:after="0"/>
              <w:rPr>
                <w:sz w:val="20"/>
                <w:szCs w:val="20"/>
                <w:color w:val="auto"/>
              </w:rPr>
            </w:pPr>
            <w:r>
              <w:rPr>
                <w:rFonts w:ascii="Arial" w:cs="Arial" w:eastAsia="Arial" w:hAnsi="Arial"/>
                <w:sz w:val="12"/>
                <w:szCs w:val="12"/>
                <w:color w:val="auto"/>
              </w:rPr>
              <w:t>Income taxes receivable</w:t>
            </w:r>
          </w:p>
        </w:tc>
        <w:tc>
          <w:tcPr>
            <w:tcW w:w="9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1,148</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17,356</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gridSpan w:val="4"/>
            <w:shd w:val="clear" w:color="auto" w:fill="CCEEFF"/>
          </w:tcPr>
          <w:p>
            <w:pPr>
              <w:jc w:val="right"/>
              <w:ind w:right="920"/>
              <w:spacing w:after="0" w:line="133" w:lineRule="exact"/>
              <w:rPr>
                <w:sz w:val="20"/>
                <w:szCs w:val="20"/>
                <w:color w:val="auto"/>
              </w:rPr>
            </w:pPr>
            <w:r>
              <w:rPr>
                <w:rFonts w:ascii="Arial" w:cs="Arial" w:eastAsia="Arial" w:hAnsi="Arial"/>
                <w:sz w:val="12"/>
                <w:szCs w:val="12"/>
                <w:color w:val="auto"/>
              </w:rPr>
              <w:t>Total current assets</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131,731</w:t>
            </w:r>
          </w:p>
        </w:tc>
        <w:tc>
          <w:tcPr>
            <w:tcW w:w="80" w:type="dxa"/>
            <w:vAlign w:val="bottom"/>
            <w:tcBorders>
              <w:right w:val="single" w:sz="8" w:color="CCEEFF"/>
            </w:tcBorders>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129,414</w:t>
            </w:r>
          </w:p>
        </w:tc>
        <w:tc>
          <w:tcPr>
            <w:tcW w:w="14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Property, plant, and equipment, net</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24,536</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28,040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Assets held for sale</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6,515</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6,515</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Long-term investments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19,272</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19,794</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Investment in life insurance</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23,038</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22,451</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Other assets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15,218</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14,252</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860" w:type="dxa"/>
            <w:vAlign w:val="bottom"/>
            <w:gridSpan w:val="2"/>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40" w:type="dxa"/>
            <w:vAlign w:val="bottom"/>
            <w:shd w:val="clear" w:color="auto" w:fill="CCEEFF"/>
          </w:tcPr>
          <w:p>
            <w:pPr>
              <w:spacing w:after="0" w:line="20" w:lineRule="exact"/>
              <w:rPr>
                <w:sz w:val="1"/>
                <w:szCs w:val="1"/>
                <w:color w:val="auto"/>
              </w:rPr>
            </w:pPr>
          </w:p>
        </w:tc>
        <w:tc>
          <w:tcPr>
            <w:tcW w:w="15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Total assets</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line="133" w:lineRule="exact"/>
              <w:rPr>
                <w:sz w:val="20"/>
                <w:szCs w:val="20"/>
                <w:color w:val="auto"/>
              </w:rPr>
            </w:pPr>
            <w:r>
              <w:rPr>
                <w:rFonts w:ascii="Arial" w:cs="Arial" w:eastAsia="Arial" w:hAnsi="Arial"/>
                <w:sz w:val="12"/>
                <w:szCs w:val="12"/>
                <w:color w:val="auto"/>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220,310</w:t>
            </w: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220,466</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58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20" w:type="dxa"/>
            <w:vAlign w:val="bottom"/>
            <w:tcBorders>
              <w:top w:val="single" w:sz="8" w:color="CCEEFF"/>
            </w:tcBorders>
          </w:tcPr>
          <w:p>
            <w:pPr>
              <w:spacing w:after="0"/>
              <w:rPr>
                <w:sz w:val="12"/>
                <w:szCs w:val="12"/>
                <w:color w:val="auto"/>
              </w:rPr>
            </w:pPr>
          </w:p>
        </w:tc>
        <w:tc>
          <w:tcPr>
            <w:tcW w:w="960" w:type="dxa"/>
            <w:vAlign w:val="bottom"/>
            <w:tcBorders>
              <w:top w:val="single" w:sz="8" w:color="CCEEFF"/>
            </w:tcBorders>
          </w:tcPr>
          <w:p>
            <w:pPr>
              <w:spacing w:after="0"/>
              <w:rPr>
                <w:sz w:val="12"/>
                <w:szCs w:val="12"/>
                <w:color w:val="auto"/>
              </w:rPr>
            </w:pPr>
          </w:p>
        </w:tc>
        <w:tc>
          <w:tcPr>
            <w:tcW w:w="1020" w:type="dxa"/>
            <w:vAlign w:val="bottom"/>
            <w:tcBorders>
              <w:top w:val="single" w:sz="8" w:color="CCEEFF"/>
            </w:tcBorders>
          </w:tcPr>
          <w:p>
            <w:pPr>
              <w:spacing w:after="0"/>
              <w:rPr>
                <w:sz w:val="12"/>
                <w:szCs w:val="12"/>
                <w:color w:val="auto"/>
              </w:rPr>
            </w:pPr>
          </w:p>
        </w:tc>
        <w:tc>
          <w:tcPr>
            <w:tcW w:w="1160" w:type="dxa"/>
            <w:vAlign w:val="bottom"/>
            <w:tcBorders>
              <w:top w:val="single" w:sz="8" w:color="CCEEFF"/>
            </w:tcBorders>
          </w:tcPr>
          <w:p>
            <w:pPr>
              <w:spacing w:after="0"/>
              <w:rPr>
                <w:sz w:val="12"/>
                <w:szCs w:val="12"/>
                <w:color w:val="auto"/>
              </w:rPr>
            </w:pPr>
          </w:p>
        </w:tc>
        <w:tc>
          <w:tcPr>
            <w:tcW w:w="2040" w:type="dxa"/>
            <w:vAlign w:val="bottom"/>
            <w:tcBorders>
              <w:top w:val="single" w:sz="8" w:color="CCEEFF"/>
            </w:tcBorders>
          </w:tcPr>
          <w:p>
            <w:pPr>
              <w:spacing w:after="0"/>
              <w:rPr>
                <w:sz w:val="12"/>
                <w:szCs w:val="12"/>
                <w:color w:val="auto"/>
              </w:rPr>
            </w:pPr>
          </w:p>
        </w:tc>
        <w:tc>
          <w:tcPr>
            <w:tcW w:w="1500" w:type="dxa"/>
            <w:vAlign w:val="bottom"/>
            <w:tcBorders>
              <w:top w:val="single" w:sz="8" w:color="CCEEFF"/>
            </w:tcBorders>
          </w:tcPr>
          <w:p>
            <w:pPr>
              <w:spacing w:after="0"/>
              <w:rPr>
                <w:sz w:val="12"/>
                <w:szCs w:val="12"/>
                <w:color w:val="auto"/>
              </w:rPr>
            </w:pPr>
          </w:p>
        </w:tc>
        <w:tc>
          <w:tcPr>
            <w:tcW w:w="140" w:type="dxa"/>
            <w:vAlign w:val="bottom"/>
            <w:tcBorders>
              <w:top w:val="single" w:sz="8" w:color="CCEEFF"/>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b w:val="1"/>
                <w:bCs w:val="1"/>
                <w:color w:val="auto"/>
              </w:rPr>
              <w:t>Liabilities and Stockholders' Equity</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Current liabilities: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07"/>
              <w:spacing w:after="0"/>
              <w:rPr>
                <w:sz w:val="20"/>
                <w:szCs w:val="20"/>
                <w:color w:val="auto"/>
              </w:rPr>
            </w:pPr>
            <w:r>
              <w:rPr>
                <w:rFonts w:ascii="Arial" w:cs="Arial" w:eastAsia="Arial" w:hAnsi="Arial"/>
                <w:sz w:val="12"/>
                <w:szCs w:val="12"/>
                <w:color w:val="auto"/>
                <w:w w:val="94"/>
              </w:rPr>
              <w:t>&lt; /div&gt;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Accounts payable</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w:t>
            </w: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15 ,334</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Short-term ARS borrowings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610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9,100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Income taxes payable</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80</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299</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Accrued expenses: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240"/>
              <w:spacing w:after="0"/>
              <w:rPr>
                <w:sz w:val="20"/>
                <w:szCs w:val="20"/>
                <w:color w:val="auto"/>
              </w:rPr>
            </w:pPr>
            <w:r>
              <w:rPr>
                <w:rFonts w:ascii="Arial" w:cs="Arial" w:eastAsia="Arial" w:hAnsi="Arial"/>
                <w:sz w:val="12"/>
                <w:szCs w:val="12"/>
                <w:color w:val="auto"/>
              </w:rPr>
              <w:t>Accrued compensation</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11,666</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10,204</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240"/>
              <w:spacing w:after="0"/>
              <w:rPr>
                <w:sz w:val="20"/>
                <w:szCs w:val="20"/>
                <w:color w:val="auto"/>
              </w:rPr>
            </w:pPr>
            <w:r>
              <w:rPr>
                <w:rFonts w:ascii="Arial" w:cs="Arial" w:eastAsia="Arial" w:hAnsi="Arial"/>
                <w:sz w:val="12"/>
                <w:szCs w:val="12"/>
                <w:color w:val="auto"/>
              </w:rPr>
              <w:t>Product warranties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6,946</w:t>
            </w:r>
          </w:p>
        </w:tc>
        <w:tc>
          <w:tcPr>
            <w:tcW w:w="40" w:type="dxa"/>
            <w:vAlign w:val="bottom"/>
          </w:tcPr>
          <w:p>
            <w:pPr>
              <w:spacing w:after="0"/>
              <w:rPr>
                <w:sz w:val="12"/>
                <w:szCs w:val="12"/>
                <w:color w:val="auto"/>
              </w:rPr>
            </w:pPr>
          </w:p>
        </w:tc>
        <w:tc>
          <w:tcPr>
            <w:tcW w:w="460" w:type="dxa"/>
            <w:vAlign w:val="bottom"/>
          </w:tcPr>
          <w:p>
            <w:pPr>
              <w:jc w:val="right"/>
              <w:ind w:right="407"/>
              <w:spacing w:after="0"/>
              <w:rPr>
                <w:sz w:val="20"/>
                <w:szCs w:val="20"/>
                <w:color w:val="auto"/>
              </w:rPr>
            </w:pPr>
            <w:r>
              <w:rPr>
                <w:rFonts w:ascii="Arial" w:cs="Arial" w:eastAsia="Arial" w:hAnsi="Arial"/>
                <w:sz w:val="1"/>
                <w:szCs w:val="1"/>
                <w:color w:val="auto"/>
                <w:w w:val="4294967279"/>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6,408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240"/>
              <w:spacing w:after="0"/>
              <w:rPr>
                <w:sz w:val="20"/>
                <w:szCs w:val="20"/>
                <w:color w:val="auto"/>
              </w:rPr>
            </w:pPr>
            <w:r>
              <w:rPr>
                <w:rFonts w:ascii="Arial" w:cs="Arial" w:eastAsia="Arial" w:hAnsi="Arial"/>
                <w:sz w:val="12"/>
                <w:szCs w:val="12"/>
                <w:color w:val="auto"/>
              </w:rPr>
              <w:t>Self-insurance</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4,643</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5,356</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240"/>
              <w:spacing w:after="0"/>
              <w:rPr>
                <w:sz w:val="20"/>
                <w:szCs w:val="20"/>
                <w:color w:val="auto"/>
              </w:rPr>
            </w:pPr>
            <w:r>
              <w:rPr>
                <w:rFonts w:ascii="Arial" w:cs="Arial" w:eastAsia="Arial" w:hAnsi="Arial"/>
                <w:sz w:val="12"/>
                <w:szCs w:val="12"/>
                <w:color w:val="auto"/>
              </w:rPr>
              <w:t>Accrued loss on repurchases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1,595</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1,199</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240"/>
              <w:spacing w:after="0"/>
              <w:rPr>
                <w:sz w:val="20"/>
                <w:szCs w:val="20"/>
                <w:color w:val="auto"/>
              </w:rPr>
            </w:pPr>
            <w:r>
              <w:rPr>
                <w:rFonts w:ascii="Arial" w:cs="Arial" w:eastAsia="Arial" w:hAnsi="Arial"/>
                <w:sz w:val="12"/>
                <w:szCs w:val="12"/>
                <w:color w:val="auto"/>
              </w:rPr>
              <w:t>Promotional</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1,972</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2,270</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tcBorders>
              <w:bottom w:val="single" w:sz="8" w:color="CCEEFF"/>
            </w:tcBorders>
            <w:gridSpan w:val="4"/>
          </w:tcPr>
          <w:p>
            <w:pPr>
              <w:ind w:left="240"/>
              <w:spacing w:after="0"/>
              <w:rPr>
                <w:sz w:val="20"/>
                <w:szCs w:val="20"/>
                <w:color w:val="auto"/>
              </w:rPr>
            </w:pPr>
            <w:r>
              <w:rPr>
                <w:rFonts w:ascii="Arial" w:cs="Arial" w:eastAsia="Arial" w:hAnsi="Arial"/>
                <w:sz w:val="12"/>
                <w:szCs w:val="12"/>
                <w:color w:val="auto"/>
              </w:rPr>
              <w:t>Other</w:t>
            </w:r>
          </w:p>
        </w:tc>
        <w:tc>
          <w:tcPr>
            <w:tcW w:w="960" w:type="dxa"/>
            <w:vAlign w:val="bottom"/>
            <w:tcBorders>
              <w:bottom w:val="single" w:sz="8" w:color="CCEEFF"/>
            </w:tcBorders>
          </w:tcPr>
          <w:p>
            <w:pPr>
              <w:spacing w:after="0"/>
              <w:rPr>
                <w:sz w:val="12"/>
                <w:szCs w:val="12"/>
                <w:color w:val="auto"/>
              </w:rPr>
            </w:pPr>
          </w:p>
        </w:tc>
        <w:tc>
          <w:tcPr>
            <w:tcW w:w="1020" w:type="dxa"/>
            <w:vAlign w:val="bottom"/>
            <w:tcBorders>
              <w:bottom w:val="single" w:sz="8" w:color="CCEEFF"/>
            </w:tcBorders>
          </w:tcPr>
          <w:p>
            <w:pPr>
              <w:spacing w:after="0"/>
              <w:rPr>
                <w:sz w:val="12"/>
                <w:szCs w:val="12"/>
                <w:color w:val="auto"/>
              </w:rPr>
            </w:pPr>
          </w:p>
        </w:tc>
        <w:tc>
          <w:tcPr>
            <w:tcW w:w="1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4,966</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4,748</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gridSpan w:val="4"/>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current liabilities</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CCEEFF"/>
            </w:tcBorders>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47,812</w:t>
            </w:r>
          </w:p>
        </w:tc>
        <w:tc>
          <w:tcPr>
            <w:tcW w:w="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49,954</w:t>
            </w:r>
          </w:p>
        </w:tc>
        <w:tc>
          <w:tcPr>
            <w:tcW w:w="140" w:type="dxa"/>
            <w:vAlign w:val="bottom"/>
            <w:tcBorders>
              <w:bottom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gridSpan w:val="5"/>
          </w:tcPr>
          <w:p>
            <w:pPr>
              <w:spacing w:after="0" w:line="133" w:lineRule="exact"/>
              <w:rPr>
                <w:sz w:val="20"/>
                <w:szCs w:val="20"/>
                <w:color w:val="auto"/>
              </w:rPr>
            </w:pPr>
            <w:r>
              <w:rPr>
                <w:rFonts w:ascii="Arial" w:cs="Arial" w:eastAsia="Arial" w:hAnsi="Arial"/>
                <w:sz w:val="12"/>
                <w:szCs w:val="12"/>
                <w:color w:val="auto"/>
              </w:rPr>
              <w:t>Long-term liabilities: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260" w:type="dxa"/>
            <w:vAlign w:val="bottom"/>
            <w:gridSpan w:val="4"/>
            <w:shd w:val="clear" w:color="auto" w:fill="CCEEFF"/>
          </w:tcPr>
          <w:p>
            <w:pPr>
              <w:ind w:left="160"/>
              <w:spacing w:after="0" w:line="126" w:lineRule="exact"/>
              <w:rPr>
                <w:sz w:val="20"/>
                <w:szCs w:val="20"/>
                <w:color w:val="auto"/>
              </w:rPr>
            </w:pPr>
            <w:r>
              <w:rPr>
                <w:rFonts w:ascii="Arial" w:cs="Arial" w:eastAsia="Arial" w:hAnsi="Arial"/>
                <w:sz w:val="12"/>
                <w:szCs w:val="12"/>
                <w:color w:val="auto"/>
              </w:rPr>
              <w:t>Unrecognized tax benefits</w:t>
            </w:r>
          </w:p>
        </w:tc>
        <w:tc>
          <w:tcPr>
            <w:tcW w:w="9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2040" w:type="dxa"/>
            <w:vAlign w:val="bottom"/>
            <w:shd w:val="clear" w:color="auto" w:fill="CCEEFF"/>
          </w:tcPr>
          <w:p>
            <w:pPr>
              <w:spacing w:after="0"/>
              <w:rPr>
                <w:sz w:val="10"/>
                <w:szCs w:val="10"/>
                <w:color w:val="auto"/>
              </w:rPr>
            </w:pPr>
          </w:p>
        </w:tc>
        <w:tc>
          <w:tcPr>
            <w:tcW w:w="15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tcBorders>
              <w:right w:val="single" w:sz="8" w:color="CCEEFF"/>
            </w:tcBorders>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&lt; /td&gt;</w:t>
            </w:r>
          </w:p>
        </w:tc>
        <w:tc>
          <w:tcPr>
            <w:tcW w:w="9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6,090</w:t>
            </w: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9,012</w:t>
            </w:r>
          </w:p>
        </w:tc>
        <w:tc>
          <w:tcPr>
            <w:tcW w:w="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40" w:type="dxa"/>
            <w:vAlign w:val="bottom"/>
            <w:tcBorders>
              <w:bottom w:val="single" w:sz="8" w:color="CCEEFF"/>
            </w:tcBorders>
            <w:gridSpan w:val="6"/>
          </w:tcPr>
          <w:p>
            <w:pPr>
              <w:ind w:left="160"/>
              <w:spacing w:after="0"/>
              <w:rPr>
                <w:sz w:val="20"/>
                <w:szCs w:val="20"/>
                <w:color w:val="auto"/>
              </w:rPr>
            </w:pPr>
            <w:r>
              <w:rPr>
                <w:rFonts w:ascii="Arial" w:cs="Arial" w:eastAsia="Arial" w:hAnsi="Arial"/>
                <w:sz w:val="12"/>
                <w:szCs w:val="12"/>
                <w:color w:val="auto"/>
              </w:rPr>
              <w:t>Postretirement health care and deferred compensation benefits</w:t>
            </w:r>
          </w:p>
        </w:tc>
        <w:tc>
          <w:tcPr>
            <w:tcW w:w="1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70,071</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69,169</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gridSpan w:val="4"/>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long-term liabilities</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0" w:type="dxa"/>
            <w:vAlign w:val="bottom"/>
            <w:tcBorders>
              <w:right w:val="single" w:sz="8" w:color="CCEEFF"/>
            </w:tcBorders>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76,161</w:t>
            </w:r>
          </w:p>
        </w:tc>
        <w:tc>
          <w:tcPr>
            <w:tcW w:w="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78,181</w:t>
            </w:r>
          </w:p>
        </w:tc>
        <w:tc>
          <w:tcPr>
            <w:tcW w:w="140" w:type="dxa"/>
            <w:vAlign w:val="bottom"/>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280" w:type="dxa"/>
            <w:vAlign w:val="bottom"/>
            <w:gridSpan w:val="5"/>
          </w:tcPr>
          <w:p>
            <w:pPr>
              <w:spacing w:after="0" w:line="133" w:lineRule="exact"/>
              <w:rPr>
                <w:sz w:val="20"/>
                <w:szCs w:val="20"/>
                <w:color w:val="auto"/>
              </w:rPr>
            </w:pPr>
            <w:r>
              <w:rPr>
                <w:rFonts w:ascii="Arial" w:cs="Arial" w:eastAsia="Arial" w:hAnsi="Arial"/>
                <w:sz w:val="12"/>
                <w:szCs w:val="12"/>
                <w:color w:val="auto"/>
              </w:rPr>
              <w:t>Contingent liabilities and commitments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Stockholders' equity:</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0" w:type="dxa"/>
            <w:vAlign w:val="bottom"/>
            <w:gridSpan w:val="7"/>
          </w:tcPr>
          <w:p>
            <w:pPr>
              <w:ind w:left="160"/>
              <w:spacing w:after="0"/>
              <w:rPr>
                <w:sz w:val="20"/>
                <w:szCs w:val="20"/>
                <w:color w:val="auto"/>
              </w:rPr>
            </w:pPr>
            <w:r>
              <w:rPr>
                <w:rFonts w:ascii="Arial" w:cs="Arial" w:eastAsia="Arial" w:hAnsi="Arial"/>
                <w:sz w:val="12"/>
                <w:szCs w:val="12"/>
                <w:color w:val="auto"/>
              </w:rPr>
              <w:t>Capital stock common, par value $0.50; authorized 60,000 shares, issued 51,776 shares</w:t>
            </w: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2"/>
                <w:szCs w:val="12"/>
                <w:color w:val="auto"/>
              </w:rPr>
              <w:t>25,888</w:t>
            </w: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25,888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Additional paid-in capital</w:t>
            </w:r>
          </w:p>
        </w:tc>
        <w:tc>
          <w:tcPr>
            <w:tcW w:w="9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29,480</w:t>
            </w:r>
          </w:p>
        </w:tc>
        <w:tc>
          <w:tcPr>
            <w:tcW w:w="80" w:type="dxa"/>
            <w:vAlign w:val="bottom"/>
            <w:tcBorders>
              <w:right w:val="single" w:sz="8" w:color="CCEEFF"/>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29,726</w:t>
            </w:r>
          </w:p>
        </w:tc>
        <w:tc>
          <w:tcPr>
            <w:tcW w:w="14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Retained earnings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415,782</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410,428</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gridSpan w:val="5"/>
            <w:shd w:val="clear" w:color="auto" w:fill="CCEEFF"/>
          </w:tcPr>
          <w:p>
            <w:pPr>
              <w:ind w:left="160"/>
              <w:spacing w:after="0"/>
              <w:rPr>
                <w:sz w:val="20"/>
                <w:szCs w:val="20"/>
                <w:color w:val="auto"/>
              </w:rPr>
            </w:pPr>
            <w:r>
              <w:rPr>
                <w:rFonts w:ascii="Arial" w:cs="Arial" w:eastAsia="Arial" w:hAnsi="Arial"/>
                <w:sz w:val="12"/>
                <w:szCs w:val="12"/>
                <w:color w:val="auto"/>
              </w:rPr>
              <w:t>Accumulated other comprehensive income</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5,014</w:t>
            </w: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6,540</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40" w:type="dxa"/>
            <w:vAlign w:val="bottom"/>
            <w:tcBorders>
              <w:bottom w:val="single" w:sz="8" w:color="CCEEFF"/>
            </w:tcBorders>
            <w:gridSpan w:val="6"/>
          </w:tcPr>
          <w:p>
            <w:pPr>
              <w:ind w:left="160"/>
              <w:spacing w:after="0"/>
              <w:rPr>
                <w:sz w:val="20"/>
                <w:szCs w:val="20"/>
                <w:color w:val="auto"/>
              </w:rPr>
            </w:pPr>
            <w:r>
              <w:rPr>
                <w:rFonts w:ascii="Arial" w:cs="Arial" w:eastAsia="Arial" w:hAnsi="Arial"/>
                <w:sz w:val="12"/>
                <w:szCs w:val="12"/>
                <w:color w:val="auto"/>
              </w:rPr>
              <w:t>Treasury stock, at cost (22,666 and 22,690 shares, respectively)</w:t>
            </w:r>
          </w:p>
        </w:tc>
        <w:tc>
          <w:tcPr>
            <w:tcW w:w="1160" w:type="dxa"/>
            <w:vAlign w:val="bottom"/>
            <w:tcBorders>
              <w:bottom w:val="single" w:sz="8" w:color="CCEEFF"/>
            </w:tcBorders>
          </w:tcPr>
          <w:p>
            <w:pPr>
              <w:spacing w:after="0"/>
              <w:rPr>
                <w:sz w:val="12"/>
                <w:szCs w:val="12"/>
                <w:color w:val="auto"/>
              </w:rPr>
            </w:pPr>
          </w:p>
        </w:tc>
        <w:tc>
          <w:tcPr>
            <w:tcW w:w="204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(379,827)</w:t>
            </w:r>
          </w:p>
        </w:tc>
        <w:tc>
          <w:tcPr>
            <w:tcW w:w="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(380,251)</w:t>
            </w:r>
          </w:p>
        </w:tc>
        <w:tc>
          <w:tcPr>
            <w:tcW w:w="14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gridSpan w:val="4"/>
            <w:shd w:val="clear" w:color="auto" w:fill="CCEEFF"/>
          </w:tcPr>
          <w:p>
            <w:pPr>
              <w:ind w:left="360"/>
              <w:spacing w:after="0" w:line="133" w:lineRule="exact"/>
              <w:rPr>
                <w:sz w:val="20"/>
                <w:szCs w:val="20"/>
                <w:color w:val="auto"/>
              </w:rPr>
            </w:pPr>
            <w:r>
              <w:rPr>
                <w:rFonts w:ascii="Arial" w:cs="Arial" w:eastAsia="Arial" w:hAnsi="Arial"/>
                <w:sz w:val="12"/>
                <w:szCs w:val="12"/>
                <w:color w:val="auto"/>
              </w:rPr>
              <w:t>Total stockholders' equity</w:t>
            </w:r>
          </w:p>
        </w:tc>
        <w:tc>
          <w:tcPr>
            <w:tcW w:w="9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204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600" w:type="dxa"/>
            <w:vAlign w:val="bottom"/>
            <w:tcBorders>
              <w:bottom w:val="single" w:sz="8" w:color="auto"/>
              <w:right w:val="single" w:sz="8" w:color="CCEEFF"/>
            </w:tcBorders>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96,337</w:t>
            </w:r>
          </w:p>
        </w:tc>
        <w:tc>
          <w:tcPr>
            <w:tcW w:w="4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92,331</w:t>
            </w:r>
          </w:p>
        </w:tc>
        <w:tc>
          <w:tcPr>
            <w:tcW w:w="140" w:type="dxa"/>
            <w:vAlign w:val="bottom"/>
            <w:tcBorders>
              <w:bottom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260" w:type="dxa"/>
            <w:vAlign w:val="bottom"/>
            <w:gridSpan w:val="4"/>
          </w:tcPr>
          <w:p>
            <w:pPr>
              <w:ind w:left="160"/>
              <w:spacing w:after="0" w:line="133" w:lineRule="exact"/>
              <w:rPr>
                <w:sz w:val="20"/>
                <w:szCs w:val="20"/>
                <w:color w:val="auto"/>
              </w:rPr>
            </w:pPr>
            <w:r>
              <w:rPr>
                <w:rFonts w:ascii="Arial" w:cs="Arial" w:eastAsia="Arial" w:hAnsi="Arial"/>
                <w:sz w:val="12"/>
                <w:szCs w:val="12"/>
                <w:color w:val="auto"/>
              </w:rPr>
              <w:t>Total liabilities and stockholders' equity</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320" w:type="dxa"/>
            <w:vAlign w:val="bottom"/>
            <w:gridSpan w:val="2"/>
          </w:tcPr>
          <w:p>
            <w:pPr>
              <w:ind w:left="140"/>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220,310</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Pr>
          <w:p>
            <w:pPr>
              <w:jc w:val="right"/>
              <w:spacing w:after="0" w:line="133" w:lineRule="exact"/>
              <w:rPr>
                <w:sz w:val="20"/>
                <w:szCs w:val="20"/>
                <w:color w:val="auto"/>
              </w:rPr>
            </w:pPr>
            <w:r>
              <w:rPr>
                <w:rFonts w:ascii="Arial" w:cs="Arial" w:eastAsia="Arial" w:hAnsi="Arial"/>
                <w:sz w:val="12"/>
                <w:szCs w:val="12"/>
                <w:color w:val="auto"/>
              </w:rPr>
              <w:t>220,466</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5"/>
        </w:trPr>
        <w:tc>
          <w:tcPr>
            <w:tcW w:w="3240" w:type="dxa"/>
            <w:vAlign w:val="bottom"/>
            <w:gridSpan w:val="6"/>
          </w:tcPr>
          <w:p>
            <w:pPr>
              <w:spacing w:after="0"/>
              <w:rPr>
                <w:sz w:val="20"/>
                <w:szCs w:val="20"/>
                <w:color w:val="auto"/>
              </w:rPr>
            </w:pPr>
            <w:r>
              <w:rPr>
                <w:rFonts w:ascii="Arial" w:cs="Arial" w:eastAsia="Arial" w:hAnsi="Arial"/>
                <w:sz w:val="12"/>
                <w:szCs w:val="12"/>
                <w:i w:val="1"/>
                <w:iCs w:val="1"/>
                <w:color w:val="auto"/>
              </w:rPr>
              <w:t>See unaudited notes to financial statements.</w:t>
            </w: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jc w:val="center"/>
              <w:ind w:right="1360"/>
              <w:spacing w:after="0"/>
              <w:rPr>
                <w:sz w:val="20"/>
                <w:szCs w:val="20"/>
                <w:color w:val="auto"/>
              </w:rPr>
            </w:pPr>
            <w:r>
              <w:rPr>
                <w:rFonts w:ascii="Arial" w:cs="Arial" w:eastAsia="Arial" w:hAnsi="Arial"/>
                <w:sz w:val="12"/>
                <w:szCs w:val="12"/>
                <w:color w:val="auto"/>
                <w:w w:val="89"/>
              </w:rPr>
              <w:t>2</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gridSpan w:val="2"/>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96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60" w:type="dxa"/>
            <w:vAlign w:val="bottom"/>
            <w:tcBorders>
              <w:bottom w:val="single" w:sz="8" w:color="9A9A9A"/>
            </w:tcBorders>
          </w:tcPr>
          <w:p>
            <w:pPr>
              <w:spacing w:after="0"/>
              <w:rPr>
                <w:sz w:val="6"/>
                <w:szCs w:val="6"/>
                <w:color w:val="auto"/>
              </w:rPr>
            </w:pPr>
          </w:p>
        </w:tc>
        <w:tc>
          <w:tcPr>
            <w:tcW w:w="2040" w:type="dxa"/>
            <w:vAlign w:val="bottom"/>
            <w:tcBorders>
              <w:bottom w:val="single" w:sz="8" w:color="9A9A9A"/>
            </w:tcBorders>
          </w:tcPr>
          <w:p>
            <w:pPr>
              <w:spacing w:after="0"/>
              <w:rPr>
                <w:sz w:val="6"/>
                <w:szCs w:val="6"/>
                <w:color w:val="auto"/>
              </w:rPr>
            </w:pPr>
          </w:p>
        </w:tc>
        <w:tc>
          <w:tcPr>
            <w:tcW w:w="15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60" w:type="dxa"/>
            <w:vAlign w:val="bottom"/>
            <w:tcBorders>
              <w:bottom w:val="single" w:sz="8" w:color="0000FF"/>
            </w:tcBorders>
            <w:gridSpan w:val="2"/>
          </w:tcPr>
          <w:p>
            <w:pPr>
              <w:spacing w:after="0"/>
              <w:rPr>
                <w:rFonts w:ascii="Arial" w:cs="Arial" w:eastAsia="Arial" w:hAnsi="Arial"/>
                <w:sz w:val="12"/>
                <w:szCs w:val="12"/>
                <w:color w:val="0000FF"/>
                <w:w w:val="88"/>
              </w:rPr>
            </w:pPr>
            <w:hyperlink w:anchor="page1">
              <w:r>
                <w:rPr>
                  <w:rFonts w:ascii="Arial" w:cs="Arial" w:eastAsia="Arial" w:hAnsi="Arial"/>
                  <w:sz w:val="12"/>
                  <w:szCs w:val="12"/>
                  <w:color w:val="0000FF"/>
                  <w:w w:val="88"/>
                </w:rPr>
                <w:t>Table of Contents</w:t>
              </w:r>
            </w:hyperlink>
          </w:p>
        </w:tc>
        <w:tc>
          <w:tcPr>
            <w:tcW w:w="8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9"/>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Winnebago Industries, Inc.</w:t>
            </w: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Unaudited Statements of Cash Flows</w:t>
            </w: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0" w:type="dxa"/>
            <w:vAlign w:val="bottom"/>
            <w:gridSpan w:val="2"/>
          </w:tcPr>
          <w:p>
            <w:pPr>
              <w:jc w:val="center"/>
              <w:ind w:right="180"/>
              <w:spacing w:after="0"/>
              <w:rPr>
                <w:sz w:val="20"/>
                <w:szCs w:val="20"/>
                <w:color w:val="auto"/>
              </w:rPr>
            </w:pPr>
            <w:r>
              <w:rPr>
                <w:rFonts w:ascii="Arial" w:cs="Arial" w:eastAsia="Arial" w:hAnsi="Arial"/>
                <w:sz w:val="14"/>
                <w:szCs w:val="14"/>
                <w:color w:val="auto"/>
                <w:w w:val="97"/>
              </w:rPr>
              <w:t>&lt; td style="vertical-align:bottom;padding:0px;"&gt;</w:t>
            </w:r>
          </w:p>
        </w:tc>
        <w:tc>
          <w:tcPr>
            <w:tcW w:w="15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60" w:type="dxa"/>
            <w:vAlign w:val="bottom"/>
            <w:gridSpan w:val="9"/>
          </w:tcPr>
          <w:p>
            <w:pPr>
              <w:ind w:left="38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500" w:type="dxa"/>
            <w:vAlign w:val="bottom"/>
          </w:tcPr>
          <w:p>
            <w:pPr>
              <w:spacing w:after="0"/>
              <w:rPr>
                <w:sz w:val="9"/>
                <w:szCs w:val="9"/>
                <w:color w:val="auto"/>
              </w:rPr>
            </w:pPr>
          </w:p>
        </w:tc>
        <w:tc>
          <w:tcPr>
            <w:tcW w:w="960" w:type="dxa"/>
            <w:vAlign w:val="bottom"/>
            <w:tcBorders>
              <w:top w:val="single" w:sz="8" w:color="auto"/>
            </w:tcBorders>
            <w:gridSpan w:val="5"/>
          </w:tcPr>
          <w:p>
            <w:pPr>
              <w:spacing w:after="0" w:line="110" w:lineRule="exact"/>
              <w:rPr>
                <w:sz w:val="20"/>
                <w:szCs w:val="20"/>
                <w:color w:val="auto"/>
              </w:rPr>
            </w:pPr>
            <w:r>
              <w:rPr>
                <w:rFonts w:ascii="Arial" w:cs="Arial" w:eastAsia="Arial" w:hAnsi="Arial"/>
                <w:sz w:val="12"/>
                <w:szCs w:val="12"/>
                <w:b w:val="1"/>
                <w:bCs w:val="1"/>
                <w:color w:val="auto"/>
              </w:rPr>
              <w:t>May 29,</w:t>
            </w:r>
          </w:p>
        </w:tc>
        <w:tc>
          <w:tcPr>
            <w:tcW w:w="460" w:type="dxa"/>
            <w:vAlign w:val="bottom"/>
            <w:tcBorders>
              <w:top w:val="single" w:sz="8" w:color="auto"/>
            </w:tcBorders>
          </w:tcPr>
          <w:p>
            <w:pPr>
              <w:spacing w:after="0"/>
              <w:rPr>
                <w:sz w:val="9"/>
                <w:szCs w:val="9"/>
                <w:color w:val="auto"/>
              </w:rPr>
            </w:pPr>
          </w:p>
        </w:tc>
        <w:tc>
          <w:tcPr>
            <w:tcW w:w="1100" w:type="dxa"/>
            <w:vAlign w:val="bottom"/>
            <w:tcBorders>
              <w:top w:val="single" w:sz="8" w:color="auto"/>
            </w:tcBorders>
            <w:gridSpan w:val="4"/>
          </w:tcPr>
          <w:p>
            <w:pPr>
              <w:ind w:left="160"/>
              <w:spacing w:after="0" w:line="110" w:lineRule="exact"/>
              <w:rPr>
                <w:sz w:val="20"/>
                <w:szCs w:val="20"/>
                <w:color w:val="auto"/>
              </w:rPr>
            </w:pPr>
            <w:r>
              <w:rPr>
                <w:rFonts w:ascii="Arial" w:cs="Arial" w:eastAsia="Arial" w:hAnsi="Arial"/>
                <w:sz w:val="12"/>
                <w:szCs w:val="12"/>
                <w:b w:val="1"/>
                <w:bCs w:val="1"/>
                <w:color w:val="auto"/>
              </w:rPr>
              <w:t>May 30,</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2280" w:type="dxa"/>
            <w:vAlign w:val="bottom"/>
            <w:gridSpan w:val="5"/>
          </w:tcPr>
          <w:p>
            <w:pPr>
              <w:spacing w:after="0"/>
              <w:rPr>
                <w:sz w:val="20"/>
                <w:szCs w:val="20"/>
                <w:color w:val="auto"/>
              </w:rPr>
            </w:pPr>
            <w:r>
              <w:rPr>
                <w:rFonts w:ascii="Arial" w:cs="Arial" w:eastAsia="Arial" w:hAnsi="Arial"/>
                <w:sz w:val="12"/>
                <w:szCs w:val="12"/>
                <w:b w:val="1"/>
                <w:bCs w:val="1"/>
                <w:color w:val="auto"/>
              </w:rPr>
              <w:t>(In thousands)</w:t>
            </w: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rPr>
              <w:t>2010</w:t>
            </w: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2"/>
                <w:szCs w:val="12"/>
                <w:b w:val="1"/>
                <w:bCs w:val="1"/>
                <w:color w:val="auto"/>
              </w:rPr>
              <w:t>2009</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60" w:type="dxa"/>
            <w:vAlign w:val="bottom"/>
            <w:tcBorders>
              <w:top w:val="single" w:sz="8" w:color="auto"/>
            </w:tcBorders>
            <w:gridSpan w:val="4"/>
            <w:shd w:val="clear" w:color="auto" w:fill="CCEEFF"/>
          </w:tcPr>
          <w:p>
            <w:pPr>
              <w:spacing w:after="0" w:line="133" w:lineRule="exact"/>
              <w:rPr>
                <w:sz w:val="20"/>
                <w:szCs w:val="20"/>
                <w:color w:val="auto"/>
              </w:rPr>
            </w:pPr>
            <w:r>
              <w:rPr>
                <w:rFonts w:ascii="Arial" w:cs="Arial" w:eastAsia="Arial" w:hAnsi="Arial"/>
                <w:sz w:val="12"/>
                <w:szCs w:val="12"/>
                <w:color w:val="auto"/>
              </w:rPr>
              <w:t>Operating activities:</w:t>
            </w:r>
          </w:p>
        </w:tc>
        <w:tc>
          <w:tcPr>
            <w:tcW w:w="960" w:type="dxa"/>
            <w:vAlign w:val="bottom"/>
            <w:tcBorders>
              <w:top w:val="single" w:sz="8" w:color="auto"/>
            </w:tcBorders>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2040" w:type="dxa"/>
            <w:vAlign w:val="bottom"/>
            <w:tcBorders>
              <w:top w:val="single" w:sz="8" w:color="auto"/>
            </w:tcBorders>
            <w:shd w:val="clear" w:color="auto" w:fill="CCEEFF"/>
          </w:tcPr>
          <w:p>
            <w:pPr>
              <w:spacing w:after="0"/>
              <w:rPr>
                <w:sz w:val="11"/>
                <w:szCs w:val="11"/>
                <w:color w:val="auto"/>
              </w:rPr>
            </w:pPr>
          </w:p>
        </w:tc>
        <w:tc>
          <w:tcPr>
            <w:tcW w:w="15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right w:val="single" w:sz="8" w:color="CCEEFF"/>
            </w:tcBorders>
            <w:shd w:val="clear" w:color="auto" w:fill="CCEEFF"/>
          </w:tcPr>
          <w:p>
            <w:pPr>
              <w:spacing w:after="0"/>
              <w:rPr>
                <w:sz w:val="11"/>
                <w:szCs w:val="11"/>
                <w:color w:val="auto"/>
              </w:rPr>
            </w:pPr>
          </w:p>
        </w:tc>
        <w:tc>
          <w:tcPr>
            <w:tcW w:w="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Net income (loss)</w:t>
            </w:r>
          </w:p>
        </w:tc>
        <w:tc>
          <w:tcPr>
            <w:tcW w:w="9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0" w:type="dxa"/>
            <w:vAlign w:val="bottom"/>
          </w:tcPr>
          <w:p>
            <w:pPr>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3"/>
                <w:szCs w:val="13"/>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5,354</w:t>
            </w:r>
          </w:p>
        </w:tc>
        <w:tc>
          <w:tcPr>
            <w:tcW w:w="460" w:type="dxa"/>
            <w:vAlign w:val="bottom"/>
          </w:tcPr>
          <w:p>
            <w:pPr>
              <w:jc w:val="right"/>
              <w:ind w:right="227"/>
              <w:spacing w:after="0"/>
              <w:rPr>
                <w:sz w:val="20"/>
                <w:szCs w:val="20"/>
                <w:color w:val="auto"/>
              </w:rPr>
            </w:pPr>
            <w:r>
              <w:rPr>
                <w:rFonts w:ascii="Arial" w:cs="Arial" w:eastAsia="Arial" w:hAnsi="Arial"/>
                <w:sz w:val="12"/>
                <w:szCs w:val="12"/>
                <w:color w:val="auto"/>
              </w:rPr>
              <w:t>$</w:t>
            </w:r>
          </w:p>
        </w:tc>
        <w:tc>
          <w:tcPr>
            <w:tcW w:w="960" w:type="dxa"/>
            <w:vAlign w:val="bottom"/>
            <w:gridSpan w:val="3"/>
          </w:tcPr>
          <w:p>
            <w:pPr>
              <w:jc w:val="right"/>
              <w:ind w:right="260"/>
              <w:spacing w:after="0"/>
              <w:rPr>
                <w:sz w:val="20"/>
                <w:szCs w:val="20"/>
                <w:color w:val="auto"/>
              </w:rPr>
            </w:pPr>
            <w:r>
              <w:rPr>
                <w:rFonts w:ascii="Arial" w:cs="Arial" w:eastAsia="Arial" w:hAnsi="Arial"/>
                <w:sz w:val="12"/>
                <w:szCs w:val="12"/>
                <w:color w:val="auto"/>
              </w:rPr>
              <w:t>(28,530)</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400" w:type="dxa"/>
            <w:vAlign w:val="bottom"/>
            <w:gridSpan w:val="7"/>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operating activities:</w:t>
            </w: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Depreciation</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4,850</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300"/>
              <w:spacing w:after="0"/>
              <w:rPr>
                <w:sz w:val="20"/>
                <w:szCs w:val="20"/>
                <w:color w:val="auto"/>
              </w:rPr>
            </w:pPr>
            <w:r>
              <w:rPr>
                <w:rFonts w:ascii="Arial" w:cs="Arial" w:eastAsia="Arial" w:hAnsi="Arial"/>
                <w:sz w:val="12"/>
                <w:szCs w:val="12"/>
                <w:color w:val="auto"/>
                <w:w w:val="99"/>
              </w:rPr>
              <w:t>6,015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Stock-based compensation</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414</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760</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240" w:type="dxa"/>
            <w:vAlign w:val="bottom"/>
            <w:gridSpan w:val="6"/>
          </w:tcPr>
          <w:p>
            <w:pPr>
              <w:ind w:left="160"/>
              <w:spacing w:after="0"/>
              <w:rPr>
                <w:sz w:val="20"/>
                <w:szCs w:val="20"/>
                <w:color w:val="auto"/>
              </w:rPr>
            </w:pPr>
            <w:r>
              <w:rPr>
                <w:rFonts w:ascii="Arial" w:cs="Arial" w:eastAsia="Arial" w:hAnsi="Arial"/>
                <w:sz w:val="12"/>
                <w:szCs w:val="12"/>
                <w:color w:val="auto"/>
              </w:rPr>
              <w:t>Postretirement benefit income and deferred compensation expenses</w:t>
            </w: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927</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300"/>
              <w:spacing w:after="0"/>
              <w:rPr>
                <w:sz w:val="20"/>
                <w:szCs w:val="20"/>
                <w:color w:val="auto"/>
              </w:rPr>
            </w:pPr>
            <w:r>
              <w:rPr>
                <w:rFonts w:ascii="Arial" w:cs="Arial" w:eastAsia="Arial" w:hAnsi="Arial"/>
                <w:sz w:val="12"/>
                <w:szCs w:val="12"/>
                <w:color w:val="auto"/>
                <w:w w:val="99"/>
              </w:rPr>
              <w:t>1,030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gridSpan w:val="5"/>
            <w:shd w:val="clear" w:color="auto" w:fill="CCEEFF"/>
          </w:tcPr>
          <w:p>
            <w:pPr>
              <w:ind w:left="160"/>
              <w:spacing w:after="0"/>
              <w:rPr>
                <w:sz w:val="20"/>
                <w:szCs w:val="20"/>
                <w:color w:val="auto"/>
              </w:rPr>
            </w:pPr>
            <w:r>
              <w:rPr>
                <w:rFonts w:ascii="Arial" w:cs="Arial" w:eastAsia="Arial" w:hAnsi="Arial"/>
                <w:sz w:val="12"/>
                <w:szCs w:val="12"/>
                <w:color w:val="auto"/>
              </w:rPr>
              <w:t>(Reduction) provision for doubtful accounts</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2"/>
                <w:szCs w:val="12"/>
                <w:color w:val="auto"/>
              </w:rPr>
              <w:t>58  &amp; nbsp;</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Deferred income taxes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260"/>
              <w:spacing w:after="0"/>
              <w:rPr>
                <w:sz w:val="20"/>
                <w:szCs w:val="20"/>
                <w:color w:val="auto"/>
              </w:rPr>
            </w:pPr>
            <w:r>
              <w:rPr>
                <w:rFonts w:ascii="Arial" w:cs="Arial" w:eastAsia="Arial" w:hAnsi="Arial"/>
                <w:sz w:val="12"/>
                <w:szCs w:val="12"/>
                <w:color w:val="auto"/>
              </w:rPr>
              <w:t>(463)</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20" w:type="dxa"/>
            <w:vAlign w:val="bottom"/>
            <w:gridSpan w:val="5"/>
            <w:shd w:val="clear" w:color="auto" w:fill="CCEEFF"/>
          </w:tcPr>
          <w:p>
            <w:pPr>
              <w:ind w:left="160"/>
              <w:spacing w:after="0"/>
              <w:rPr>
                <w:sz w:val="20"/>
                <w:szCs w:val="20"/>
                <w:color w:val="auto"/>
              </w:rPr>
            </w:pPr>
            <w:r>
              <w:rPr>
                <w:rFonts w:ascii="Arial" w:cs="Arial" w:eastAsia="Arial" w:hAnsi="Arial"/>
                <w:sz w:val="12"/>
                <w:szCs w:val="12"/>
                <w:color w:val="auto"/>
                <w:w w:val="99"/>
              </w:rPr>
              <w:t>Increase in cash surrender value of life insurance policies</w:t>
            </w: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(962)</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60"/>
              <w:spacing w:after="0"/>
              <w:rPr>
                <w:sz w:val="20"/>
                <w:szCs w:val="20"/>
                <w:color w:val="auto"/>
              </w:rPr>
            </w:pPr>
            <w:r>
              <w:rPr>
                <w:rFonts w:ascii="Arial" w:cs="Arial" w:eastAsia="Arial" w:hAnsi="Arial"/>
                <w:sz w:val="12"/>
                <w:szCs w:val="12"/>
                <w:color w:val="auto"/>
              </w:rPr>
              <w:t>(865)</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tcPr>
          <w:p>
            <w:pPr>
              <w:ind w:left="160"/>
              <w:spacing w:after="0"/>
              <w:rPr>
                <w:sz w:val="20"/>
                <w:szCs w:val="20"/>
                <w:color w:val="auto"/>
              </w:rPr>
            </w:pPr>
            <w:r>
              <w:rPr>
                <w:rFonts w:ascii="Arial" w:cs="Arial" w:eastAsia="Arial" w:hAnsi="Arial"/>
                <w:sz w:val="12"/>
                <w:szCs w:val="12"/>
                <w:color w:val="auto"/>
              </w:rPr>
              <w:t>Loss on disposal of property</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gridSpan w:val="3"/>
          </w:tcPr>
          <w:p>
            <w:pPr>
              <w:jc w:val="right"/>
              <w:spacing w:after="0"/>
              <w:rPr>
                <w:sz w:val="20"/>
                <w:szCs w:val="20"/>
                <w:color w:val="auto"/>
              </w:rPr>
            </w:pPr>
            <w:r>
              <w:rPr>
                <w:rFonts w:ascii="Arial" w:cs="Arial" w:eastAsia="Arial" w:hAnsi="Arial"/>
                <w:sz w:val="12"/>
                <w:szCs w:val="12"/>
                <w:color w:val="auto"/>
              </w:rPr>
              <w:t>14</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ind w:right="300"/>
              <w:spacing w:after="0"/>
              <w:rPr>
                <w:sz w:val="20"/>
                <w:szCs w:val="20"/>
                <w:color w:val="auto"/>
              </w:rPr>
            </w:pPr>
            <w:r>
              <w:rPr>
                <w:rFonts w:ascii="Arial" w:cs="Arial" w:eastAsia="Arial" w:hAnsi="Arial"/>
                <w:sz w:val="12"/>
                <w:szCs w:val="12"/>
                <w:color w:val="auto"/>
              </w:rPr>
              <w:t>70</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Other</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300"/>
              <w:spacing w:after="0"/>
              <w:rPr>
                <w:sz w:val="20"/>
                <w:szCs w:val="20"/>
                <w:color w:val="auto"/>
              </w:rPr>
            </w:pPr>
            <w:r>
              <w:rPr>
                <w:rFonts w:ascii="Arial" w:cs="Arial" w:eastAsia="Arial" w:hAnsi="Arial"/>
                <w:sz w:val="12"/>
                <w:szCs w:val="12"/>
                <w:color w:val="auto"/>
              </w:rPr>
              <w:t>176</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80" w:type="dxa"/>
            <w:vAlign w:val="bottom"/>
            <w:gridSpan w:val="5"/>
          </w:tcPr>
          <w:p>
            <w:pPr>
              <w:spacing w:after="0"/>
              <w:rPr>
                <w:sz w:val="20"/>
                <w:szCs w:val="20"/>
                <w:color w:val="auto"/>
              </w:rPr>
            </w:pPr>
            <w:r>
              <w:rPr>
                <w:rFonts w:ascii="Arial" w:cs="Arial" w:eastAsia="Arial" w:hAnsi="Arial"/>
                <w:sz w:val="12"/>
                <w:szCs w:val="12"/>
                <w:color w:val="auto"/>
              </w:rPr>
              <w:t>Change in assets and liabilities:</w:t>
            </w: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60" w:type="dxa"/>
            <w:vAlign w:val="bottom"/>
            <w:gridSpan w:val="4"/>
            <w:shd w:val="clear" w:color="auto" w:fill="CCEEFF"/>
          </w:tcPr>
          <w:p>
            <w:pPr>
              <w:ind w:left="160"/>
              <w:spacing w:after="0"/>
              <w:rPr>
                <w:sz w:val="20"/>
                <w:szCs w:val="20"/>
                <w:color w:val="auto"/>
              </w:rPr>
            </w:pPr>
            <w:r>
              <w:rPr>
                <w:rFonts w:ascii="Arial" w:cs="Arial" w:eastAsia="Arial" w:hAnsi="Arial"/>
                <w:sz w:val="12"/>
                <w:szCs w:val="12"/>
                <w:color w:val="auto"/>
              </w:rPr>
              <w:t>Inventories</w:t>
            </w:r>
          </w:p>
        </w:tc>
        <w:tc>
          <w:tcPr>
            <w:tcW w:w="9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2"/>
                <w:szCs w:val="12"/>
                <w:color w:val="auto"/>
              </w:rPr>
              <w:t>7,716</w:t>
            </w:r>
          </w:p>
        </w:tc>
        <w:tc>
          <w:tcPr>
            <w:tcW w:w="4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57,366</w:t>
            </w:r>
          </w:p>
        </w:tc>
        <w:tc>
          <w:tcPr>
            <w:tcW w:w="14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-7441565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-7441565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7268845</wp:posOffset>
            </wp:positionH>
            <wp:positionV relativeFrom="paragraph">
              <wp:posOffset>-2168525</wp:posOffset>
            </wp:positionV>
            <wp:extent cx="31115"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-2168525</wp:posOffset>
            </wp:positionV>
            <wp:extent cx="31115"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59" w:orient="portrait"/>
          <w:cols w:equalWidth="0" w:num="1">
            <w:col w:w="11540"/>
          </w:cols>
          <w:pgMar w:left="220" w:top="120" w:right="1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53"/>
        </w:trPr>
        <w:tc>
          <w:tcPr>
            <w:tcW w:w="8960" w:type="dxa"/>
            <w:vAlign w:val="bottom"/>
          </w:tcPr>
          <w:p>
            <w:pPr>
              <w:spacing w:after="0"/>
              <w:rPr>
                <w:sz w:val="20"/>
                <w:szCs w:val="20"/>
                <w:color w:val="auto"/>
              </w:rPr>
            </w:pPr>
            <w:r>
              <w:rPr>
                <w:rFonts w:ascii="Arial" w:cs="Arial" w:eastAsia="Arial" w:hAnsi="Arial"/>
                <w:sz w:val="12"/>
                <w:szCs w:val="12"/>
                <w:color w:val="auto"/>
              </w:rPr>
              <w:t>Receivables and prepaid assets</w:t>
            </w:r>
          </w:p>
        </w:tc>
        <w:tc>
          <w:tcPr>
            <w:tcW w:w="4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843</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2,164</w:t>
            </w:r>
          </w:p>
        </w:tc>
        <w:tc>
          <w:tcPr>
            <w:tcW w:w="60" w:type="dxa"/>
            <w:vAlign w:val="bottom"/>
          </w:tcPr>
          <w:p>
            <w:pPr>
              <w:jc w:val="right"/>
              <w:spacing w:after="0"/>
              <w:rPr>
                <w:sz w:val="20"/>
                <w:szCs w:val="20"/>
                <w:color w:val="auto"/>
              </w:rPr>
            </w:pPr>
            <w:r>
              <w:rPr>
                <w:rFonts w:ascii="Arial" w:cs="Arial" w:eastAsia="Arial" w:hAnsi="Arial"/>
                <w:sz w:val="10"/>
                <w:szCs w:val="10"/>
                <w:color w:val="auto"/>
                <w:w w:val="70"/>
              </w:rPr>
              <w:t>;</w:t>
            </w:r>
          </w:p>
        </w:tc>
        <w:tc>
          <w:tcPr>
            <w:tcW w:w="400" w:type="dxa"/>
            <w:vAlign w:val="bottom"/>
          </w:tcPr>
          <w:p>
            <w:pPr>
              <w:spacing w:after="0"/>
              <w:rPr>
                <w:sz w:val="13"/>
                <w:szCs w:val="13"/>
                <w:color w:val="auto"/>
              </w:rPr>
            </w:pPr>
          </w:p>
        </w:tc>
      </w:tr>
      <w:tr>
        <w:trPr>
          <w:trHeight w:val="162"/>
        </w:trPr>
        <w:tc>
          <w:tcPr>
            <w:tcW w:w="89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Income taxes receivable and unrecognized tax benefits</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13,736</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(11,929)</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44"/>
        </w:trPr>
        <w:tc>
          <w:tcPr>
            <w:tcW w:w="8960" w:type="dxa"/>
            <w:vAlign w:val="bottom"/>
          </w:tcPr>
          <w:p>
            <w:pPr>
              <w:ind w:left="180"/>
              <w:spacing w:after="0"/>
              <w:rPr>
                <w:sz w:val="20"/>
                <w:szCs w:val="20"/>
                <w:color w:val="auto"/>
              </w:rPr>
            </w:pPr>
            <w:r>
              <w:rPr>
                <w:rFonts w:ascii="Arial" w:cs="Arial" w:eastAsia="Arial" w:hAnsi="Arial"/>
                <w:sz w:val="12"/>
                <w:szCs w:val="12"/>
                <w:color w:val="auto"/>
              </w:rPr>
              <w:t>Accounts payable and accrued expenses</w:t>
            </w:r>
          </w:p>
        </w:tc>
        <w:tc>
          <w:tcPr>
            <w:tcW w:w="420" w:type="dxa"/>
            <w:vAlign w:val="bottom"/>
          </w:tcPr>
          <w:p>
            <w:pPr>
              <w:jc w:val="right"/>
              <w:ind w:right="40"/>
              <w:spacing w:after="0"/>
              <w:rPr>
                <w:sz w:val="20"/>
                <w:szCs w:val="20"/>
                <w:color w:val="auto"/>
              </w:rPr>
            </w:pPr>
            <w:r>
              <w:rPr>
                <w:rFonts w:ascii="Arial" w:cs="Arial" w:eastAsia="Arial" w:hAnsi="Arial"/>
                <w:sz w:val="12"/>
                <w:szCs w:val="12"/>
                <w:color w:val="auto"/>
                <w:w w:val="99"/>
              </w:rPr>
              <w:t>6,605</w:t>
            </w:r>
          </w:p>
        </w:tc>
        <w:tc>
          <w:tcPr>
            <w:tcW w:w="540" w:type="dxa"/>
            <w:vAlign w:val="bottom"/>
          </w:tcPr>
          <w:p>
            <w:pPr>
              <w:spacing w:after="0"/>
              <w:rPr>
                <w:sz w:val="12"/>
                <w:szCs w:val="12"/>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2"/>
                <w:szCs w:val="12"/>
                <w:color w:val="auto"/>
              </w:rPr>
              <w:t>(11,034)</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8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Postretirement and deferred compensation benefits</w:t>
            </w:r>
          </w:p>
        </w:tc>
        <w:tc>
          <w:tcPr>
            <w:tcW w:w="42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(2,679)</w:t>
            </w:r>
          </w:p>
        </w:tc>
        <w:tc>
          <w:tcPr>
            <w:tcW w:w="14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(2,344)</w:t>
            </w: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r>
      <w:tr>
        <w:trPr>
          <w:trHeight w:val="133"/>
        </w:trPr>
        <w:tc>
          <w:tcPr>
            <w:tcW w:w="896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4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36,811</w:t>
            </w:r>
          </w:p>
        </w:tc>
        <w:tc>
          <w:tcPr>
            <w:tcW w:w="1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12,474</w:t>
            </w:r>
          </w:p>
        </w:tc>
        <w:tc>
          <w:tcPr>
            <w:tcW w:w="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r>
      <w:tr>
        <w:trPr>
          <w:trHeight w:val="133"/>
        </w:trPr>
        <w:tc>
          <w:tcPr>
            <w:tcW w:w="89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44"/>
        </w:trPr>
        <w:tc>
          <w:tcPr>
            <w:tcW w:w="8960" w:type="dxa"/>
            <w:vAlign w:val="bottom"/>
          </w:tcPr>
          <w:p>
            <w:pPr>
              <w:spacing w:after="0"/>
              <w:rPr>
                <w:sz w:val="20"/>
                <w:szCs w:val="20"/>
                <w:color w:val="auto"/>
              </w:rPr>
            </w:pPr>
            <w:r>
              <w:rPr>
                <w:rFonts w:ascii="Arial" w:cs="Arial" w:eastAsia="Arial" w:hAnsi="Arial"/>
                <w:sz w:val="12"/>
                <w:szCs w:val="12"/>
                <w:color w:val="auto"/>
              </w:rPr>
              <w:t>Investing activities:</w:t>
            </w: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62"/>
        </w:trPr>
        <w:tc>
          <w:tcPr>
            <w:tcW w:w="8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the sale of investments, at par</w:t>
            </w:r>
          </w:p>
        </w:tc>
        <w:tc>
          <w:tcPr>
            <w:tcW w:w="42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12,900</w:t>
            </w:r>
          </w:p>
        </w:tc>
        <w:tc>
          <w:tcPr>
            <w:tcW w:w="140" w:type="dxa"/>
            <w:vAlign w:val="bottom"/>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8,500</w:t>
            </w: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r>
      <w:tr>
        <w:trPr>
          <w:trHeight w:val="144"/>
        </w:trPr>
        <w:tc>
          <w:tcPr>
            <w:tcW w:w="8960" w:type="dxa"/>
            <w:vAlign w:val="bottom"/>
          </w:tcPr>
          <w:p>
            <w:pPr>
              <w:ind w:left="180"/>
              <w:spacing w:after="0"/>
              <w:rPr>
                <w:sz w:val="20"/>
                <w:szCs w:val="20"/>
                <w:color w:val="auto"/>
              </w:rPr>
            </w:pPr>
            <w:r>
              <w:rPr>
                <w:rFonts w:ascii="Arial" w:cs="Arial" w:eastAsia="Arial" w:hAnsi="Arial"/>
                <w:sz w:val="12"/>
                <w:szCs w:val="12"/>
                <w:color w:val="auto"/>
              </w:rPr>
              <w:t>Purchases of property and e quipment</w:t>
            </w:r>
          </w:p>
        </w:tc>
        <w:tc>
          <w:tcPr>
            <w:tcW w:w="4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(1,467)</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(2,522)</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8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Proceeds from the sale of property</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294</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44"/>
        </w:trPr>
        <w:tc>
          <w:tcPr>
            <w:tcW w:w="8960" w:type="dxa"/>
            <w:vAlign w:val="bottom"/>
          </w:tcPr>
          <w:p>
            <w:pPr>
              <w:ind w:left="180"/>
              <w:spacing w:after="0"/>
              <w:rPr>
                <w:sz w:val="20"/>
                <w:szCs w:val="20"/>
                <w:color w:val="auto"/>
              </w:rPr>
            </w:pPr>
            <w:r>
              <w:rPr>
                <w:rFonts w:ascii="Arial" w:cs="Arial" w:eastAsia="Arial" w:hAnsi="Arial"/>
                <w:sz w:val="12"/>
                <w:szCs w:val="12"/>
                <w:color w:val="auto"/>
              </w:rPr>
              <w:t>Other</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127</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(736)</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133"/>
        </w:trPr>
        <w:tc>
          <w:tcPr>
            <w:tcW w:w="8960" w:type="dxa"/>
            <w:vAlign w:val="bottom"/>
          </w:tcPr>
          <w:p>
            <w:pPr>
              <w:spacing w:after="0" w:line="133" w:lineRule="exact"/>
              <w:rPr>
                <w:sz w:val="20"/>
                <w:szCs w:val="20"/>
                <w:color w:val="auto"/>
              </w:rPr>
            </w:pPr>
            <w:r>
              <w:rPr>
                <w:rFonts w:ascii="Arial" w:cs="Arial" w:eastAsia="Arial" w:hAnsi="Arial"/>
                <w:sz w:val="12"/>
                <w:szCs w:val="12"/>
                <w:color w:val="auto"/>
              </w:rPr>
              <w:t>Net cash provided by investing activities</w:t>
            </w:r>
          </w:p>
        </w:tc>
        <w:tc>
          <w:tcPr>
            <w:tcW w:w="4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11,618</w:t>
            </w:r>
          </w:p>
        </w:tc>
        <w:tc>
          <w:tcPr>
            <w:tcW w:w="580" w:type="dxa"/>
            <w:vAlign w:val="bottom"/>
            <w:tcBorders>
              <w:bottom w:val="single" w:sz="8" w:color="auto"/>
            </w:tcBorders>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5,536</w:t>
            </w:r>
          </w:p>
        </w:tc>
        <w:tc>
          <w:tcPr>
            <w:tcW w:w="480" w:type="dxa"/>
            <w:vAlign w:val="bottom"/>
            <w:tcBorders>
              <w:bottom w:val="single" w:sz="8" w:color="auto"/>
            </w:tcBorders>
            <w:shd w:val="clear" w:color="auto" w:fill="CCEEFF"/>
          </w:tcPr>
          <w:p>
            <w:pPr>
              <w:spacing w:after="0"/>
              <w:rPr>
                <w:sz w:val="11"/>
                <w:szCs w:val="11"/>
                <w:color w:val="auto"/>
              </w:rPr>
            </w:pPr>
          </w:p>
        </w:tc>
        <w:tc>
          <w:tcPr>
            <w:tcW w:w="40" w:type="dxa"/>
            <w:vAlign w:val="bottom"/>
            <w:tcBorders>
              <w:bottom w:val="single" w:sz="8" w:color="auto"/>
            </w:tcBorders>
            <w:shd w:val="clear" w:color="auto" w:fill="CCEEFF"/>
          </w:tcPr>
          <w:p>
            <w:pPr>
              <w:spacing w:after="0"/>
              <w:rPr>
                <w:sz w:val="11"/>
                <w:szCs w:val="11"/>
                <w:color w:val="auto"/>
              </w:rPr>
            </w:pP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Pr>
          <w:p>
            <w:pPr>
              <w:spacing w:after="0"/>
              <w:rPr>
                <w:sz w:val="11"/>
                <w:szCs w:val="11"/>
                <w:color w:val="auto"/>
              </w:rPr>
            </w:pPr>
          </w:p>
        </w:tc>
      </w:tr>
      <w:tr>
        <w:trPr>
          <w:trHeight w:val="133"/>
        </w:trPr>
        <w:tc>
          <w:tcPr>
            <w:tcW w:w="8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44"/>
        </w:trPr>
        <w:tc>
          <w:tcPr>
            <w:tcW w:w="8960" w:type="dxa"/>
            <w:vAlign w:val="bottom"/>
            <w:shd w:val="clear" w:color="auto" w:fill="CCEEFF"/>
          </w:tcPr>
          <w:p>
            <w:pPr>
              <w:spacing w:after="0"/>
              <w:rPr>
                <w:sz w:val="20"/>
                <w:szCs w:val="20"/>
                <w:color w:val="auto"/>
              </w:rPr>
            </w:pPr>
            <w:r>
              <w:rPr>
                <w:rFonts w:ascii="Arial" w:cs="Arial" w:eastAsia="Arial" w:hAnsi="Arial"/>
                <w:sz w:val="12"/>
                <w:szCs w:val="12"/>
                <w:color w:val="auto"/>
              </w:rPr>
              <w:t>Financing activities:</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44"/>
        </w:trPr>
        <w:tc>
          <w:tcPr>
            <w:tcW w:w="8960" w:type="dxa"/>
            <w:vAlign w:val="bottom"/>
          </w:tcPr>
          <w:p>
            <w:pPr>
              <w:ind w:left="180"/>
              <w:spacing w:after="0"/>
              <w:rPr>
                <w:sz w:val="20"/>
                <w:szCs w:val="20"/>
                <w:color w:val="auto"/>
              </w:rPr>
            </w:pPr>
            <w:r>
              <w:rPr>
                <w:rFonts w:ascii="Arial" w:cs="Arial" w:eastAsia="Arial" w:hAnsi="Arial"/>
                <w:sz w:val="12"/>
                <w:szCs w:val="12"/>
                <w:color w:val="auto"/>
              </w:rPr>
              <w:t>Payments for purchase of common stock</w:t>
            </w:r>
          </w:p>
        </w:tc>
        <w:tc>
          <w:tcPr>
            <w:tcW w:w="420" w:type="dxa"/>
            <w:vAlign w:val="bottom"/>
          </w:tcPr>
          <w:p>
            <w:pPr>
              <w:spacing w:after="0"/>
              <w:rPr>
                <w:sz w:val="20"/>
                <w:szCs w:val="20"/>
                <w:color w:val="auto"/>
              </w:rPr>
            </w:pPr>
            <w:r>
              <w:rPr>
                <w:rFonts w:ascii="Arial" w:cs="Arial" w:eastAsia="Arial" w:hAnsi="Arial"/>
                <w:sz w:val="12"/>
                <w:szCs w:val="12"/>
                <w:color w:val="auto"/>
              </w:rPr>
              <w:t>(249</w:t>
            </w: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(164)</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8960" w:type="dxa"/>
            <w:vAlign w:val="bottom"/>
            <w:shd w:val="clear" w:color="auto" w:fill="CCEEFF"/>
          </w:tcPr>
          <w:p>
            <w:pPr>
              <w:ind w:left="180"/>
              <w:spacing w:after="0"/>
              <w:rPr>
                <w:sz w:val="20"/>
                <w:szCs w:val="20"/>
                <w:color w:val="auto"/>
              </w:rPr>
            </w:pPr>
            <w:r>
              <w:rPr>
                <w:rFonts w:ascii="Arial" w:cs="Arial" w:eastAsia="Arial" w:hAnsi="Arial"/>
                <w:sz w:val="12"/>
                <w:szCs w:val="12"/>
                <w:color w:val="auto"/>
              </w:rPr>
              <w:t>Payments of cash dividends</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(3,489)</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44"/>
        </w:trPr>
        <w:tc>
          <w:tcPr>
            <w:tcW w:w="8960" w:type="dxa"/>
            <w:vAlign w:val="bottom"/>
          </w:tcPr>
          <w:p>
            <w:pPr>
              <w:ind w:left="180"/>
              <w:spacing w:after="0"/>
              <w:rPr>
                <w:sz w:val="20"/>
                <w:szCs w:val="20"/>
                <w:color w:val="auto"/>
              </w:rPr>
            </w:pPr>
            <w:r>
              <w:rPr>
                <w:rFonts w:ascii="Arial" w:cs="Arial" w:eastAsia="Arial" w:hAnsi="Arial"/>
                <w:sz w:val="12"/>
                <w:szCs w:val="12"/>
                <w:color w:val="auto"/>
              </w:rPr>
              <w:t>(Payments) borrowings on ARS portfolio</w:t>
            </w:r>
          </w:p>
        </w:tc>
        <w:tc>
          <w:tcPr>
            <w:tcW w:w="42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(8,490)</w:t>
            </w: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2"/>
                <w:szCs w:val="12"/>
                <w:color w:val="auto"/>
              </w:rPr>
              <w:t>9,100</w:t>
            </w: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8960" w:type="dxa"/>
            <w:vAlign w:val="bottom"/>
            <w:shd w:val="clear" w:color="auto" w:fill="CCEEFF"/>
          </w:tcPr>
          <w:p>
            <w:pPr>
              <w:ind w:left="180"/>
              <w:spacing w:after="0"/>
              <w:rPr>
                <w:sz w:val="20"/>
                <w:szCs w:val="20"/>
                <w:color w:val="auto"/>
              </w:rPr>
            </w:pPr>
            <w:r>
              <w:rPr>
                <w:rFonts w:ascii="Arial" w:cs="Arial" w:eastAsia="Arial" w:hAnsi="Arial"/>
                <w:sz w:val="12"/>
                <w:szCs w:val="12"/>
                <w:color w:val="auto"/>
                <w:w w:val="95"/>
              </w:rPr>
              <w:t>&lt; font style="font-family:Arial;font-size:10pt;background-color:transparent;font-style:normal;font-weight:normal;text-decoration:none;"&gt;Proceeds from exercise of stock options</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44"/>
        </w:trPr>
        <w:tc>
          <w:tcPr>
            <w:tcW w:w="8960" w:type="dxa"/>
            <w:vAlign w:val="bottom"/>
          </w:tcPr>
          <w:p>
            <w:pPr>
              <w:ind w:left="120"/>
              <w:spacing w:after="0"/>
              <w:rPr>
                <w:sz w:val="20"/>
                <w:szCs w:val="20"/>
                <w:color w:val="auto"/>
              </w:rPr>
            </w:pPr>
            <w:r>
              <w:rPr>
                <w:rFonts w:ascii="Arial" w:cs="Arial" w:eastAsia="Arial" w:hAnsi="Arial"/>
                <w:sz w:val="12"/>
                <w:szCs w:val="12"/>
                <w:color w:val="auto"/>
              </w:rPr>
              <w:t>Other</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(240)</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133"/>
        </w:trPr>
        <w:tc>
          <w:tcPr>
            <w:tcW w:w="8960" w:type="dxa"/>
            <w:vAlign w:val="bottom"/>
          </w:tcPr>
          <w:p>
            <w:pPr>
              <w:spacing w:after="0" w:line="133" w:lineRule="exact"/>
              <w:rPr>
                <w:sz w:val="20"/>
                <w:szCs w:val="20"/>
                <w:color w:val="auto"/>
              </w:rPr>
            </w:pPr>
            <w:r>
              <w:rPr>
                <w:rFonts w:ascii="Arial" w:cs="Arial" w:eastAsia="Arial" w:hAnsi="Arial"/>
                <w:sz w:val="12"/>
                <w:szCs w:val="12"/>
                <w:color w:val="auto"/>
              </w:rPr>
              <w:t>Net cash (used in) provided by financing activities</w:t>
            </w:r>
          </w:p>
        </w:tc>
        <w:tc>
          <w:tcPr>
            <w:tcW w:w="42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(8,699)</w:t>
            </w:r>
          </w:p>
        </w:tc>
        <w:tc>
          <w:tcPr>
            <w:tcW w:w="14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spacing w:after="0"/>
              <w:rPr>
                <w:sz w:val="11"/>
                <w:szCs w:val="11"/>
                <w:color w:val="auto"/>
              </w:rPr>
            </w:pPr>
          </w:p>
        </w:tc>
        <w:tc>
          <w:tcPr>
            <w:tcW w:w="52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5,447</w:t>
            </w:r>
          </w:p>
        </w:tc>
        <w:tc>
          <w:tcPr>
            <w:tcW w:w="6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r>
      <w:tr>
        <w:trPr>
          <w:trHeight w:val="133"/>
        </w:trPr>
        <w:tc>
          <w:tcPr>
            <w:tcW w:w="8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r>
      <w:tr>
        <w:trPr>
          <w:trHeight w:val="144"/>
        </w:trPr>
        <w:tc>
          <w:tcPr>
            <w:tcW w:w="8960" w:type="dxa"/>
            <w:vAlign w:val="bottom"/>
            <w:shd w:val="clear" w:color="auto" w:fill="CCEEFF"/>
          </w:tcPr>
          <w:p>
            <w:pPr>
              <w:spacing w:after="0"/>
              <w:rPr>
                <w:sz w:val="20"/>
                <w:szCs w:val="20"/>
                <w:color w:val="auto"/>
              </w:rPr>
            </w:pPr>
            <w:r>
              <w:rPr>
                <w:rFonts w:ascii="Arial" w:cs="Arial" w:eastAsia="Arial" w:hAnsi="Arial"/>
                <w:sz w:val="12"/>
                <w:szCs w:val="12"/>
                <w:color w:val="auto"/>
              </w:rPr>
              <w:t>Net increase in cash and cash equivalents</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39,730</w:t>
            </w: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23,457</w:t>
            </w: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44"/>
        </w:trPr>
        <w:tc>
          <w:tcPr>
            <w:tcW w:w="89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Cash and cash equivalents at beginning of period</w:t>
            </w:r>
          </w:p>
        </w:tc>
        <w:tc>
          <w:tcPr>
            <w:tcW w:w="4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36,566</w:t>
            </w: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17,851</w:t>
            </w:r>
          </w:p>
        </w:tc>
        <w:tc>
          <w:tcPr>
            <w:tcW w:w="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r>
      <w:tr>
        <w:trPr>
          <w:trHeight w:val="140"/>
        </w:trPr>
        <w:tc>
          <w:tcPr>
            <w:tcW w:w="89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Cash and cash equivalents at end of period</w:t>
            </w:r>
          </w:p>
        </w:tc>
        <w:tc>
          <w:tcPr>
            <w:tcW w:w="420" w:type="dxa"/>
            <w:vAlign w:val="bottom"/>
            <w:tcBorders>
              <w:bottom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76,296</w:t>
            </w:r>
          </w:p>
        </w:tc>
        <w:tc>
          <w:tcPr>
            <w:tcW w:w="580" w:type="dxa"/>
            <w:vAlign w:val="bottom"/>
            <w:tcBorders>
              <w:bottom w:val="single" w:sz="8" w:color="auto"/>
            </w:tcBorders>
            <w:gridSpan w:val="2"/>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41,308</w:t>
            </w:r>
          </w:p>
        </w:tc>
        <w:tc>
          <w:tcPr>
            <w:tcW w:w="6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r>
      <w:tr>
        <w:trPr>
          <w:trHeight w:val="144"/>
        </w:trPr>
        <w:tc>
          <w:tcPr>
            <w:tcW w:w="8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r>
      <w:tr>
        <w:trPr>
          <w:trHeight w:val="144"/>
        </w:trPr>
        <w:tc>
          <w:tcPr>
            <w:tcW w:w="8960" w:type="dxa"/>
            <w:vAlign w:val="bottom"/>
            <w:shd w:val="clear" w:color="auto" w:fill="CCEEFF"/>
          </w:tcPr>
          <w:p>
            <w:pPr>
              <w:spacing w:after="0"/>
              <w:rPr>
                <w:sz w:val="20"/>
                <w:szCs w:val="20"/>
                <w:color w:val="auto"/>
              </w:rPr>
            </w:pPr>
            <w:r>
              <w:rPr>
                <w:rFonts w:ascii="Arial" w:cs="Arial" w:eastAsia="Arial" w:hAnsi="Arial"/>
                <w:sz w:val="12"/>
                <w:szCs w:val="12"/>
                <w:color w:val="auto"/>
              </w:rPr>
              <w:t>Supplemental cash flow disclosure:</w:t>
            </w:r>
          </w:p>
        </w:tc>
        <w:tc>
          <w:tcPr>
            <w:tcW w:w="4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r>
      <w:tr>
        <w:trPr>
          <w:trHeight w:val="151"/>
        </w:trPr>
        <w:tc>
          <w:tcPr>
            <w:tcW w:w="8960" w:type="dxa"/>
            <w:vAlign w:val="bottom"/>
          </w:tcPr>
          <w:p>
            <w:pPr>
              <w:ind w:left="140"/>
              <w:spacing w:after="0"/>
              <w:rPr>
                <w:sz w:val="20"/>
                <w:szCs w:val="20"/>
                <w:color w:val="auto"/>
              </w:rPr>
            </w:pPr>
            <w:r>
              <w:rPr>
                <w:rFonts w:ascii="Arial" w:cs="Arial" w:eastAsia="Arial" w:hAnsi="Arial"/>
                <w:sz w:val="12"/>
                <w:szCs w:val="12"/>
                <w:color w:val="auto"/>
              </w:rPr>
              <w:t>Income taxes (refunded) paid</w:t>
            </w:r>
          </w:p>
        </w:tc>
        <w:tc>
          <w:tcPr>
            <w:tcW w:w="42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(23,390)</w:t>
            </w:r>
          </w:p>
        </w:tc>
        <w:tc>
          <w:tcPr>
            <w:tcW w:w="58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168</w:t>
            </w:r>
          </w:p>
        </w:tc>
        <w:tc>
          <w:tcPr>
            <w:tcW w:w="6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See unaudited notes to 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37465</wp:posOffset>
            </wp:positionV>
            <wp:extent cx="73177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40"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6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Winnebago Industries,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Unaudited Notes to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"Company," "we," "our" and "us" are used interchangeably to refer to Winnebago Industries, Inc.</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 Basis of Presentation</w:t>
      </w:r>
    </w:p>
    <w:p>
      <w:pPr>
        <w:spacing w:after="0" w:line="164" w:lineRule="exact"/>
        <w:rPr>
          <w:sz w:val="20"/>
          <w:szCs w:val="20"/>
          <w:color w:val="auto"/>
        </w:rPr>
      </w:pPr>
    </w:p>
    <w:p>
      <w:pPr>
        <w:ind w:right="140"/>
        <w:spacing w:after="0" w:line="253" w:lineRule="auto"/>
        <w:rPr>
          <w:sz w:val="20"/>
          <w:szCs w:val="20"/>
          <w:color w:val="auto"/>
        </w:rPr>
      </w:pPr>
      <w:r>
        <w:rPr>
          <w:rFonts w:ascii="Arial" w:cs="Arial" w:eastAsia="Arial" w:hAnsi="Arial"/>
          <w:sz w:val="12"/>
          <w:szCs w:val="12"/>
          <w:color w:val="auto"/>
        </w:rPr>
        <w:t>In our opinion, the accompanying condensed unaudited financial statements contain all adjustments, consisting of normal recurring accruals, necessary to present fairly the financial position as of May 29, 2010 and the results of operations for the quarter and nine months ended May 29, 2010 and May 30, 2009, and cash flows for the nine months ended May 29, 2010 and May 30, 2009. The statement of operations for the nine months ended May 29, 2010 is not necessarily indicative of the results to be expected for the full year. The balance sheet data as of August 29, 2009 was derived from audited financial statements, but does not include all of the information and footnotes required by generally accepted accounting principles (GAAP) for complete financial statements. These interim financial statements should be read in conjunction with the audited financial statements and notes thereto appearing in our Annual Report to Shareholders for the year ended August 29, 2009.</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2: New Accounting Pronouncements</w:t>
      </w:r>
    </w:p>
    <w:p>
      <w:pPr>
        <w:spacing w:after="0" w:line="164"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On January 21, 2010, the Financial Accounting Standards Board (FASB) issued Accounting Standards Update (ASU) 2010-06, amending Accounting Standards Codification (ASC) 820 (formerly Statement of Financial Accounting Standards No. 157) to add new requirements. The new requirements are disclosures about transfers into and out of Levels 1 and 2 measurements (as defined in Note 3) and sep arate disclosures about purchases, sales, issuances, and settlements relating to Level 3 measurements (as defined in Note 3). ASU 2010-06 clarifies existing fair value disclosures about the level of disaggregation and about inputs and valuation techniques used to measure fair value. The new guidance became effective for our second quarter of Fiscal 2010, except for the requirement to provide Level 3 activity on a gross basis. That requirement will be effective starting in the first fiscal year beginning after December 15, 2010 (our Fiscal 2012).</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3: Fair Value Measurements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and Liabilities that are Measured at Fair Value on a Recurring Basis</w:t>
      </w:r>
    </w:p>
    <w:p>
      <w:pPr>
        <w:spacing w:after="0" w:line="18"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135" w:lineRule="exact"/>
        <w:rPr>
          <w:sz w:val="20"/>
          <w:szCs w:val="20"/>
          <w:color w:val="auto"/>
        </w:rPr>
      </w:pPr>
    </w:p>
    <w:p>
      <w:pPr>
        <w:ind w:right="380"/>
        <w:spacing w:after="0" w:line="262" w:lineRule="auto"/>
        <w:rPr>
          <w:sz w:val="20"/>
          <w:szCs w:val="20"/>
          <w:color w:val="auto"/>
        </w:rPr>
      </w:pPr>
      <w:r>
        <w:rPr>
          <w:rFonts w:ascii="Arial" w:cs="Arial" w:eastAsia="Arial" w:hAnsi="Arial"/>
          <w:sz w:val="12"/>
          <w:szCs w:val="12"/>
          <w:color w:val="auto"/>
        </w:rPr>
        <w:t>The following tables set forth by level within the fair value hierarchy, our financial assets that were accounted for at fair value on a recurring basis at May 29, 2010 and August 29, 2009 according to the valuation techniques we used to determine their fair values: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60" w:type="dxa"/>
            <w:vAlign w:val="bottom"/>
            <w:gridSpan w:val="7"/>
          </w:tcPr>
          <w:p>
            <w:pPr>
              <w:jc w:val="center"/>
              <w:ind w:right="60"/>
              <w:spacing w:after="0"/>
              <w:rPr>
                <w:sz w:val="20"/>
                <w:szCs w:val="20"/>
                <w:color w:val="auto"/>
              </w:rPr>
            </w:pPr>
            <w:r>
              <w:rPr>
                <w:rFonts w:ascii="Arial" w:cs="Arial" w:eastAsia="Arial" w:hAnsi="Arial"/>
                <w:sz w:val="12"/>
                <w:szCs w:val="12"/>
                <w:b w:val="1"/>
                <w:bCs w:val="1"/>
                <w:color w:val="auto"/>
                <w:w w:val="99"/>
              </w:rPr>
              <w:t>Fair Value Measurements</w:t>
            </w:r>
          </w:p>
        </w:tc>
        <w:tc>
          <w:tcPr>
            <w:tcW w:w="0" w:type="dxa"/>
            <w:vAlign w:val="bottom"/>
          </w:tcPr>
          <w:p>
            <w:pPr>
              <w:spacing w:after="0"/>
              <w:rPr>
                <w:sz w:val="1"/>
                <w:szCs w:val="1"/>
                <w:color w:val="auto"/>
              </w:rPr>
            </w:pPr>
          </w:p>
        </w:tc>
      </w:tr>
      <w:tr>
        <w:trPr>
          <w:trHeight w:val="150"/>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2"/>
                <w:szCs w:val="12"/>
                <w:b w:val="1"/>
                <w:bCs w:val="1"/>
                <w:color w:val="auto"/>
                <w:w w:val="99"/>
              </w:rPr>
              <w:t>Using Inputs Considered As</w:t>
            </w: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jc w:val="center"/>
              <w:ind w:right="20"/>
              <w:spacing w:after="0" w:line="110" w:lineRule="exact"/>
              <w:rPr>
                <w:sz w:val="20"/>
                <w:szCs w:val="20"/>
                <w:color w:val="auto"/>
              </w:rPr>
            </w:pPr>
            <w:r>
              <w:rPr>
                <w:rFonts w:ascii="Arial" w:cs="Arial" w:eastAsia="Arial" w:hAnsi="Arial"/>
                <w:sz w:val="12"/>
                <w:szCs w:val="12"/>
                <w:b w:val="1"/>
                <w:bCs w:val="1"/>
                <w:color w:val="auto"/>
                <w:w w:val="98"/>
              </w:rPr>
              <w:t>Level 1</w:t>
            </w:r>
          </w:p>
        </w:tc>
        <w:tc>
          <w:tcPr>
            <w:tcW w:w="8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Level 2</w:t>
            </w:r>
          </w:p>
        </w:tc>
        <w:tc>
          <w:tcPr>
            <w:tcW w:w="140" w:type="dxa"/>
            <w:vAlign w:val="bottom"/>
          </w:tcPr>
          <w:p>
            <w:pPr>
              <w:spacing w:after="0"/>
              <w:rPr>
                <w:sz w:val="9"/>
                <w:szCs w:val="9"/>
                <w:color w:val="auto"/>
              </w:rPr>
            </w:pPr>
          </w:p>
        </w:tc>
        <w:tc>
          <w:tcPr>
            <w:tcW w:w="90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Quoted Prices</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Significant</w:t>
            </w:r>
          </w:p>
        </w:tc>
        <w:tc>
          <w:tcPr>
            <w:tcW w:w="1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8"/>
              </w:rPr>
              <w:t>Fair Value at</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in Active</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Unobservable</w:t>
            </w: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6"/>
              </w:rPr>
              <w:t>May 29,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Markets for</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Observable</w:t>
            </w:r>
          </w:p>
        </w:tc>
        <w:tc>
          <w:tcPr>
            <w:tcW w:w="1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50"/>
        </w:trPr>
        <w:tc>
          <w:tcPr>
            <w:tcW w:w="40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(In thousands)</w:t>
            </w:r>
          </w:p>
        </w:tc>
        <w:tc>
          <w:tcPr>
            <w:tcW w:w="3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7"/>
              </w:rPr>
              <w:t>2010</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jc w:val="center"/>
              <w:ind w:right="20"/>
              <w:spacing w:after="0"/>
              <w:rPr>
                <w:sz w:val="20"/>
                <w:szCs w:val="20"/>
                <w:color w:val="auto"/>
              </w:rPr>
            </w:pPr>
            <w:r>
              <w:rPr>
                <w:rFonts w:ascii="Arial" w:cs="Arial" w:eastAsia="Arial" w:hAnsi="Arial"/>
                <w:sz w:val="12"/>
                <w:szCs w:val="12"/>
                <w:b w:val="1"/>
                <w:bCs w:val="1"/>
                <w:color w:val="auto"/>
              </w:rPr>
              <w:t>Identical Assets</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Inputs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Short-term investments (includes Put Rights)</w:t>
            </w:r>
          </w:p>
        </w:tc>
        <w:tc>
          <w:tcPr>
            <w:tcW w:w="3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1,150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1,150</w:t>
            </w:r>
          </w:p>
        </w:tc>
        <w:tc>
          <w:tcPr>
            <w:tcW w:w="6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gridSpan w:val="3"/>
          </w:tcPr>
          <w:p>
            <w:pPr>
              <w:spacing w:after="0"/>
              <w:rPr>
                <w:sz w:val="20"/>
                <w:szCs w:val="20"/>
                <w:color w:val="auto"/>
              </w:rPr>
            </w:pPr>
            <w:r>
              <w:rPr>
                <w:rFonts w:ascii="Arial" w:cs="Arial" w:eastAsia="Arial" w:hAnsi="Arial"/>
                <w:sz w:val="12"/>
                <w:szCs w:val="12"/>
                <w:color w:val="auto"/>
              </w:rPr>
              <w:t>Long-term investments</w:t>
            </w:r>
          </w:p>
        </w:tc>
        <w:tc>
          <w:tcPr>
            <w:tcW w:w="3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2"/>
                <w:szCs w:val="12"/>
                <w:color w:val="auto"/>
                <w:w w:val="97"/>
              </w:rPr>
              <w:t>19,272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40" w:type="dxa"/>
            <w:vAlign w:val="bottom"/>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19,272</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0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Assets that fund deferred compensation</w:t>
            </w:r>
          </w:p>
        </w:tc>
        <w:tc>
          <w:tcPr>
            <w:tcW w:w="3580" w:type="dxa"/>
            <w:vAlign w:val="bottom"/>
            <w:shd w:val="clear" w:color="auto" w:fill="CCEEFF"/>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jc w:val="center"/>
              <w:ind w:left="120"/>
              <w:spacing w:after="0"/>
              <w:rPr>
                <w:sz w:val="20"/>
                <w:szCs w:val="20"/>
                <w:color w:val="auto"/>
              </w:rPr>
            </w:pPr>
            <w:r>
              <w:rPr>
                <w:rFonts w:ascii="Arial" w:cs="Arial" w:eastAsia="Arial" w:hAnsi="Arial"/>
                <w:sz w:val="12"/>
                <w:szCs w:val="12"/>
                <w:color w:val="auto"/>
                <w:w w:val="97"/>
              </w:rPr>
              <w:t>11,216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11,216</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580" w:type="dxa"/>
            <w:vAlign w:val="bottom"/>
          </w:tcPr>
          <w:p>
            <w:pPr>
              <w:jc w:val="right"/>
              <w:ind w:right="1800"/>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
        </w:trPr>
        <w:tc>
          <w:tcPr>
            <w:tcW w:w="600" w:type="dxa"/>
            <w:vAlign w:val="bottom"/>
            <w:tcBorders>
              <w:bottom w:val="single" w:sz="8" w:color="9A9A9A"/>
            </w:tcBorders>
          </w:tcPr>
          <w:p>
            <w:pPr>
              <w:spacing w:after="0"/>
              <w:rPr>
                <w:sz w:val="5"/>
                <w:szCs w:val="5"/>
                <w:color w:val="auto"/>
              </w:rPr>
            </w:pPr>
          </w:p>
        </w:tc>
        <w:tc>
          <w:tcPr>
            <w:tcW w:w="840" w:type="dxa"/>
            <w:vAlign w:val="bottom"/>
            <w:tcBorders>
              <w:bottom w:val="single" w:sz="8" w:color="9A9A9A"/>
            </w:tcBorders>
          </w:tcPr>
          <w:p>
            <w:pPr>
              <w:spacing w:after="0"/>
              <w:rPr>
                <w:sz w:val="5"/>
                <w:szCs w:val="5"/>
                <w:color w:val="auto"/>
              </w:rPr>
            </w:pPr>
          </w:p>
        </w:tc>
        <w:tc>
          <w:tcPr>
            <w:tcW w:w="2600" w:type="dxa"/>
            <w:vAlign w:val="bottom"/>
            <w:tcBorders>
              <w:bottom w:val="single" w:sz="8" w:color="9A9A9A"/>
            </w:tcBorders>
          </w:tcPr>
          <w:p>
            <w:pPr>
              <w:spacing w:after="0"/>
              <w:rPr>
                <w:sz w:val="5"/>
                <w:szCs w:val="5"/>
                <w:color w:val="auto"/>
              </w:rPr>
            </w:pPr>
          </w:p>
        </w:tc>
        <w:tc>
          <w:tcPr>
            <w:tcW w:w="35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54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4040" w:type="dxa"/>
            <w:vAlign w:val="bottom"/>
            <w:gridSpan w:val="3"/>
          </w:tcPr>
          <w:p>
            <w:pPr>
              <w:ind w:left="600"/>
              <w:spacing w:after="0"/>
              <w:rPr>
                <w:rFonts w:ascii="Arial" w:cs="Arial" w:eastAsia="Arial" w:hAnsi="Arial"/>
                <w:sz w:val="12"/>
                <w:szCs w:val="12"/>
                <w:color w:val="0000EE"/>
              </w:rPr>
            </w:pPr>
            <w:hyperlink w:anchor="page1">
              <w:r>
                <w:rPr>
                  <w:rFonts w:ascii="Arial" w:cs="Arial" w:eastAsia="Arial" w:hAnsi="Arial"/>
                  <w:sz w:val="12"/>
                  <w:szCs w:val="12"/>
                  <w:color w:val="0000EE"/>
                </w:rPr>
                <w:t>Table of Contents</w:t>
              </w:r>
            </w:hyperlink>
          </w:p>
        </w:tc>
        <w:tc>
          <w:tcPr>
            <w:tcW w:w="3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0"/>
        </w:trPr>
        <w:tc>
          <w:tcPr>
            <w:tcW w:w="600" w:type="dxa"/>
            <w:vAlign w:val="bottom"/>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26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60" w:type="dxa"/>
            <w:vAlign w:val="bottom"/>
            <w:gridSpan w:val="7"/>
          </w:tcPr>
          <w:p>
            <w:pPr>
              <w:jc w:val="center"/>
              <w:ind w:right="60"/>
              <w:spacing w:after="0"/>
              <w:rPr>
                <w:sz w:val="20"/>
                <w:szCs w:val="20"/>
                <w:color w:val="auto"/>
              </w:rPr>
            </w:pPr>
            <w:r>
              <w:rPr>
                <w:rFonts w:ascii="Arial" w:cs="Arial" w:eastAsia="Arial" w:hAnsi="Arial"/>
                <w:sz w:val="12"/>
                <w:szCs w:val="12"/>
                <w:b w:val="1"/>
                <w:bCs w:val="1"/>
                <w:color w:val="auto"/>
                <w:w w:val="99"/>
              </w:rPr>
              <w:t>Fair Value Measurements</w:t>
            </w:r>
          </w:p>
        </w:tc>
        <w:tc>
          <w:tcPr>
            <w:tcW w:w="0" w:type="dxa"/>
            <w:vAlign w:val="bottom"/>
          </w:tcPr>
          <w:p>
            <w:pPr>
              <w:spacing w:after="0"/>
              <w:rPr>
                <w:sz w:val="1"/>
                <w:szCs w:val="1"/>
                <w:color w:val="auto"/>
              </w:rPr>
            </w:pPr>
          </w:p>
        </w:tc>
      </w:tr>
      <w:tr>
        <w:trPr>
          <w:trHeight w:val="150"/>
        </w:trPr>
        <w:tc>
          <w:tcPr>
            <w:tcW w:w="6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2"/>
                <w:szCs w:val="12"/>
                <w:b w:val="1"/>
                <w:bCs w:val="1"/>
                <w:color w:val="auto"/>
                <w:w w:val="99"/>
              </w:rPr>
              <w:t>Using Inputs Considered As</w:t>
            </w:r>
          </w:p>
        </w:tc>
        <w:tc>
          <w:tcPr>
            <w:tcW w:w="0" w:type="dxa"/>
            <w:vAlign w:val="bottom"/>
          </w:tcPr>
          <w:p>
            <w:pPr>
              <w:spacing w:after="0"/>
              <w:rPr>
                <w:sz w:val="1"/>
                <w:szCs w:val="1"/>
                <w:color w:val="auto"/>
              </w:rPr>
            </w:pPr>
          </w:p>
        </w:tc>
      </w:tr>
      <w:tr>
        <w:trPr>
          <w:trHeight w:val="110"/>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3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0" w:type="dxa"/>
            <w:vAlign w:val="bottom"/>
          </w:tcPr>
          <w:p>
            <w:pPr>
              <w:jc w:val="center"/>
              <w:ind w:right="20"/>
              <w:spacing w:after="0" w:line="110" w:lineRule="exact"/>
              <w:rPr>
                <w:sz w:val="20"/>
                <w:szCs w:val="20"/>
                <w:color w:val="auto"/>
              </w:rPr>
            </w:pPr>
            <w:r>
              <w:rPr>
                <w:rFonts w:ascii="Arial" w:cs="Arial" w:eastAsia="Arial" w:hAnsi="Arial"/>
                <w:sz w:val="12"/>
                <w:szCs w:val="12"/>
                <w:b w:val="1"/>
                <w:bCs w:val="1"/>
                <w:color w:val="auto"/>
                <w:w w:val="98"/>
              </w:rPr>
              <w:t>Level 1</w:t>
            </w:r>
          </w:p>
        </w:tc>
        <w:tc>
          <w:tcPr>
            <w:tcW w:w="80" w:type="dxa"/>
            <w:vAlign w:val="bottom"/>
          </w:tcPr>
          <w:p>
            <w:pPr>
              <w:spacing w:after="0"/>
              <w:rPr>
                <w:sz w:val="9"/>
                <w:szCs w:val="9"/>
                <w:color w:val="auto"/>
              </w:rPr>
            </w:pP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8"/>
              </w:rPr>
              <w:t>Level 2</w:t>
            </w:r>
          </w:p>
        </w:tc>
        <w:tc>
          <w:tcPr>
            <w:tcW w:w="140" w:type="dxa"/>
            <w:vAlign w:val="bottom"/>
          </w:tcPr>
          <w:p>
            <w:pPr>
              <w:spacing w:after="0"/>
              <w:rPr>
                <w:sz w:val="9"/>
                <w:szCs w:val="9"/>
                <w:color w:val="auto"/>
              </w:rPr>
            </w:pPr>
          </w:p>
        </w:tc>
        <w:tc>
          <w:tcPr>
            <w:tcW w:w="900" w:type="dxa"/>
            <w:vAlign w:val="bottom"/>
            <w:gridSpan w:val="3"/>
          </w:tcPr>
          <w:p>
            <w:pPr>
              <w:jc w:val="center"/>
              <w:ind w:right="80"/>
              <w:spacing w:after="0" w:line="110" w:lineRule="exact"/>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Quoted Prices</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Significant</w:t>
            </w:r>
          </w:p>
        </w:tc>
        <w:tc>
          <w:tcPr>
            <w:tcW w:w="1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rPr>
              <w:t>Significant</w:t>
            </w:r>
          </w:p>
        </w:tc>
        <w:tc>
          <w:tcPr>
            <w:tcW w:w="0" w:type="dxa"/>
            <w:vAlign w:val="bottom"/>
          </w:tcPr>
          <w:p>
            <w:pPr>
              <w:spacing w:after="0"/>
              <w:rPr>
                <w:sz w:val="1"/>
                <w:szCs w:val="1"/>
                <w:color w:val="auto"/>
              </w:rPr>
            </w:pPr>
          </w:p>
        </w:tc>
      </w:tr>
      <w:tr>
        <w:trPr>
          <w:trHeight w:val="135"/>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w w:val="98"/>
              </w:rPr>
              <w:t>Fair Value at</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 Active</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11"/>
                <w:szCs w:val="11"/>
                <w:color w:val="auto"/>
              </w:rPr>
            </w:pPr>
          </w:p>
        </w:tc>
        <w:tc>
          <w:tcPr>
            <w:tcW w:w="900" w:type="dxa"/>
            <w:vAlign w:val="bottom"/>
            <w:gridSpan w:val="3"/>
          </w:tcPr>
          <w:p>
            <w:pPr>
              <w:jc w:val="center"/>
              <w:ind w:right="80"/>
              <w:spacing w:after="0" w:line="135" w:lineRule="exact"/>
              <w:rPr>
                <w:sz w:val="20"/>
                <w:szCs w:val="20"/>
                <w:color w:val="auto"/>
              </w:rPr>
            </w:pPr>
            <w:r>
              <w:rPr>
                <w:rFonts w:ascii="Arial" w:cs="Arial" w:eastAsia="Arial" w:hAnsi="Arial"/>
                <w:sz w:val="12"/>
                <w:szCs w:val="12"/>
                <w:b w:val="1"/>
                <w:bCs w:val="1"/>
                <w:color w:val="auto"/>
                <w:w w:val="98"/>
              </w:rPr>
              <w:t>Unobservable</w:t>
            </w:r>
          </w:p>
        </w:tc>
        <w:tc>
          <w:tcPr>
            <w:tcW w:w="0" w:type="dxa"/>
            <w:vAlign w:val="bottom"/>
          </w:tcPr>
          <w:p>
            <w:pPr>
              <w:spacing w:after="0"/>
              <w:rPr>
                <w:sz w:val="1"/>
                <w:szCs w:val="1"/>
                <w:color w:val="auto"/>
              </w:rPr>
            </w:pPr>
          </w:p>
        </w:tc>
      </w:tr>
      <w:tr>
        <w:trPr>
          <w:trHeight w:val="135"/>
        </w:trPr>
        <w:tc>
          <w:tcPr>
            <w:tcW w:w="404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3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40"/>
              <w:spacing w:after="0" w:line="135" w:lineRule="exact"/>
              <w:rPr>
                <w:sz w:val="20"/>
                <w:szCs w:val="20"/>
                <w:color w:val="auto"/>
              </w:rPr>
            </w:pPr>
            <w:r>
              <w:rPr>
                <w:rFonts w:ascii="Arial" w:cs="Arial" w:eastAsia="Arial" w:hAnsi="Arial"/>
                <w:sz w:val="12"/>
                <w:szCs w:val="12"/>
                <w:b w:val="1"/>
                <w:bCs w:val="1"/>
                <w:color w:val="auto"/>
              </w:rPr>
              <w:t>August 29,</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jc w:val="center"/>
              <w:ind w:right="20"/>
              <w:spacing w:after="0" w:line="135" w:lineRule="exact"/>
              <w:rPr>
                <w:sz w:val="20"/>
                <w:szCs w:val="20"/>
                <w:color w:val="auto"/>
              </w:rPr>
            </w:pPr>
            <w:r>
              <w:rPr>
                <w:rFonts w:ascii="Arial" w:cs="Arial" w:eastAsia="Arial" w:hAnsi="Arial"/>
                <w:sz w:val="12"/>
                <w:szCs w:val="12"/>
                <w:b w:val="1"/>
                <w:bCs w:val="1"/>
                <w:color w:val="auto"/>
                <w:w w:val="98"/>
              </w:rPr>
              <w:t>Markets for</w:t>
            </w:r>
          </w:p>
        </w:tc>
        <w:tc>
          <w:tcPr>
            <w:tcW w:w="80" w:type="dxa"/>
            <w:vAlign w:val="bottom"/>
          </w:tcPr>
          <w:p>
            <w:pPr>
              <w:spacing w:after="0"/>
              <w:rPr>
                <w:sz w:val="11"/>
                <w:szCs w:val="11"/>
                <w:color w:val="auto"/>
              </w:rPr>
            </w:pP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7"/>
              </w:rPr>
              <w:t>Observable</w:t>
            </w:r>
          </w:p>
        </w:tc>
        <w:tc>
          <w:tcPr>
            <w:tcW w:w="140" w:type="dxa"/>
            <w:vAlign w:val="bottom"/>
          </w:tcPr>
          <w:p>
            <w:pPr>
              <w:spacing w:after="0"/>
              <w:rPr>
                <w:sz w:val="11"/>
                <w:szCs w:val="11"/>
                <w:color w:val="auto"/>
              </w:rPr>
            </w:pPr>
          </w:p>
        </w:tc>
        <w:tc>
          <w:tcPr>
            <w:tcW w:w="900" w:type="dxa"/>
            <w:vAlign w:val="bottom"/>
            <w:gridSpan w:val="3"/>
          </w:tcPr>
          <w:p>
            <w:pPr>
              <w:jc w:val="center"/>
              <w:ind w:right="100"/>
              <w:spacing w:after="0" w:line="135" w:lineRule="exact"/>
              <w:rPr>
                <w:sz w:val="20"/>
                <w:szCs w:val="20"/>
                <w:color w:val="auto"/>
              </w:rPr>
            </w:pPr>
            <w:r>
              <w:rPr>
                <w:rFonts w:ascii="Arial" w:cs="Arial" w:eastAsia="Arial" w:hAnsi="Arial"/>
                <w:sz w:val="12"/>
                <w:szCs w:val="12"/>
                <w:b w:val="1"/>
                <w:bCs w:val="1"/>
                <w:color w:val="auto"/>
                <w:w w:val="99"/>
              </w:rPr>
              <w:t>Inputs</w:t>
            </w:r>
          </w:p>
        </w:tc>
        <w:tc>
          <w:tcPr>
            <w:tcW w:w="0" w:type="dxa"/>
            <w:vAlign w:val="bottom"/>
          </w:tcPr>
          <w:p>
            <w:pPr>
              <w:spacing w:after="0"/>
              <w:rPr>
                <w:sz w:val="1"/>
                <w:szCs w:val="1"/>
                <w:color w:val="auto"/>
              </w:rPr>
            </w:pPr>
          </w:p>
        </w:tc>
      </w:tr>
      <w:tr>
        <w:trPr>
          <w:trHeight w:val="150"/>
        </w:trPr>
        <w:tc>
          <w:tcPr>
            <w:tcW w:w="4040" w:type="dxa"/>
            <w:vAlign w:val="bottom"/>
            <w:tcBorders>
              <w:bottom w:val="single" w:sz="8" w:color="auto"/>
            </w:tcBorders>
            <w:gridSpan w:val="3"/>
            <w:vMerge w:val="continue"/>
          </w:tcPr>
          <w:p>
            <w:pPr>
              <w:spacing w:after="0"/>
              <w:rPr>
                <w:sz w:val="13"/>
                <w:szCs w:val="13"/>
                <w:color w:val="auto"/>
              </w:rPr>
            </w:pPr>
          </w:p>
        </w:tc>
        <w:tc>
          <w:tcPr>
            <w:tcW w:w="35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left="140"/>
              <w:spacing w:after="0"/>
              <w:rPr>
                <w:sz w:val="20"/>
                <w:szCs w:val="20"/>
                <w:color w:val="auto"/>
              </w:rPr>
            </w:pPr>
            <w:r>
              <w:rPr>
                <w:rFonts w:ascii="Arial" w:cs="Arial" w:eastAsia="Arial" w:hAnsi="Arial"/>
                <w:sz w:val="12"/>
                <w:szCs w:val="12"/>
                <w:b w:val="1"/>
                <w:bCs w:val="1"/>
                <w:color w:val="auto"/>
                <w:w w:val="97"/>
              </w:rPr>
              <w:t>2009</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rPr>
              <w:t>Identical Assets</w:t>
            </w:r>
          </w:p>
        </w:tc>
        <w:tc>
          <w:tcPr>
            <w:tcW w:w="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9"/>
              </w:rPr>
              <w:t>Inputs</w:t>
            </w: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0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Short-term investments (includes Put Rights)</w:t>
            </w:r>
          </w:p>
        </w:tc>
        <w:tc>
          <w:tcPr>
            <w:tcW w:w="368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center"/>
              <w:ind w:right="60"/>
              <w:spacing w:after="0" w:line="133" w:lineRule="exact"/>
              <w:rPr>
                <w:sz w:val="20"/>
                <w:szCs w:val="20"/>
                <w:color w:val="auto"/>
              </w:rPr>
            </w:pPr>
            <w:r>
              <w:rPr>
                <w:rFonts w:ascii="Arial" w:cs="Arial" w:eastAsia="Arial" w:hAnsi="Arial"/>
                <w:sz w:val="12"/>
                <w:szCs w:val="12"/>
                <w:color w:val="auto"/>
                <w:w w:val="97"/>
              </w:rPr>
              <w:t>13,500</w:t>
            </w: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shd w:val="clear" w:color="auto" w:fill="CCEEFF"/>
          </w:tcPr>
          <w:p>
            <w:pPr>
              <w:ind w:left="360"/>
              <w:spacing w:after="0" w:line="133"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13,500</w:t>
            </w:r>
          </w:p>
        </w:tc>
        <w:tc>
          <w:tcPr>
            <w:tcW w:w="2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4040" w:type="dxa"/>
            <w:vAlign w:val="bottom"/>
            <w:gridSpan w:val="3"/>
          </w:tcPr>
          <w:p>
            <w:pPr>
              <w:spacing w:after="0"/>
              <w:rPr>
                <w:sz w:val="20"/>
                <w:szCs w:val="20"/>
                <w:color w:val="auto"/>
              </w:rPr>
            </w:pPr>
            <w:r>
              <w:rPr>
                <w:rFonts w:ascii="Arial" w:cs="Arial" w:eastAsia="Arial" w:hAnsi="Arial"/>
                <w:sz w:val="12"/>
                <w:szCs w:val="12"/>
                <w:color w:val="auto"/>
              </w:rPr>
              <w:t>Long-term investments</w:t>
            </w: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2"/>
                <w:szCs w:val="12"/>
                <w:color w:val="auto"/>
                <w:w w:val="97"/>
              </w:rPr>
              <w:t>19,794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jc w:val="right"/>
              <w:ind w:righ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740" w:type="dxa"/>
            <w:vAlign w:val="bottom"/>
          </w:tcPr>
          <w:p>
            <w:pPr>
              <w:ind w:left="360"/>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19,794</w:t>
            </w: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04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Assets that fund deferred compensation</w:t>
            </w:r>
          </w:p>
        </w:tc>
        <w:tc>
          <w:tcPr>
            <w:tcW w:w="3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2"/>
                <w:szCs w:val="12"/>
                <w:color w:val="auto"/>
                <w:w w:val="97"/>
              </w:rPr>
              <w:t>10,858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10,858</w:t>
            </w: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ind w:left="360"/>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-1207135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-1207135</wp:posOffset>
            </wp:positionV>
            <wp:extent cx="31115"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provides a reconciliation between the beginning and ending balances of items measured at fair value on a recurring basis in the tables above that used significant unobservable inputs (Level 3):</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80" w:type="dxa"/>
            <w:vAlign w:val="bottom"/>
            <w:gridSpan w:val="4"/>
          </w:tcPr>
          <w:p>
            <w:pPr>
              <w:ind w:left="20"/>
              <w:spacing w:after="0"/>
              <w:rPr>
                <w:sz w:val="20"/>
                <w:szCs w:val="20"/>
                <w:color w:val="auto"/>
              </w:rPr>
            </w:pPr>
            <w:r>
              <w:rPr>
                <w:rFonts w:ascii="Arial" w:cs="Arial" w:eastAsia="Arial" w:hAnsi="Arial"/>
                <w:sz w:val="12"/>
                <w:szCs w:val="12"/>
                <w:color w:val="auto"/>
              </w:rPr>
              <w:t>&lt; td style="vertical-align:bottom;padding:0px;"&gt;</w:t>
            </w:r>
          </w:p>
        </w:tc>
        <w:tc>
          <w:tcPr>
            <w:tcW w:w="8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261"/>
        </w:trPr>
        <w:tc>
          <w:tcPr>
            <w:tcW w:w="44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300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Quarter Ended</w:t>
            </w:r>
          </w:p>
        </w:tc>
        <w:tc>
          <w:tcPr>
            <w:tcW w:w="8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4"/>
          </w:tcPr>
          <w:p>
            <w:pPr>
              <w:ind w:left="180"/>
              <w:spacing w:after="0"/>
              <w:rPr>
                <w:sz w:val="20"/>
                <w:szCs w:val="20"/>
                <w:color w:val="auto"/>
              </w:rPr>
            </w:pPr>
            <w:r>
              <w:rPr>
                <w:rFonts w:ascii="Arial" w:cs="Arial" w:eastAsia="Arial" w:hAnsi="Arial"/>
                <w:sz w:val="12"/>
                <w:szCs w:val="12"/>
                <w:b w:val="1"/>
                <w:bCs w:val="1"/>
                <w:color w:val="auto"/>
              </w:rPr>
              <w:t>Nine Months Ended</w:t>
            </w:r>
          </w:p>
        </w:tc>
      </w:tr>
      <w:tr>
        <w:trPr>
          <w:trHeight w:val="110"/>
        </w:trPr>
        <w:tc>
          <w:tcPr>
            <w:tcW w:w="4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ind w:right="100"/>
              <w:spacing w:after="0" w:line="110" w:lineRule="exact"/>
              <w:rPr>
                <w:sz w:val="20"/>
                <w:szCs w:val="20"/>
                <w:color w:val="auto"/>
              </w:rPr>
            </w:pPr>
            <w:r>
              <w:rPr>
                <w:rFonts w:ascii="Arial" w:cs="Arial" w:eastAsia="Arial" w:hAnsi="Arial"/>
                <w:sz w:val="12"/>
                <w:szCs w:val="12"/>
                <w:b w:val="1"/>
                <w:bCs w:val="1"/>
                <w:color w:val="auto"/>
              </w:rPr>
              <w:t>May 29,</w:t>
            </w: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00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May 30,</w:t>
            </w:r>
          </w:p>
        </w:tc>
        <w:tc>
          <w:tcPr>
            <w:tcW w:w="840" w:type="dxa"/>
            <w:vAlign w:val="bottom"/>
          </w:tcPr>
          <w:p>
            <w:pPr>
              <w:spacing w:after="0"/>
              <w:rPr>
                <w:sz w:val="9"/>
                <w:szCs w:val="9"/>
                <w:color w:val="auto"/>
              </w:rPr>
            </w:pPr>
          </w:p>
        </w:tc>
        <w:tc>
          <w:tcPr>
            <w:tcW w:w="660" w:type="dxa"/>
            <w:vAlign w:val="bottom"/>
          </w:tcPr>
          <w:p>
            <w:pPr>
              <w:jc w:val="right"/>
              <w:ind w:right="100"/>
              <w:spacing w:after="0" w:line="110" w:lineRule="exact"/>
              <w:rPr>
                <w:sz w:val="20"/>
                <w:szCs w:val="20"/>
                <w:color w:val="auto"/>
              </w:rPr>
            </w:pPr>
            <w:r>
              <w:rPr>
                <w:rFonts w:ascii="Arial" w:cs="Arial" w:eastAsia="Arial" w:hAnsi="Arial"/>
                <w:sz w:val="12"/>
                <w:szCs w:val="12"/>
                <w:b w:val="1"/>
                <w:bCs w:val="1"/>
                <w:color w:val="auto"/>
              </w:rPr>
              <w:t>May 29,</w:t>
            </w:r>
          </w:p>
        </w:tc>
        <w:tc>
          <w:tcPr>
            <w:tcW w:w="960" w:type="dxa"/>
            <w:vAlign w:val="bottom"/>
            <w:gridSpan w:val="3"/>
          </w:tcPr>
          <w:p>
            <w:pPr>
              <w:ind w:left="80"/>
              <w:spacing w:after="0" w:line="110" w:lineRule="exact"/>
              <w:rPr>
                <w:sz w:val="20"/>
                <w:szCs w:val="20"/>
                <w:color w:val="auto"/>
              </w:rPr>
            </w:pPr>
            <w:r>
              <w:rPr>
                <w:rFonts w:ascii="Arial" w:cs="Arial" w:eastAsia="Arial" w:hAnsi="Arial"/>
                <w:sz w:val="12"/>
                <w:szCs w:val="12"/>
                <w:b w:val="1"/>
                <w:bCs w:val="1"/>
                <w:color w:val="auto"/>
              </w:rPr>
              <w:t>May 30,</w:t>
            </w:r>
          </w:p>
        </w:tc>
      </w:tr>
      <w:tr>
        <w:trPr>
          <w:trHeight w:val="150"/>
        </w:trPr>
        <w:tc>
          <w:tcPr>
            <w:tcW w:w="44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2010</w:t>
            </w: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0" w:type="dxa"/>
            <w:vAlign w:val="bottom"/>
            <w:tcBorders>
              <w:bottom w:val="single" w:sz="8" w:color="auto"/>
            </w:tcBorders>
          </w:tcPr>
          <w:p>
            <w:pPr>
              <w:jc w:val="right"/>
              <w:ind w:right="1300"/>
              <w:spacing w:after="0"/>
              <w:rPr>
                <w:sz w:val="20"/>
                <w:szCs w:val="20"/>
                <w:color w:val="auto"/>
              </w:rPr>
            </w:pPr>
            <w:r>
              <w:rPr>
                <w:rFonts w:ascii="Arial" w:cs="Arial" w:eastAsia="Arial" w:hAnsi="Arial"/>
                <w:sz w:val="12"/>
                <w:szCs w:val="12"/>
                <w:b w:val="1"/>
                <w:bCs w:val="1"/>
                <w:color w:val="auto"/>
              </w:rPr>
              <w:t>2009</w:t>
            </w:r>
          </w:p>
        </w:tc>
        <w:tc>
          <w:tcPr>
            <w:tcW w:w="8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2010</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2"/>
                <w:szCs w:val="12"/>
                <w:b w:val="1"/>
                <w:bCs w:val="1"/>
                <w:color w:val="auto"/>
              </w:rPr>
              <w:t>2009</w:t>
            </w:r>
          </w:p>
        </w:tc>
        <w:tc>
          <w:tcPr>
            <w:tcW w:w="4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r>
      <w:tr>
        <w:trPr>
          <w:trHeight w:val="133"/>
        </w:trPr>
        <w:tc>
          <w:tcPr>
            <w:tcW w:w="44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beginning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28,748</w:t>
            </w:r>
          </w:p>
        </w:tc>
        <w:tc>
          <w:tcPr>
            <w:tcW w:w="28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32,750</w:t>
            </w:r>
          </w:p>
        </w:tc>
        <w:tc>
          <w:tcPr>
            <w:tcW w:w="300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33,294</w:t>
            </w:r>
          </w:p>
        </w:tc>
        <w:tc>
          <w:tcPr>
            <w:tcW w:w="380" w:type="dxa"/>
            <w:vAlign w:val="bottom"/>
            <w:shd w:val="clear" w:color="auto" w:fill="CCEEFF"/>
          </w:tcPr>
          <w:p>
            <w:pPr>
              <w:ind w:left="80"/>
              <w:spacing w:after="0" w:line="133" w:lineRule="exact"/>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37,538</w:t>
            </w:r>
          </w:p>
        </w:tc>
        <w:tc>
          <w:tcPr>
            <w:tcW w:w="140" w:type="dxa"/>
            <w:vAlign w:val="bottom"/>
            <w:shd w:val="clear" w:color="auto" w:fill="CCEEFF"/>
          </w:tcPr>
          <w:p>
            <w:pPr>
              <w:spacing w:after="0"/>
              <w:rPr>
                <w:sz w:val="11"/>
                <w:szCs w:val="11"/>
                <w:color w:val="auto"/>
              </w:rPr>
            </w:pPr>
          </w:p>
        </w:tc>
      </w:tr>
      <w:tr>
        <w:trPr>
          <w:trHeight w:val="144"/>
        </w:trPr>
        <w:tc>
          <w:tcPr>
            <w:tcW w:w="4460" w:type="dxa"/>
            <w:vAlign w:val="bottom"/>
          </w:tcPr>
          <w:p>
            <w:pPr>
              <w:spacing w:after="0"/>
              <w:rPr>
                <w:sz w:val="20"/>
                <w:szCs w:val="20"/>
                <w:color w:val="auto"/>
              </w:rPr>
            </w:pPr>
            <w:r>
              <w:rPr>
                <w:rFonts w:ascii="Arial" w:cs="Arial" w:eastAsia="Arial" w:hAnsi="Arial"/>
                <w:sz w:val="12"/>
                <w:szCs w:val="12"/>
                <w:color w:val="auto"/>
              </w:rPr>
              <w:t>Net realized gain (loss) i ncluded in earnings</w:t>
            </w:r>
          </w:p>
        </w:tc>
        <w:tc>
          <w:tcPr>
            <w:tcW w:w="80" w:type="dxa"/>
            <w:vAlign w:val="bottom"/>
          </w:tcPr>
          <w:p>
            <w:pPr>
              <w:spacing w:after="0"/>
              <w:rPr>
                <w:sz w:val="12"/>
                <w:szCs w:val="12"/>
                <w:color w:val="auto"/>
              </w:rPr>
            </w:pPr>
          </w:p>
        </w:tc>
        <w:tc>
          <w:tcPr>
            <w:tcW w:w="70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167</w:t>
            </w:r>
          </w:p>
        </w:tc>
        <w:tc>
          <w:tcPr>
            <w:tcW w:w="3000" w:type="dxa"/>
            <w:vAlign w:val="bottom"/>
          </w:tcPr>
          <w:p>
            <w:pPr>
              <w:ind w:left="40"/>
              <w:spacing w:after="0"/>
              <w:rPr>
                <w:sz w:val="20"/>
                <w:szCs w:val="20"/>
                <w:color w:val="auto"/>
              </w:rPr>
            </w:pPr>
            <w:r>
              <w:rPr>
                <w:rFonts w:ascii="Arial" w:cs="Arial" w:eastAsia="Arial" w:hAnsi="Arial"/>
                <w:sz w:val="12"/>
                <w:szCs w:val="12"/>
                <w:color w:val="auto"/>
              </w:rPr>
              <w:t>&lt; div style="overflow:hidden;font-size:10pt;"&gt;</w:t>
            </w:r>
          </w:p>
        </w:tc>
        <w:tc>
          <w:tcPr>
            <w:tcW w:w="840" w:type="dxa"/>
            <w:vAlign w:val="bottom"/>
          </w:tcPr>
          <w:p>
            <w:pPr>
              <w:spacing w:after="0"/>
              <w:rPr>
                <w:sz w:val="12"/>
                <w:szCs w:val="12"/>
                <w:color w:val="auto"/>
              </w:rPr>
            </w:pPr>
          </w:p>
        </w:tc>
        <w:tc>
          <w:tcPr>
            <w:tcW w:w="66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2"/>
                <w:szCs w:val="12"/>
                <w:color w:val="auto"/>
              </w:rPr>
              <w:t>(27)</w:t>
            </w:r>
          </w:p>
        </w:tc>
        <w:tc>
          <w:tcPr>
            <w:tcW w:w="140" w:type="dxa"/>
            <w:vAlign w:val="bottom"/>
          </w:tcPr>
          <w:p>
            <w:pPr>
              <w:spacing w:after="0"/>
              <w:rPr>
                <w:sz w:val="12"/>
                <w:szCs w:val="12"/>
                <w:color w:val="auto"/>
              </w:rPr>
            </w:pPr>
          </w:p>
        </w:tc>
      </w:tr>
      <w:tr>
        <w:trPr>
          <w:trHeight w:val="144"/>
        </w:trPr>
        <w:tc>
          <w:tcPr>
            <w:tcW w:w="4460" w:type="dxa"/>
            <w:vAlign w:val="bottom"/>
            <w:shd w:val="clear" w:color="auto" w:fill="CCEEFF"/>
          </w:tcPr>
          <w:p>
            <w:pPr>
              <w:spacing w:after="0"/>
              <w:rPr>
                <w:sz w:val="20"/>
                <w:szCs w:val="20"/>
                <w:color w:val="auto"/>
              </w:rPr>
            </w:pPr>
            <w:r>
              <w:rPr>
                <w:rFonts w:ascii="Arial" w:cs="Arial" w:eastAsia="Arial" w:hAnsi="Arial"/>
                <w:sz w:val="12"/>
                <w:szCs w:val="12"/>
                <w:color w:val="auto"/>
              </w:rPr>
              <w:t>Net change included in other comprehensive income</w:t>
            </w: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(126)</w:t>
            </w: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559</w:t>
            </w:r>
          </w:p>
        </w:tc>
        <w:tc>
          <w:tcPr>
            <w:tcW w:w="30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28</w:t>
            </w:r>
          </w:p>
        </w:tc>
        <w:tc>
          <w:tcPr>
            <w:tcW w:w="380" w:type="dxa"/>
            <w:vAlign w:val="bottom"/>
            <w:shd w:val="clear" w:color="auto" w:fill="CCEEFF"/>
          </w:tcPr>
          <w:p>
            <w:pPr>
              <w:spacing w:after="0"/>
              <w:rPr>
                <w:sz w:val="12"/>
                <w:szCs w:val="12"/>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1,365</w:t>
            </w:r>
          </w:p>
        </w:tc>
        <w:tc>
          <w:tcPr>
            <w:tcW w:w="140" w:type="dxa"/>
            <w:vAlign w:val="bottom"/>
            <w:shd w:val="clear" w:color="auto" w:fill="CCEEFF"/>
          </w:tcPr>
          <w:p>
            <w:pPr>
              <w:spacing w:after="0"/>
              <w:rPr>
                <w:sz w:val="12"/>
                <w:szCs w:val="12"/>
                <w:color w:val="auto"/>
              </w:rPr>
            </w:pPr>
          </w:p>
        </w:tc>
      </w:tr>
      <w:tr>
        <w:trPr>
          <w:trHeight w:val="144"/>
        </w:trPr>
        <w:tc>
          <w:tcPr>
            <w:tcW w:w="4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Sales</w:t>
            </w: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(8,200)</w:t>
            </w:r>
          </w:p>
        </w:tc>
        <w:tc>
          <w:tcPr>
            <w:tcW w:w="2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0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(12,900)</w:t>
            </w:r>
          </w:p>
        </w:tc>
        <w:tc>
          <w:tcPr>
            <w:tcW w:w="3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(5,400)</w:t>
            </w:r>
          </w:p>
        </w:tc>
        <w:tc>
          <w:tcPr>
            <w:tcW w:w="140" w:type="dxa"/>
            <w:vAlign w:val="bottom"/>
            <w:tcBorders>
              <w:bottom w:val="single" w:sz="8" w:color="CCEEFF"/>
            </w:tcBorders>
          </w:tcPr>
          <w:p>
            <w:pPr>
              <w:spacing w:after="0"/>
              <w:rPr>
                <w:sz w:val="12"/>
                <w:szCs w:val="12"/>
                <w:color w:val="auto"/>
              </w:rPr>
            </w:pPr>
          </w:p>
        </w:tc>
      </w:tr>
      <w:tr>
        <w:trPr>
          <w:trHeight w:val="140"/>
        </w:trPr>
        <w:tc>
          <w:tcPr>
            <w:tcW w:w="446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Balance at end of period</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20,422</w:t>
            </w:r>
          </w:p>
        </w:tc>
        <w:tc>
          <w:tcPr>
            <w:tcW w:w="28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33,476</w:t>
            </w:r>
          </w:p>
        </w:tc>
        <w:tc>
          <w:tcPr>
            <w:tcW w:w="300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20,422</w:t>
            </w:r>
          </w:p>
        </w:tc>
        <w:tc>
          <w:tcPr>
            <w:tcW w:w="380" w:type="dxa"/>
            <w:vAlign w:val="bottom"/>
            <w:tcBorders>
              <w:bottom w:val="single" w:sz="8" w:color="auto"/>
            </w:tcBorders>
            <w:shd w:val="clear" w:color="auto" w:fill="CCEEFF"/>
          </w:tcPr>
          <w:p>
            <w:pPr>
              <w:ind w:left="80"/>
              <w:spacing w:after="0" w:line="133" w:lineRule="exact"/>
              <w:rPr>
                <w:sz w:val="20"/>
                <w:szCs w:val="20"/>
                <w:color w:val="auto"/>
              </w:rPr>
            </w:pPr>
            <w:r>
              <w:rPr>
                <w:rFonts w:ascii="Arial" w:cs="Arial" w:eastAsia="Arial" w:hAnsi="Arial"/>
                <w:sz w:val="12"/>
                <w:szCs w:val="12"/>
                <w:color w:val="auto"/>
              </w:rPr>
              <w:t>$</w:t>
            </w:r>
          </w:p>
        </w:tc>
        <w:tc>
          <w:tcPr>
            <w:tcW w:w="4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97"/>
              </w:rPr>
              <w:t>33,476</w:t>
            </w:r>
          </w:p>
        </w:tc>
        <w:tc>
          <w:tcPr>
            <w:tcW w:w="140" w:type="dxa"/>
            <w:vAlign w:val="bottom"/>
            <w:tcBorders>
              <w:bottom w:val="single" w:sz="8" w:color="auto"/>
            </w:tcBorders>
            <w:shd w:val="clear" w:color="auto" w:fill="CCEEFF"/>
          </w:tcPr>
          <w:p>
            <w:pPr>
              <w:spacing w:after="0"/>
              <w:rPr>
                <w:sz w:val="12"/>
                <w:szCs w:val="12"/>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methods and assumptions were used to estimate the fair value of ea ch class of financial instrument:</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Long-Term and Short-Term Investments</w:t>
      </w:r>
    </w:p>
    <w:p>
      <w:pPr>
        <w:spacing w:after="0" w:line="18" w:lineRule="exact"/>
        <w:rPr>
          <w:sz w:val="20"/>
          <w:szCs w:val="20"/>
          <w:color w:val="auto"/>
        </w:rPr>
      </w:pPr>
    </w:p>
    <w:p>
      <w:pPr>
        <w:ind w:right="160"/>
        <w:spacing w:after="0" w:line="307" w:lineRule="auto"/>
        <w:rPr>
          <w:sz w:val="20"/>
          <w:szCs w:val="20"/>
          <w:color w:val="auto"/>
        </w:rPr>
      </w:pPr>
      <w:r>
        <w:rPr>
          <w:rFonts w:ascii="Arial" w:cs="Arial" w:eastAsia="Arial" w:hAnsi="Arial"/>
          <w:sz w:val="11"/>
          <w:szCs w:val="11"/>
          <w:color w:val="auto"/>
        </w:rPr>
        <w:t>Our long-term and short-term investments are comprised of Auction Rate Securities (ARS) and Put Rights (each as defined and described in Note 4) and are classified as Level 3 as quoted prices were unavailable due to events described in Note 4. Due to limited market information, we utilized a discounted cash flow (DCF) model to derive an estimate of fair value at May 29, 2010. The assumptions used in preparing the DCF</w:t>
      </w:r>
    </w:p>
    <w:p>
      <w:pPr>
        <w:sectPr>
          <w:pgSz w:w="11900" w:h="16838" w:orient="portrait"/>
          <w:cols w:equalWidth="0" w:num="1">
            <w:col w:w="11480"/>
          </w:cols>
          <w:pgMar w:left="220" w:top="131" w:right="199" w:bottom="0" w:gutter="0" w:footer="0" w:header="0"/>
        </w:sectPr>
      </w:pPr>
    </w:p>
    <w:bookmarkStart w:id="3" w:name="page4"/>
    <w:bookmarkEnd w:id="3"/>
    <w:p>
      <w:pPr>
        <w:spacing w:after="0" w:line="62" w:lineRule="exact"/>
        <w:rPr>
          <w:sz w:val="20"/>
          <w:szCs w:val="20"/>
          <w:color w:val="auto"/>
        </w:rPr>
      </w:pPr>
    </w:p>
    <w:p>
      <w:pPr>
        <w:ind w:right="580"/>
        <w:spacing w:after="0" w:line="261" w:lineRule="auto"/>
        <w:rPr>
          <w:sz w:val="20"/>
          <w:szCs w:val="20"/>
          <w:color w:val="auto"/>
        </w:rPr>
      </w:pPr>
      <w:r>
        <w:rPr>
          <w:rFonts w:ascii="Arial" w:cs="Arial" w:eastAsia="Arial" w:hAnsi="Arial"/>
          <w:sz w:val="12"/>
          <w:szCs w:val="12"/>
          <w:color w:val="auto"/>
        </w:rPr>
        <w:t>mod 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Assets that Fund Deferred Compensation</w:t>
      </w:r>
    </w:p>
    <w:p>
      <w:pPr>
        <w:spacing w:after="0" w:line="1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Our assets that fund deferred compensation are marketable equity securities and are measured at fair value using quoted market prices and primarily consist of equity-based mutual funds. They are classified as Level 1 as they are traded in an active market for which closing stock prices are readily available. These securities fund the deferred compensation program and are presented as other assets in the accompanying balance sheets.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4: Investments</w:t>
      </w:r>
    </w:p>
    <w:p>
      <w:pPr>
        <w:spacing w:after="0" w:line="164"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We own investments in marketable securities that have been designated as available for sale or trading securities in accordance with ASC Topic 320, Investments-Debt and Equity Securities. At May 29, 2010, we held $20.8 million (par value) of investments comprised of tax-exempt ARS, which are variable-rate debt securities and have a long-term maturity with the interest rate being reset through Dutch auctions.</w:t>
      </w:r>
    </w:p>
    <w:p>
      <w:pPr>
        <w:spacing w:after="0" w:line="131" w:lineRule="exact"/>
        <w:rPr>
          <w:sz w:val="20"/>
          <w:szCs w:val="20"/>
          <w:color w:val="auto"/>
        </w:rPr>
      </w:pPr>
    </w:p>
    <w:p>
      <w:pPr>
        <w:ind w:right="60"/>
        <w:spacing w:after="0" w:line="252" w:lineRule="auto"/>
        <w:rPr>
          <w:sz w:val="20"/>
          <w:szCs w:val="20"/>
          <w:color w:val="auto"/>
        </w:rPr>
      </w:pPr>
      <w:r>
        <w:rPr>
          <w:rFonts w:ascii="Arial" w:cs="Arial" w:eastAsia="Arial" w:hAnsi="Arial"/>
          <w:sz w:val="12"/>
          <w:szCs w:val="12"/>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nonexistent. We have no reason to believe that any of the underlying issuers of our ARS are presently at risk of default. As of the date of this report, we have contin ued to receive interest payments on the ARS in accordance with their terms. We believe we will ultimately be able to liquidate our ARS related investments without significant loss primarily due to the collateral securing our ARS and the legal settlement agreement we previously entered into with UBS AG (UBS). Our UBS settlement allows for a portion of our ARS to be redeemed at par as early as June 30, 2010. However, the remaining portfolio could take until final maturity of the ARS (up to 25 years) to realize the par value of our investments. Due to the changes and uncertainty in the ARS market, we believe the recovery period for these investments is likely to be longer than 12 months and as a result, we have classified these investments as long-term as of May 29, 2010. Our short-term ARS investments of $1.2</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right="260"/>
        <w:spacing w:after="0" w:line="262" w:lineRule="auto"/>
        <w:rPr>
          <w:sz w:val="20"/>
          <w:szCs w:val="20"/>
          <w:color w:val="auto"/>
        </w:rPr>
      </w:pPr>
      <w:r>
        <w:rPr>
          <w:rFonts w:ascii="Arial" w:cs="Arial" w:eastAsia="Arial" w:hAnsi="Arial"/>
          <w:sz w:val="12"/>
          <w:szCs w:val="12"/>
          <w:color w:val="auto"/>
        </w:rPr>
        <w:t>million are comprised of a $250,000 partial redemption that was paid on June 2, 2010 and $900,000 relates to the UBS portion of our portfolio including the rights to require UBS to purchase (the Put Rights) at par value at any time during a two-year sale period beginning June 30, 2010.</w:t>
      </w:r>
    </w:p>
    <w:p>
      <w:pPr>
        <w:spacing w:after="0" w:line="123" w:lineRule="exact"/>
        <w:rPr>
          <w:sz w:val="20"/>
          <w:szCs w:val="20"/>
          <w:color w:val="auto"/>
        </w:rPr>
      </w:pPr>
    </w:p>
    <w:p>
      <w:pPr>
        <w:ind w:right="80"/>
        <w:spacing w:after="0" w:line="259" w:lineRule="auto"/>
        <w:rPr>
          <w:sz w:val="20"/>
          <w:szCs w:val="20"/>
          <w:color w:val="auto"/>
        </w:rPr>
      </w:pPr>
      <w:r>
        <w:rPr>
          <w:rFonts w:ascii="Arial" w:cs="Arial" w:eastAsia="Arial" w:hAnsi="Arial"/>
          <w:sz w:val="12"/>
          <w:szCs w:val="12"/>
          <w:color w:val="auto"/>
        </w:rPr>
        <w:t>The terms of the UBS settlement agreement also allowed us to borrow on a portion of our portfolio at no net cost and as a result, we borrowed $610,000 under this arrangement, which is presented as short-term ARS borrowings on our balance sheet. We have the ability to maintain the no net cost loans until the securities are liquidated or they reach the June 2010 put date. During the second and third quarters of 2010, UBS elected to redeem securities that had a par value of $12.6 million. Terms of the settlement agreement required us to repay a portion of the outstanding borrowings of $8.5 million. In addition, short-term ARS investments of $300,000 not part of the UBS portfolio were redeemed by the issuer at par in the first nine months of Fiscal 2010.</w:t>
      </w:r>
    </w:p>
    <w:p>
      <w:pPr>
        <w:spacing w:after="0" w:line="133"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color w:val="auto"/>
        </w:rPr>
        <w:t>At May 29, 2010, there was insufficient observable ARS market information available to determine the fair value of our ARS investments, including the Put Rights. We recorded a temporary impairment of $378,000 related to our long-term ARS investments of $19.7 million (par value) that were not part of the UBS settlement as of May 29, 2010.</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5: Inventories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Inventories are valued at the lower of cost or market, with cost being determined under the last-in, first-out (LIFO) method and market defined as net realizable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3720" w:type="dxa"/>
            <w:vAlign w:val="bottom"/>
          </w:tcPr>
          <w:p>
            <w:pPr>
              <w:spacing w:after="0"/>
              <w:rPr>
                <w:sz w:val="20"/>
                <w:szCs w:val="20"/>
                <w:color w:val="auto"/>
              </w:rPr>
            </w:pPr>
            <w:r>
              <w:rPr>
                <w:rFonts w:ascii="Arial" w:cs="Arial" w:eastAsia="Arial" w:hAnsi="Arial"/>
                <w:sz w:val="12"/>
                <w:szCs w:val="12"/>
                <w:color w:val="auto"/>
              </w:rPr>
              <w:t>Inventories consist of the following:</w:t>
            </w:r>
          </w:p>
        </w:tc>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3720" w:type="dxa"/>
            <w:vAlign w:val="bottom"/>
          </w:tcPr>
          <w:p>
            <w:pPr>
              <w:spacing w:after="0"/>
              <w:rPr>
                <w:sz w:val="19"/>
                <w:szCs w:val="19"/>
                <w:color w:val="auto"/>
              </w:rPr>
            </w:pPr>
          </w:p>
        </w:tc>
        <w:tc>
          <w:tcPr>
            <w:tcW w:w="6080" w:type="dxa"/>
            <w:vAlign w:val="bottom"/>
            <w:gridSpan w:val="2"/>
          </w:tcPr>
          <w:p>
            <w:pPr>
              <w:jc w:val="right"/>
              <w:ind w:right="3920"/>
              <w:spacing w:after="0"/>
              <w:rPr>
                <w:sz w:val="20"/>
                <w:szCs w:val="20"/>
                <w:color w:val="auto"/>
              </w:rPr>
            </w:pPr>
            <w:r>
              <w:rPr>
                <w:rFonts w:ascii="Arial" w:cs="Arial" w:eastAsia="Arial" w:hAnsi="Arial"/>
                <w:sz w:val="12"/>
                <w:szCs w:val="12"/>
                <w:color w:val="auto"/>
              </w:rPr>
              <w:t>&lt; /tr&gt;</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May 29,</w:t>
            </w:r>
          </w:p>
        </w:tc>
        <w:tc>
          <w:tcPr>
            <w:tcW w:w="200" w:type="dxa"/>
            <w:vAlign w:val="bottom"/>
          </w:tcPr>
          <w:p>
            <w:pPr>
              <w:spacing w:after="0"/>
              <w:rPr>
                <w:sz w:val="19"/>
                <w:szCs w:val="19"/>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August 29,</w:t>
            </w:r>
          </w:p>
        </w:tc>
        <w:tc>
          <w:tcPr>
            <w:tcW w:w="0" w:type="dxa"/>
            <w:vAlign w:val="bottom"/>
          </w:tcPr>
          <w:p>
            <w:pPr>
              <w:spacing w:after="0"/>
              <w:rPr>
                <w:sz w:val="1"/>
                <w:szCs w:val="1"/>
                <w:color w:val="auto"/>
              </w:rPr>
            </w:pPr>
          </w:p>
        </w:tc>
      </w:tr>
      <w:tr>
        <w:trPr>
          <w:trHeight w:val="121"/>
        </w:trPr>
        <w:tc>
          <w:tcPr>
            <w:tcW w:w="37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6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3720" w:type="dxa"/>
            <w:vAlign w:val="bottom"/>
            <w:tcBorders>
              <w:bottom w:val="single" w:sz="8" w:color="auto"/>
            </w:tcBorders>
            <w:vMerge w:val="continue"/>
          </w:tcPr>
          <w:p>
            <w:pPr>
              <w:spacing w:after="0"/>
              <w:rPr>
                <w:sz w:val="13"/>
                <w:szCs w:val="13"/>
                <w:color w:val="auto"/>
              </w:rPr>
            </w:pPr>
          </w:p>
        </w:tc>
        <w:tc>
          <w:tcPr>
            <w:tcW w:w="6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2010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7"/>
              </w:rPr>
              <w:t>2009</w:t>
            </w:r>
          </w:p>
        </w:tc>
        <w:tc>
          <w:tcPr>
            <w:tcW w:w="0" w:type="dxa"/>
            <w:vAlign w:val="bottom"/>
          </w:tcPr>
          <w:p>
            <w:pPr>
              <w:spacing w:after="0"/>
              <w:rPr>
                <w:sz w:val="1"/>
                <w:szCs w:val="1"/>
                <w:color w:val="auto"/>
              </w:rPr>
            </w:pPr>
          </w:p>
        </w:tc>
      </w:tr>
      <w:tr>
        <w:trPr>
          <w:trHeight w:val="133"/>
        </w:trPr>
        <w:tc>
          <w:tcPr>
            <w:tcW w:w="37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Finished goods</w:t>
            </w:r>
          </w:p>
        </w:tc>
        <w:tc>
          <w:tcPr>
            <w:tcW w:w="60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center"/>
              <w:spacing w:after="0" w:line="133" w:lineRule="exact"/>
              <w:rPr>
                <w:sz w:val="20"/>
                <w:szCs w:val="20"/>
                <w:color w:val="auto"/>
              </w:rPr>
            </w:pPr>
            <w:r>
              <w:rPr>
                <w:rFonts w:ascii="Arial" w:cs="Arial" w:eastAsia="Arial" w:hAnsi="Arial"/>
                <w:sz w:val="12"/>
                <w:szCs w:val="12"/>
                <w:color w:val="auto"/>
              </w:rPr>
              <w:t>18,752</w:t>
            </w:r>
          </w:p>
        </w:tc>
        <w:tc>
          <w:tcPr>
            <w:tcW w:w="2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center"/>
              <w:ind w:right="40"/>
              <w:spacing w:after="0" w:line="133" w:lineRule="exact"/>
              <w:rPr>
                <w:sz w:val="20"/>
                <w:szCs w:val="20"/>
                <w:color w:val="auto"/>
              </w:rPr>
            </w:pPr>
            <w:r>
              <w:rPr>
                <w:rFonts w:ascii="Arial" w:cs="Arial" w:eastAsia="Arial" w:hAnsi="Arial"/>
                <w:sz w:val="12"/>
                <w:szCs w:val="12"/>
                <w:color w:val="auto"/>
              </w:rPr>
              <w:t>18,709</w:t>
            </w:r>
          </w:p>
        </w:tc>
        <w:tc>
          <w:tcPr>
            <w:tcW w:w="0" w:type="dxa"/>
            <w:vAlign w:val="bottom"/>
          </w:tcPr>
          <w:p>
            <w:pPr>
              <w:spacing w:after="0"/>
              <w:rPr>
                <w:sz w:val="1"/>
                <w:szCs w:val="1"/>
                <w:color w:val="auto"/>
              </w:rPr>
            </w:pPr>
          </w:p>
        </w:tc>
      </w:tr>
      <w:tr>
        <w:trPr>
          <w:trHeight w:val="144"/>
        </w:trPr>
        <w:tc>
          <w:tcPr>
            <w:tcW w:w="3720" w:type="dxa"/>
            <w:vAlign w:val="bottom"/>
          </w:tcPr>
          <w:p>
            <w:pPr>
              <w:spacing w:after="0"/>
              <w:rPr>
                <w:sz w:val="20"/>
                <w:szCs w:val="20"/>
                <w:color w:val="auto"/>
              </w:rPr>
            </w:pPr>
            <w:r>
              <w:rPr>
                <w:rFonts w:ascii="Arial" w:cs="Arial" w:eastAsia="Arial" w:hAnsi="Arial"/>
                <w:sz w:val="12"/>
                <w:szCs w:val="12"/>
                <w:color w:val="auto"/>
              </w:rPr>
              <w:t>Work-in-process</w:t>
            </w:r>
          </w:p>
        </w:tc>
        <w:tc>
          <w:tcPr>
            <w:tcW w:w="6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color w:val="auto"/>
              </w:rPr>
              <w:t>28,348</w:t>
            </w:r>
          </w:p>
        </w:tc>
        <w:tc>
          <w:tcPr>
            <w:tcW w:w="200" w:type="dxa"/>
            <w:vAlign w:val="bottom"/>
          </w:tcPr>
          <w:p>
            <w:pPr>
              <w:spacing w:after="0"/>
              <w:rPr>
                <w:sz w:val="12"/>
                <w:szCs w:val="12"/>
                <w:color w:val="auto"/>
              </w:rPr>
            </w:pPr>
          </w:p>
        </w:tc>
        <w:tc>
          <w:tcPr>
            <w:tcW w:w="800" w:type="dxa"/>
            <w:vAlign w:val="bottom"/>
          </w:tcPr>
          <w:p>
            <w:pPr>
              <w:jc w:val="center"/>
              <w:ind w:right="40"/>
              <w:spacing w:after="0"/>
              <w:rPr>
                <w:sz w:val="20"/>
                <w:szCs w:val="20"/>
                <w:color w:val="auto"/>
              </w:rPr>
            </w:pPr>
            <w:r>
              <w:rPr>
                <w:rFonts w:ascii="Arial" w:cs="Arial" w:eastAsia="Arial" w:hAnsi="Arial"/>
                <w:sz w:val="12"/>
                <w:szCs w:val="12"/>
                <w:color w:val="auto"/>
              </w:rPr>
              <w:t>24,982</w:t>
            </w:r>
          </w:p>
        </w:tc>
        <w:tc>
          <w:tcPr>
            <w:tcW w:w="0" w:type="dxa"/>
            <w:vAlign w:val="bottom"/>
          </w:tcPr>
          <w:p>
            <w:pPr>
              <w:spacing w:after="0"/>
              <w:rPr>
                <w:sz w:val="1"/>
                <w:szCs w:val="1"/>
                <w:color w:val="auto"/>
              </w:rPr>
            </w:pPr>
          </w:p>
        </w:tc>
      </w:tr>
      <w:tr>
        <w:trPr>
          <w:trHeight w:val="144"/>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6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22,346</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center"/>
              <w:ind w:right="40"/>
              <w:spacing w:after="0"/>
              <w:rPr>
                <w:sz w:val="20"/>
                <w:szCs w:val="20"/>
                <w:color w:val="auto"/>
              </w:rPr>
            </w:pPr>
            <w:r>
              <w:rPr>
                <w:rFonts w:ascii="Arial" w:cs="Arial" w:eastAsia="Arial" w:hAnsi="Arial"/>
                <w:sz w:val="12"/>
                <w:szCs w:val="12"/>
                <w:color w:val="auto"/>
              </w:rPr>
              <w:t>33,505</w:t>
            </w:r>
          </w:p>
        </w:tc>
        <w:tc>
          <w:tcPr>
            <w:tcW w:w="0" w:type="dxa"/>
            <w:vAlign w:val="bottom"/>
          </w:tcPr>
          <w:p>
            <w:pPr>
              <w:spacing w:after="0"/>
              <w:rPr>
                <w:sz w:val="1"/>
                <w:szCs w:val="1"/>
                <w:color w:val="auto"/>
              </w:rPr>
            </w:pPr>
          </w:p>
        </w:tc>
      </w:tr>
      <w:tr>
        <w:trPr>
          <w:trHeight w:val="133"/>
        </w:trPr>
        <w:tc>
          <w:tcPr>
            <w:tcW w:w="3720" w:type="dxa"/>
            <w:vAlign w:val="bottom"/>
          </w:tcPr>
          <w:p>
            <w:pPr>
              <w:spacing w:after="0"/>
              <w:rPr>
                <w:sz w:val="11"/>
                <w:szCs w:val="11"/>
                <w:color w:val="auto"/>
              </w:rPr>
            </w:pPr>
          </w:p>
        </w:tc>
        <w:tc>
          <w:tcPr>
            <w:tcW w:w="6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center"/>
              <w:spacing w:after="0" w:line="133" w:lineRule="exact"/>
              <w:rPr>
                <w:sz w:val="20"/>
                <w:szCs w:val="20"/>
                <w:color w:val="auto"/>
              </w:rPr>
            </w:pPr>
            <w:r>
              <w:rPr>
                <w:rFonts w:ascii="Arial" w:cs="Arial" w:eastAsia="Arial" w:hAnsi="Arial"/>
                <w:sz w:val="12"/>
                <w:szCs w:val="12"/>
                <w:color w:val="auto"/>
              </w:rPr>
              <w:t>69,446</w:t>
            </w:r>
          </w:p>
        </w:tc>
        <w:tc>
          <w:tcPr>
            <w:tcW w:w="200" w:type="dxa"/>
            <w:vAlign w:val="bottom"/>
          </w:tcPr>
          <w:p>
            <w:pPr>
              <w:spacing w:after="0"/>
              <w:rPr>
                <w:sz w:val="11"/>
                <w:szCs w:val="11"/>
                <w:color w:val="auto"/>
              </w:rPr>
            </w:pPr>
          </w:p>
        </w:tc>
        <w:tc>
          <w:tcPr>
            <w:tcW w:w="800" w:type="dxa"/>
            <w:vAlign w:val="bottom"/>
          </w:tcPr>
          <w:p>
            <w:pPr>
              <w:jc w:val="center"/>
              <w:ind w:right="40"/>
              <w:spacing w:after="0" w:line="133" w:lineRule="exact"/>
              <w:rPr>
                <w:sz w:val="20"/>
                <w:szCs w:val="20"/>
                <w:color w:val="auto"/>
              </w:rPr>
            </w:pPr>
            <w:r>
              <w:rPr>
                <w:rFonts w:ascii="Arial" w:cs="Arial" w:eastAsia="Arial" w:hAnsi="Arial"/>
                <w:sz w:val="12"/>
                <w:szCs w:val="12"/>
                <w:color w:val="auto"/>
              </w:rPr>
              <w:t>77,196</w:t>
            </w:r>
          </w:p>
        </w:tc>
        <w:tc>
          <w:tcPr>
            <w:tcW w:w="0" w:type="dxa"/>
            <w:vAlign w:val="bottom"/>
          </w:tcPr>
          <w:p>
            <w:pPr>
              <w:spacing w:after="0"/>
              <w:rPr>
                <w:sz w:val="1"/>
                <w:szCs w:val="1"/>
                <w:color w:val="auto"/>
              </w:rPr>
            </w:pPr>
          </w:p>
        </w:tc>
      </w:tr>
      <w:tr>
        <w:trPr>
          <w:trHeight w:val="144"/>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LIFO reserve</w:t>
            </w:r>
          </w:p>
        </w:tc>
        <w:tc>
          <w:tcPr>
            <w:tcW w:w="60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(30,312)</w:t>
            </w:r>
          </w:p>
        </w:tc>
        <w:tc>
          <w:tcPr>
            <w:tcW w:w="2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center"/>
              <w:ind w:right="40"/>
              <w:spacing w:after="0"/>
              <w:rPr>
                <w:sz w:val="20"/>
                <w:szCs w:val="20"/>
                <w:color w:val="auto"/>
              </w:rPr>
            </w:pPr>
            <w:r>
              <w:rPr>
                <w:rFonts w:ascii="Arial" w:cs="Arial" w:eastAsia="Arial" w:hAnsi="Arial"/>
                <w:sz w:val="12"/>
                <w:szCs w:val="12"/>
                <w:color w:val="auto"/>
              </w:rPr>
              <w:t>(30,346)</w:t>
            </w:r>
          </w:p>
        </w:tc>
        <w:tc>
          <w:tcPr>
            <w:tcW w:w="0" w:type="dxa"/>
            <w:vAlign w:val="bottom"/>
          </w:tcPr>
          <w:p>
            <w:pPr>
              <w:spacing w:after="0"/>
              <w:rPr>
                <w:sz w:val="1"/>
                <w:szCs w:val="1"/>
                <w:color w:val="auto"/>
              </w:rPr>
            </w:pPr>
          </w:p>
        </w:tc>
      </w:tr>
      <w:tr>
        <w:trPr>
          <w:trHeight w:val="140"/>
        </w:trPr>
        <w:tc>
          <w:tcPr>
            <w:tcW w:w="3720" w:type="dxa"/>
            <w:vAlign w:val="bottom"/>
          </w:tcPr>
          <w:p>
            <w:pPr>
              <w:spacing w:after="0" w:line="133" w:lineRule="exact"/>
              <w:rPr>
                <w:sz w:val="20"/>
                <w:szCs w:val="20"/>
                <w:color w:val="auto"/>
              </w:rPr>
            </w:pPr>
            <w:r>
              <w:rPr>
                <w:rFonts w:ascii="Arial" w:cs="Arial" w:eastAsia="Arial" w:hAnsi="Arial"/>
                <w:sz w:val="12"/>
                <w:szCs w:val="12"/>
                <w:color w:val="auto"/>
              </w:rPr>
              <w:t>Total inventories</w:t>
            </w:r>
          </w:p>
        </w:tc>
        <w:tc>
          <w:tcPr>
            <w:tcW w:w="608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center"/>
              <w:spacing w:after="0" w:line="133" w:lineRule="exact"/>
              <w:rPr>
                <w:sz w:val="20"/>
                <w:szCs w:val="20"/>
                <w:color w:val="auto"/>
              </w:rPr>
            </w:pPr>
            <w:r>
              <w:rPr>
                <w:rFonts w:ascii="Arial" w:cs="Arial" w:eastAsia="Arial" w:hAnsi="Arial"/>
                <w:sz w:val="12"/>
                <w:szCs w:val="12"/>
                <w:color w:val="auto"/>
              </w:rPr>
              <w:t>39,134</w:t>
            </w:r>
          </w:p>
        </w:tc>
        <w:tc>
          <w:tcPr>
            <w:tcW w:w="2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center"/>
              <w:ind w:right="40"/>
              <w:spacing w:after="0" w:line="133" w:lineRule="exact"/>
              <w:rPr>
                <w:sz w:val="20"/>
                <w:szCs w:val="20"/>
                <w:color w:val="auto"/>
              </w:rPr>
            </w:pPr>
            <w:r>
              <w:rPr>
                <w:rFonts w:ascii="Arial" w:cs="Arial" w:eastAsia="Arial" w:hAnsi="Arial"/>
                <w:sz w:val="12"/>
                <w:szCs w:val="12"/>
                <w:color w:val="auto"/>
              </w:rPr>
              <w:t>46,850</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20"/>
        <w:spacing w:after="0" w:line="262" w:lineRule="auto"/>
        <w:rPr>
          <w:sz w:val="20"/>
          <w:szCs w:val="20"/>
          <w:color w:val="auto"/>
        </w:rPr>
      </w:pPr>
      <w:r>
        <w:rPr>
          <w:rFonts w:ascii="Arial" w:cs="Arial" w:eastAsia="Arial" w:hAnsi="Arial"/>
          <w:sz w:val="12"/>
          <w:szCs w:val="12"/>
          <w:color w:val="auto"/>
        </w:rPr>
        <w:t>Due to a liquidation of LIFO inventory values as a result of reduction in inventory levels, we recorded a reduction to LIFO reserves of approximately $34,000 and $4.1 million in the nine months ended May 29, 2010 and May 30, 2009, respectively.</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9700" w:type="dxa"/>
            <w:vAlign w:val="bottom"/>
          </w:tcPr>
          <w:p>
            <w:pPr>
              <w:spacing w:after="0"/>
              <w:rPr>
                <w:sz w:val="20"/>
                <w:szCs w:val="20"/>
                <w:color w:val="auto"/>
              </w:rPr>
            </w:pPr>
            <w:r>
              <w:rPr>
                <w:rFonts w:ascii="Arial" w:cs="Arial" w:eastAsia="Arial" w:hAnsi="Arial"/>
                <w:sz w:val="12"/>
                <w:szCs w:val="12"/>
                <w:b w:val="1"/>
                <w:bCs w:val="1"/>
                <w:color w:val="auto"/>
              </w:rPr>
              <w:t>NOTE 6: Property, Plant and Equipment</w:t>
            </w: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88"/>
        </w:trPr>
        <w:tc>
          <w:tcPr>
            <w:tcW w:w="9700" w:type="dxa"/>
            <w:vAlign w:val="bottom"/>
          </w:tcPr>
          <w:p>
            <w:pPr>
              <w:spacing w:after="0"/>
              <w:rPr>
                <w:sz w:val="20"/>
                <w:szCs w:val="20"/>
                <w:color w:val="auto"/>
              </w:rPr>
            </w:pPr>
            <w:r>
              <w:rPr>
                <w:rFonts w:ascii="Arial" w:cs="Arial" w:eastAsia="Arial" w:hAnsi="Arial"/>
                <w:sz w:val="12"/>
                <w:szCs w:val="12"/>
                <w:color w:val="auto"/>
              </w:rPr>
              <w:t>Property, plant and equipment is stated at cost, net of accumulated depreciation and consists of the follow ing:</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29"/>
        </w:trPr>
        <w:tc>
          <w:tcPr>
            <w:tcW w:w="9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ind w:right="80"/>
              <w:spacing w:after="0"/>
              <w:rPr>
                <w:sz w:val="20"/>
                <w:szCs w:val="20"/>
                <w:color w:val="auto"/>
              </w:rPr>
            </w:pPr>
            <w:r>
              <w:rPr>
                <w:rFonts w:ascii="Arial" w:cs="Arial" w:eastAsia="Arial" w:hAnsi="Arial"/>
                <w:sz w:val="12"/>
                <w:szCs w:val="12"/>
                <w:b w:val="1"/>
                <w:bCs w:val="1"/>
                <w:color w:val="auto"/>
              </w:rPr>
              <w:t>May 29,</w:t>
            </w:r>
          </w:p>
        </w:tc>
        <w:tc>
          <w:tcPr>
            <w:tcW w:w="200" w:type="dxa"/>
            <w:vAlign w:val="bottom"/>
          </w:tcPr>
          <w:p>
            <w:pPr>
              <w:spacing w:after="0"/>
              <w:rPr>
                <w:sz w:val="19"/>
                <w:szCs w:val="19"/>
                <w:color w:val="auto"/>
              </w:rPr>
            </w:pPr>
          </w:p>
        </w:tc>
        <w:tc>
          <w:tcPr>
            <w:tcW w:w="800" w:type="dxa"/>
            <w:vAlign w:val="bottom"/>
          </w:tcPr>
          <w:p>
            <w:pPr>
              <w:jc w:val="right"/>
              <w:ind w:right="100"/>
              <w:spacing w:after="0"/>
              <w:rPr>
                <w:sz w:val="20"/>
                <w:szCs w:val="20"/>
                <w:color w:val="auto"/>
              </w:rPr>
            </w:pPr>
            <w:r>
              <w:rPr>
                <w:rFonts w:ascii="Arial" w:cs="Arial" w:eastAsia="Arial" w:hAnsi="Arial"/>
                <w:sz w:val="12"/>
                <w:szCs w:val="12"/>
                <w:b w:val="1"/>
                <w:bCs w:val="1"/>
                <w:color w:val="auto"/>
              </w:rPr>
              <w:t>August 29,</w:t>
            </w:r>
          </w:p>
        </w:tc>
      </w:tr>
      <w:tr>
        <w:trPr>
          <w:trHeight w:val="150"/>
        </w:trPr>
        <w:tc>
          <w:tcPr>
            <w:tcW w:w="97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w:t>
            </w:r>
          </w:p>
        </w:tc>
      </w:tr>
      <w:tr>
        <w:trPr>
          <w:trHeight w:val="133"/>
        </w:trPr>
        <w:tc>
          <w:tcPr>
            <w:tcW w:w="97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Land</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772</w:t>
            </w:r>
          </w:p>
        </w:tc>
        <w:tc>
          <w:tcPr>
            <w:tcW w:w="2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772</w:t>
            </w:r>
          </w:p>
        </w:tc>
      </w:tr>
      <w:tr>
        <w:trPr>
          <w:trHeight w:val="144"/>
        </w:trPr>
        <w:tc>
          <w:tcPr>
            <w:tcW w:w="9700" w:type="dxa"/>
            <w:vAlign w:val="bottom"/>
          </w:tcPr>
          <w:p>
            <w:pPr>
              <w:spacing w:after="0"/>
              <w:rPr>
                <w:sz w:val="20"/>
                <w:szCs w:val="20"/>
                <w:color w:val="auto"/>
              </w:rPr>
            </w:pPr>
            <w:r>
              <w:rPr>
                <w:rFonts w:ascii="Arial" w:cs="Arial" w:eastAsia="Arial" w:hAnsi="Arial"/>
                <w:sz w:val="12"/>
                <w:szCs w:val="12"/>
                <w:color w:val="auto"/>
              </w:rPr>
              <w:t>Buildings</w:t>
            </w:r>
          </w:p>
        </w:tc>
        <w:tc>
          <w:tcPr>
            <w:tcW w:w="100" w:type="dxa"/>
            <w:vAlign w:val="bottom"/>
          </w:tcPr>
          <w:p>
            <w:pPr>
              <w:spacing w:after="0"/>
              <w:rPr>
                <w:sz w:val="12"/>
                <w:szCs w:val="12"/>
                <w:color w:val="auto"/>
              </w:rPr>
            </w:pP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49,341</w:t>
            </w:r>
          </w:p>
        </w:tc>
        <w:tc>
          <w:tcPr>
            <w:tcW w:w="200" w:type="dxa"/>
            <w:vAlign w:val="bottom"/>
          </w:tcPr>
          <w:p>
            <w:pPr>
              <w:spacing w:after="0"/>
              <w:rPr>
                <w:sz w:val="12"/>
                <w:szCs w:val="12"/>
                <w:color w:val="auto"/>
              </w:rPr>
            </w:pPr>
          </w:p>
        </w:tc>
        <w:tc>
          <w:tcPr>
            <w:tcW w:w="800" w:type="dxa"/>
            <w:vAlign w:val="bottom"/>
          </w:tcPr>
          <w:p>
            <w:pPr>
              <w:jc w:val="right"/>
              <w:ind w:right="200"/>
              <w:spacing w:after="0"/>
              <w:rPr>
                <w:sz w:val="20"/>
                <w:szCs w:val="20"/>
                <w:color w:val="auto"/>
              </w:rPr>
            </w:pPr>
            <w:r>
              <w:rPr>
                <w:rFonts w:ascii="Arial" w:cs="Arial" w:eastAsia="Arial" w:hAnsi="Arial"/>
                <w:sz w:val="12"/>
                <w:szCs w:val="12"/>
                <w:color w:val="auto"/>
              </w:rPr>
              <w:t>49,220</w:t>
            </w:r>
          </w:p>
        </w:tc>
      </w:tr>
      <w:tr>
        <w:trPr>
          <w:trHeight w:val="144"/>
        </w:trPr>
        <w:tc>
          <w:tcPr>
            <w:tcW w:w="9700" w:type="dxa"/>
            <w:vAlign w:val="bottom"/>
            <w:shd w:val="clear" w:color="auto" w:fill="CCEEFF"/>
          </w:tcPr>
          <w:p>
            <w:pPr>
              <w:spacing w:after="0"/>
              <w:rPr>
                <w:sz w:val="20"/>
                <w:szCs w:val="20"/>
                <w:color w:val="auto"/>
              </w:rPr>
            </w:pPr>
            <w:r>
              <w:rPr>
                <w:rFonts w:ascii="Arial" w:cs="Arial" w:eastAsia="Arial" w:hAnsi="Arial"/>
                <w:sz w:val="12"/>
                <w:szCs w:val="12"/>
                <w:color w:val="auto"/>
              </w:rPr>
              <w:t>Machinery and equipment</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91,002</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92,625</w:t>
            </w:r>
          </w:p>
        </w:tc>
      </w:tr>
      <w:tr>
        <w:trPr>
          <w:trHeight w:val="144"/>
        </w:trPr>
        <w:tc>
          <w:tcPr>
            <w:tcW w:w="9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Transportation equipment&lt; /font&gt;</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3,412</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3,457</w:t>
            </w:r>
          </w:p>
        </w:tc>
      </w:tr>
      <w:tr>
        <w:trPr>
          <w:trHeight w:val="133"/>
        </w:trPr>
        <w:tc>
          <w:tcPr>
            <w:tcW w:w="9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144,527</w:t>
            </w: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146,074</w:t>
            </w:r>
          </w:p>
        </w:tc>
      </w:tr>
      <w:tr>
        <w:trPr>
          <w:trHeight w:val="144"/>
        </w:trPr>
        <w:tc>
          <w:tcPr>
            <w:tcW w:w="97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Less accumulated depreciation</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(119,991)</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color w:val="auto"/>
              </w:rPr>
              <w:t>(118,034)</w:t>
            </w:r>
          </w:p>
        </w:tc>
      </w:tr>
      <w:tr>
        <w:trPr>
          <w:trHeight w:val="140"/>
        </w:trPr>
        <w:tc>
          <w:tcPr>
            <w:tcW w:w="97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property, plant and equipment, net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24,536</w:t>
            </w:r>
          </w:p>
        </w:tc>
        <w:tc>
          <w:tcPr>
            <w:tcW w:w="20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28,040</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7: Credit Facility</w:t>
      </w:r>
    </w:p>
    <w:p>
      <w:pPr>
        <w:spacing w:after="0" w:line="164" w:lineRule="exact"/>
        <w:rPr>
          <w:sz w:val="20"/>
          <w:szCs w:val="20"/>
          <w:color w:val="auto"/>
        </w:rPr>
      </w:pPr>
    </w:p>
    <w:p>
      <w:pPr>
        <w:spacing w:after="0" w:line="254" w:lineRule="auto"/>
        <w:rPr>
          <w:sz w:val="20"/>
          <w:szCs w:val="20"/>
          <w:color w:val="auto"/>
        </w:rPr>
      </w:pPr>
      <w:r>
        <w:rPr>
          <w:rFonts w:ascii="Arial" w:cs="Arial" w:eastAsia="Arial" w:hAnsi="Arial"/>
          <w:sz w:val="12"/>
          <w:szCs w:val="12"/>
          <w:color w:val="auto"/>
        </w:rPr>
        <w:t>On October 13, 2009, we entered into a Loan and Security Agreement (the "Loan Agreement") with Burdale Capital Finance, Inc., as Agent. The Loan Agreement provides for an initial $20.0 million revolving credit facility, based on eligible accounts receivable and eligible inventory, expiring on October 13, 2012, unless terminated earlier in accordance with its terms. The Loan Agreement contains no financial covenant restrictions for borrowings up to $12.5 million; provided that borrowings cannot exceed the Asset Coverage Amount (as defined in the Loan Agreement) divided by 2.25. The Loan Agreement also includes a framework to expand the size of the facility up to</w:t>
      </w:r>
    </w:p>
    <w:p>
      <w:pPr>
        <w:spacing w:after="0" w:line="136" w:lineRule="exact"/>
        <w:rPr>
          <w:sz w:val="20"/>
          <w:szCs w:val="20"/>
          <w:color w:val="auto"/>
        </w:rPr>
      </w:pPr>
    </w:p>
    <w:p>
      <w:pPr>
        <w:jc w:val="center"/>
        <w:ind w:right="600"/>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22"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$50.0 million, based on mutually agreeable covenants to be determined at the time of expansion.</w:t>
      </w:r>
    </w:p>
    <w:p>
      <w:pPr>
        <w:spacing w:after="0" w:line="150"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No borrowings have been made under the Loan Agreement as of the date of this report. We intend to use any loan proceeds from the Loan Agreement for working capital and for other general corporate purposes, if needed.</w:t>
      </w:r>
    </w:p>
    <w:p>
      <w:pPr>
        <w:spacing w:after="0" w:line="131"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Interest on loans made under the Loan Agreement will be based on the greater of LIBOR or a base rate of 2.0 percent plus a margin of 4.0 percent or the greater of prime rate or 4.25 percent plus a margin of 3.0 percent. The unused line fee associated with this Loan Agreement is 1.25 percent per annum. Additionally, under certain circumstances, we will be required to pay an early termination fee ranging from 1 - 3 percent of the maximum credit available under the Loan Agreement if we terminate the Loan Agreement prior to October 13, 2012.</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8: Warranty</w:t>
      </w:r>
    </w:p>
    <w:p>
      <w:pPr>
        <w:spacing w:after="0" w:line="164" w:lineRule="exact"/>
        <w:rPr>
          <w:sz w:val="20"/>
          <w:szCs w:val="20"/>
          <w:color w:val="auto"/>
        </w:rPr>
      </w:pPr>
    </w:p>
    <w:p>
      <w:pPr>
        <w:ind w:right="60"/>
        <w:spacing w:after="0" w:line="254" w:lineRule="auto"/>
        <w:rPr>
          <w:sz w:val="20"/>
          <w:szCs w:val="20"/>
          <w:color w:val="auto"/>
        </w:rPr>
      </w:pPr>
      <w:r>
        <w:rPr>
          <w:rFonts w:ascii="Arial" w:cs="Arial" w:eastAsia="Arial" w:hAnsi="Arial"/>
          <w:sz w:val="12"/>
          <w:szCs w:val="12"/>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 ties based on our estimate of the amounts necessary to settle future and existing claims on products sold as of the balance sheet date. We also incur costs as a result of additional service actions not covered by our warranties, including product recalls and customer satisfaction 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8080" w:type="dxa"/>
            <w:vAlign w:val="bottom"/>
          </w:tcPr>
          <w:p>
            <w:pPr>
              <w:spacing w:after="0"/>
              <w:rPr>
                <w:sz w:val="20"/>
                <w:szCs w:val="20"/>
                <w:color w:val="auto"/>
              </w:rPr>
            </w:pPr>
            <w:r>
              <w:rPr>
                <w:rFonts w:ascii="Arial" w:cs="Arial" w:eastAsia="Arial" w:hAnsi="Arial"/>
                <w:sz w:val="12"/>
                <w:szCs w:val="12"/>
                <w:color w:val="auto"/>
              </w:rPr>
              <w:t>Changes in our product warranty liability are as follows: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61"/>
        </w:trPr>
        <w:tc>
          <w:tcPr>
            <w:tcW w:w="808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2"/>
                <w:szCs w:val="12"/>
                <w:b w:val="1"/>
                <w:bCs w:val="1"/>
                <w:color w:val="auto"/>
              </w:rPr>
              <w:t>Quarter Ended</w:t>
            </w:r>
          </w:p>
        </w:tc>
        <w:tc>
          <w:tcPr>
            <w:tcW w:w="1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6"/>
          </w:tcPr>
          <w:p>
            <w:pPr>
              <w:jc w:val="right"/>
              <w:ind w:right="180"/>
              <w:spacing w:after="0"/>
              <w:rPr>
                <w:sz w:val="20"/>
                <w:szCs w:val="20"/>
                <w:color w:val="auto"/>
              </w:rPr>
            </w:pPr>
            <w:r>
              <w:rPr>
                <w:rFonts w:ascii="Arial" w:cs="Arial" w:eastAsia="Arial" w:hAnsi="Arial"/>
                <w:sz w:val="12"/>
                <w:szCs w:val="12"/>
                <w:b w:val="1"/>
                <w:bCs w:val="1"/>
                <w:color w:val="auto"/>
              </w:rPr>
              <w:t>Nine Months Ended</w:t>
            </w:r>
          </w:p>
        </w:tc>
      </w:tr>
      <w:tr>
        <w:trPr>
          <w:trHeight w:val="110"/>
        </w:trPr>
        <w:tc>
          <w:tcPr>
            <w:tcW w:w="8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540" w:type="dxa"/>
            <w:vAlign w:val="bottom"/>
            <w:gridSpan w:val="2"/>
          </w:tcPr>
          <w:p>
            <w:pPr>
              <w:ind w:left="60"/>
              <w:spacing w:after="0" w:line="110" w:lineRule="exact"/>
              <w:rPr>
                <w:sz w:val="20"/>
                <w:szCs w:val="20"/>
                <w:color w:val="auto"/>
              </w:rPr>
            </w:pPr>
            <w:r>
              <w:rPr>
                <w:rFonts w:ascii="Arial" w:cs="Arial" w:eastAsia="Arial" w:hAnsi="Arial"/>
                <w:sz w:val="12"/>
                <w:szCs w:val="12"/>
                <w:b w:val="1"/>
                <w:bCs w:val="1"/>
                <w:color w:val="auto"/>
              </w:rPr>
              <w:t>May 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May 30,</w:t>
            </w:r>
          </w:p>
        </w:tc>
        <w:tc>
          <w:tcPr>
            <w:tcW w:w="1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gridSpan w:val="3"/>
          </w:tcPr>
          <w:p>
            <w:pPr>
              <w:jc w:val="right"/>
              <w:ind w:right="40"/>
              <w:spacing w:after="0" w:line="110" w:lineRule="exact"/>
              <w:rPr>
                <w:sz w:val="20"/>
                <w:szCs w:val="20"/>
                <w:color w:val="auto"/>
              </w:rPr>
            </w:pPr>
            <w:r>
              <w:rPr>
                <w:rFonts w:ascii="Arial" w:cs="Arial" w:eastAsia="Arial" w:hAnsi="Arial"/>
                <w:sz w:val="12"/>
                <w:szCs w:val="12"/>
                <w:b w:val="1"/>
                <w:bCs w:val="1"/>
                <w:color w:val="auto"/>
              </w:rPr>
              <w:t>May 29,</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140"/>
              <w:spacing w:after="0" w:line="110" w:lineRule="exact"/>
              <w:rPr>
                <w:sz w:val="20"/>
                <w:szCs w:val="20"/>
                <w:color w:val="auto"/>
              </w:rPr>
            </w:pPr>
            <w:r>
              <w:rPr>
                <w:rFonts w:ascii="Arial" w:cs="Arial" w:eastAsia="Arial" w:hAnsi="Arial"/>
                <w:sz w:val="12"/>
                <w:szCs w:val="12"/>
                <w:b w:val="1"/>
                <w:bCs w:val="1"/>
                <w:color w:val="auto"/>
              </w:rPr>
              <w:t>May 30,</w:t>
            </w:r>
          </w:p>
        </w:tc>
      </w:tr>
      <w:tr>
        <w:trPr>
          <w:trHeight w:val="150"/>
        </w:trPr>
        <w:tc>
          <w:tcPr>
            <w:tcW w:w="8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2010</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2009</w:t>
            </w: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20"/>
              <w:spacing w:after="0"/>
              <w:rPr>
                <w:sz w:val="20"/>
                <w:szCs w:val="20"/>
                <w:color w:val="auto"/>
              </w:rPr>
            </w:pPr>
            <w:r>
              <w:rPr>
                <w:rFonts w:ascii="Arial" w:cs="Arial" w:eastAsia="Arial" w:hAnsi="Arial"/>
                <w:sz w:val="12"/>
                <w:szCs w:val="12"/>
                <w:b w:val="1"/>
                <w:bCs w:val="1"/>
                <w:color w:val="auto"/>
              </w:rPr>
              <w:t>2009</w:t>
            </w:r>
          </w:p>
        </w:tc>
      </w:tr>
      <w:tr>
        <w:trPr>
          <w:trHeight w:val="133"/>
        </w:trPr>
        <w:tc>
          <w:tcPr>
            <w:tcW w:w="8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beginning of period</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6,567</w:t>
            </w:r>
          </w:p>
        </w:tc>
        <w:tc>
          <w:tcPr>
            <w:tcW w:w="160" w:type="dxa"/>
            <w:vAlign w:val="bottom"/>
          </w:tcPr>
          <w:p>
            <w:pPr>
              <w:spacing w:after="0"/>
              <w:rPr>
                <w:sz w:val="11"/>
                <w:szCs w:val="11"/>
                <w:color w:val="auto"/>
              </w:rPr>
            </w:pPr>
          </w:p>
        </w:tc>
        <w:tc>
          <w:tcPr>
            <w:tcW w:w="1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shd w:val="clear" w:color="auto" w:fill="CCEEFF"/>
              </w:rPr>
              <w:t>$</w:t>
            </w:r>
          </w:p>
        </w:tc>
        <w:tc>
          <w:tcPr>
            <w:tcW w:w="5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shd w:val="clear" w:color="auto" w:fill="CCEEFF"/>
              </w:rPr>
              <w:t>7,552</w:t>
            </w:r>
          </w:p>
        </w:tc>
        <w:tc>
          <w:tcPr>
            <w:tcW w:w="180" w:type="dxa"/>
            <w:vAlign w:val="bottom"/>
          </w:tcPr>
          <w:p>
            <w:pPr>
              <w:spacing w:after="0"/>
              <w:rPr>
                <w:sz w:val="11"/>
                <w:szCs w:val="11"/>
                <w:color w:val="auto"/>
              </w:rPr>
            </w:pPr>
          </w:p>
        </w:tc>
        <w:tc>
          <w:tcPr>
            <w:tcW w:w="2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3"/>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6,408</w:t>
            </w:r>
          </w:p>
        </w:tc>
        <w:tc>
          <w:tcPr>
            <w:tcW w:w="160" w:type="dxa"/>
            <w:vAlign w:val="bottom"/>
          </w:tcPr>
          <w:p>
            <w:pPr>
              <w:spacing w:after="0"/>
              <w:rPr>
                <w:sz w:val="11"/>
                <w:szCs w:val="11"/>
                <w:color w:val="auto"/>
              </w:rPr>
            </w:pPr>
          </w:p>
        </w:tc>
        <w:tc>
          <w:tcPr>
            <w:tcW w:w="120" w:type="dxa"/>
            <w:vAlign w:val="bottom"/>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9,859</w:t>
            </w:r>
          </w:p>
        </w:tc>
      </w:tr>
      <w:tr>
        <w:trPr>
          <w:trHeight w:val="144"/>
        </w:trPr>
        <w:tc>
          <w:tcPr>
            <w:tcW w:w="8080" w:type="dxa"/>
            <w:vAlign w:val="bottom"/>
          </w:tcPr>
          <w:p>
            <w:pPr>
              <w:spacing w:after="0"/>
              <w:rPr>
                <w:sz w:val="20"/>
                <w:szCs w:val="20"/>
                <w:color w:val="auto"/>
              </w:rPr>
            </w:pPr>
            <w:r>
              <w:rPr>
                <w:rFonts w:ascii="Arial" w:cs="Arial" w:eastAsia="Arial" w:hAnsi="Arial"/>
                <w:sz w:val="12"/>
                <w:szCs w:val="12"/>
                <w:color w:val="auto"/>
              </w:rPr>
              <w:t>Provision</w:t>
            </w:r>
          </w:p>
        </w:tc>
        <w:tc>
          <w:tcPr>
            <w:tcW w:w="120" w:type="dxa"/>
            <w:vAlign w:val="bottom"/>
          </w:tcPr>
          <w:p>
            <w:pPr>
              <w:spacing w:after="0"/>
              <w:rPr>
                <w:sz w:val="12"/>
                <w:szCs w:val="12"/>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2"/>
                <w:szCs w:val="12"/>
                <w:color w:val="auto"/>
              </w:rPr>
              <w:t>1,677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1,056</w:t>
            </w: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2"/>
                <w:szCs w:val="12"/>
                <w:color w:val="auto"/>
              </w:rPr>
              <w:t>4,158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60"/>
              <w:spacing w:after="0"/>
              <w:rPr>
                <w:sz w:val="20"/>
                <w:szCs w:val="20"/>
                <w:color w:val="auto"/>
              </w:rPr>
            </w:pPr>
            <w:r>
              <w:rPr>
                <w:rFonts w:ascii="Arial" w:cs="Arial" w:eastAsia="Arial" w:hAnsi="Arial"/>
                <w:sz w:val="12"/>
                <w:szCs w:val="12"/>
                <w:color w:val="auto"/>
              </w:rPr>
              <w:t>2,637</w:t>
            </w:r>
          </w:p>
        </w:tc>
      </w:tr>
      <w:tr>
        <w:trPr>
          <w:trHeight w:val="144"/>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Claims paid</w:t>
            </w:r>
          </w:p>
        </w:tc>
        <w:tc>
          <w:tcPr>
            <w:tcW w:w="1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(1,298)</w:t>
            </w:r>
          </w:p>
        </w:tc>
        <w:tc>
          <w:tcPr>
            <w:tcW w:w="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w:t>
            </w:r>
          </w:p>
        </w:tc>
        <w:tc>
          <w:tcPr>
            <w:tcW w:w="18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(3,620)</w:t>
            </w:r>
          </w:p>
        </w:tc>
        <w:tc>
          <w:tcPr>
            <w:tcW w:w="1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2"/>
                <w:szCs w:val="12"/>
                <w:color w:val="auto"/>
              </w:rPr>
              <w:t>(5,660)</w:t>
            </w:r>
          </w:p>
        </w:tc>
      </w:tr>
      <w:tr>
        <w:trPr>
          <w:trHeight w:val="140"/>
        </w:trPr>
        <w:tc>
          <w:tcPr>
            <w:tcW w:w="8080" w:type="dxa"/>
            <w:vAlign w:val="bottom"/>
          </w:tcPr>
          <w:p>
            <w:pPr>
              <w:spacing w:after="0" w:line="133" w:lineRule="exact"/>
              <w:rPr>
                <w:sz w:val="20"/>
                <w:szCs w:val="20"/>
                <w:color w:val="auto"/>
              </w:rPr>
            </w:pPr>
            <w:r>
              <w:rPr>
                <w:rFonts w:ascii="Arial" w:cs="Arial" w:eastAsia="Arial" w:hAnsi="Arial"/>
                <w:sz w:val="12"/>
                <w:szCs w:val="12"/>
                <w:color w:val="auto"/>
              </w:rPr>
              <w:t>Balance at end of period</w:t>
            </w: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6,946</w:t>
            </w:r>
          </w:p>
        </w:tc>
        <w:tc>
          <w:tcPr>
            <w:tcW w:w="28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5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6,836</w:t>
            </w:r>
          </w:p>
        </w:tc>
        <w:tc>
          <w:tcPr>
            <w:tcW w:w="4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gridSpan w:val="3"/>
          </w:tcPr>
          <w:p>
            <w:pPr>
              <w:jc w:val="right"/>
              <w:ind w:right="60"/>
              <w:spacing w:after="0" w:line="133" w:lineRule="exact"/>
              <w:rPr>
                <w:sz w:val="20"/>
                <w:szCs w:val="20"/>
                <w:color w:val="auto"/>
              </w:rPr>
            </w:pPr>
            <w:r>
              <w:rPr>
                <w:rFonts w:ascii="Arial" w:cs="Arial" w:eastAsia="Arial" w:hAnsi="Arial"/>
                <w:sz w:val="12"/>
                <w:szCs w:val="12"/>
                <w:color w:val="auto"/>
              </w:rPr>
              <w:t>6,946</w:t>
            </w:r>
          </w:p>
        </w:tc>
        <w:tc>
          <w:tcPr>
            <w:tcW w:w="280" w:type="dxa"/>
            <w:vAlign w:val="bottom"/>
            <w:tcBorders>
              <w:bottom w:val="single" w:sz="8" w:color="auto"/>
            </w:tcBorders>
            <w:gridSpan w:val="2"/>
          </w:tcPr>
          <w:p>
            <w:pPr>
              <w:jc w:val="right"/>
              <w:ind w:right="5"/>
              <w:spacing w:after="0" w:line="133"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6,836</w:t>
            </w:r>
          </w:p>
        </w:tc>
      </w:tr>
      <w:tr>
        <w:trPr>
          <w:trHeight w:val="288"/>
        </w:trPr>
        <w:tc>
          <w:tcPr>
            <w:tcW w:w="8080" w:type="dxa"/>
            <w:vAlign w:val="bottom"/>
          </w:tcPr>
          <w:p>
            <w:pPr>
              <w:spacing w:after="0"/>
              <w:rPr>
                <w:sz w:val="20"/>
                <w:szCs w:val="20"/>
                <w:color w:val="auto"/>
              </w:rPr>
            </w:pPr>
            <w:r>
              <w:rPr>
                <w:rFonts w:ascii="Arial" w:cs="Arial" w:eastAsia="Arial" w:hAnsi="Arial"/>
                <w:sz w:val="12"/>
                <w:szCs w:val="12"/>
                <w:b w:val="1"/>
                <w:bCs w:val="1"/>
                <w:color w:val="auto"/>
              </w:rPr>
              <w:t>NOTE 9: Employee and Retiree Benefits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88"/>
        </w:trPr>
        <w:tc>
          <w:tcPr>
            <w:tcW w:w="8080" w:type="dxa"/>
            <w:vAlign w:val="bottom"/>
          </w:tcPr>
          <w:p>
            <w:pPr>
              <w:spacing w:after="0"/>
              <w:rPr>
                <w:sz w:val="20"/>
                <w:szCs w:val="20"/>
                <w:color w:val="auto"/>
              </w:rPr>
            </w:pPr>
            <w:r>
              <w:rPr>
                <w:rFonts w:ascii="Arial" w:cs="Arial" w:eastAsia="Arial" w:hAnsi="Arial"/>
                <w:sz w:val="12"/>
                <w:szCs w:val="12"/>
                <w:color w:val="auto"/>
              </w:rPr>
              <w:t>Postretirement health care and deferred compensation benefits are as follows:</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29"/>
        </w:trPr>
        <w:tc>
          <w:tcPr>
            <w:tcW w:w="8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2"/>
                <w:szCs w:val="12"/>
                <w:b w:val="1"/>
                <w:bCs w:val="1"/>
                <w:color w:val="auto"/>
              </w:rPr>
              <w:t>May 29,</w:t>
            </w:r>
          </w:p>
        </w:tc>
        <w:tc>
          <w:tcPr>
            <w:tcW w:w="16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August 29,</w:t>
            </w:r>
          </w:p>
        </w:tc>
      </w:tr>
      <w:tr>
        <w:trPr>
          <w:trHeight w:val="150"/>
        </w:trPr>
        <w:tc>
          <w:tcPr>
            <w:tcW w:w="80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1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w:t>
            </w:r>
          </w:p>
        </w:tc>
      </w:tr>
      <w:tr>
        <w:trPr>
          <w:trHeight w:val="151"/>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Postretirement health care benefit cost</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7"/>
              </w:rPr>
              <w:t>36,465</w:t>
            </w:r>
          </w:p>
        </w:tc>
        <w:tc>
          <w:tcPr>
            <w:tcW w:w="40" w:type="dxa"/>
            <w:vAlign w:val="bottom"/>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35,312</w:t>
            </w:r>
          </w:p>
        </w:tc>
      </w:tr>
      <w:tr>
        <w:trPr>
          <w:trHeight w:val="144"/>
        </w:trPr>
        <w:tc>
          <w:tcPr>
            <w:tcW w:w="8080" w:type="dxa"/>
            <w:vAlign w:val="bottom"/>
          </w:tcPr>
          <w:p>
            <w:pPr>
              <w:spacing w:after="0"/>
              <w:rPr>
                <w:sz w:val="20"/>
                <w:szCs w:val="20"/>
                <w:color w:val="auto"/>
              </w:rPr>
            </w:pPr>
            <w:r>
              <w:rPr>
                <w:rFonts w:ascii="Arial" w:cs="Arial" w:eastAsia="Arial" w:hAnsi="Arial"/>
                <w:sz w:val="12"/>
                <w:szCs w:val="12"/>
                <w:color w:val="auto"/>
              </w:rPr>
              <w:t>Non-qualified deferred compensation</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2"/>
                <w:szCs w:val="12"/>
                <w:color w:val="auto"/>
                <w:w w:val="97"/>
              </w:rPr>
              <w:t>25,543</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200"/>
              <w:spacing w:after="0"/>
              <w:rPr>
                <w:sz w:val="20"/>
                <w:szCs w:val="20"/>
                <w:color w:val="auto"/>
              </w:rPr>
            </w:pPr>
            <w:r>
              <w:rPr>
                <w:rFonts w:ascii="Arial" w:cs="Arial" w:eastAsia="Arial" w:hAnsi="Arial"/>
                <w:sz w:val="12"/>
                <w:szCs w:val="12"/>
                <w:color w:val="auto"/>
              </w:rPr>
              <w:t>26,092</w:t>
            </w:r>
          </w:p>
        </w:tc>
      </w:tr>
      <w:tr>
        <w:trPr>
          <w:trHeight w:val="144"/>
        </w:trPr>
        <w:tc>
          <w:tcPr>
            <w:tcW w:w="8080" w:type="dxa"/>
            <w:vAlign w:val="bottom"/>
            <w:shd w:val="clear" w:color="auto" w:fill="CCEEFF"/>
          </w:tcPr>
          <w:p>
            <w:pPr>
              <w:spacing w:after="0"/>
              <w:rPr>
                <w:sz w:val="20"/>
                <w:szCs w:val="20"/>
                <w:color w:val="auto"/>
              </w:rPr>
            </w:pPr>
            <w:r>
              <w:rPr>
                <w:rFonts w:ascii="Arial" w:cs="Arial" w:eastAsia="Arial" w:hAnsi="Arial"/>
                <w:sz w:val="12"/>
                <w:szCs w:val="12"/>
                <w:color w:val="auto"/>
              </w:rPr>
              <w:t>Executive share option plan liability</w:t>
            </w: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8,860</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8,444</w:t>
            </w:r>
          </w:p>
        </w:tc>
      </w:tr>
      <w:tr>
        <w:trPr>
          <w:trHeight w:val="165"/>
        </w:trPr>
        <w:tc>
          <w:tcPr>
            <w:tcW w:w="80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SERP benefit liability</w:t>
            </w:r>
          </w:p>
        </w:tc>
        <w:tc>
          <w:tcPr>
            <w:tcW w:w="1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2"/>
                <w:szCs w:val="12"/>
                <w:color w:val="auto"/>
              </w:rPr>
              <w:t>3,137</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jc w:val="right"/>
              <w:ind w:right="200"/>
              <w:spacing w:after="0"/>
              <w:rPr>
                <w:sz w:val="20"/>
                <w:szCs w:val="20"/>
                <w:color w:val="auto"/>
              </w:rPr>
            </w:pPr>
            <w:r>
              <w:rPr>
                <w:rFonts w:ascii="Arial" w:cs="Arial" w:eastAsia="Arial" w:hAnsi="Arial"/>
                <w:sz w:val="12"/>
                <w:szCs w:val="12"/>
                <w:color w:val="auto"/>
              </w:rPr>
              <w:t>3,259</w:t>
            </w:r>
          </w:p>
        </w:tc>
      </w:tr>
    </w:tbl>
    <w:p>
      <w:pPr>
        <w:sectPr>
          <w:pgSz w:w="11900" w:h="16900" w:orient="portrait"/>
          <w:cols w:equalWidth="0" w:num="1">
            <w:col w:w="11480"/>
          </w:cols>
          <w:pgMar w:left="220" w:top="140" w:right="19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Executive deferred compensation</w:t>
            </w:r>
          </w:p>
        </w:tc>
        <w:tc>
          <w:tcPr>
            <w:tcW w:w="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4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59</w:t>
            </w:r>
          </w:p>
        </w:tc>
        <w:tc>
          <w:tcPr>
            <w:tcW w:w="260" w:type="dxa"/>
            <w:vAlign w:val="bottom"/>
            <w:tcBorders>
              <w:bottom w:val="single" w:sz="8" w:color="auto"/>
            </w:tcBorders>
            <w:shd w:val="clear" w:color="auto" w:fill="CCEEFF"/>
          </w:tcPr>
          <w:p>
            <w:pPr>
              <w:spacing w:after="0"/>
              <w:rPr>
                <w:sz w:val="14"/>
                <w:szCs w:val="14"/>
                <w:color w:val="auto"/>
              </w:rPr>
            </w:pPr>
          </w:p>
        </w:tc>
      </w:tr>
      <w:tr>
        <w:trPr>
          <w:trHeight w:val="113"/>
        </w:trPr>
        <w:tc>
          <w:tcPr>
            <w:tcW w:w="9720" w:type="dxa"/>
            <w:vAlign w:val="bottom"/>
          </w:tcPr>
          <w:p>
            <w:pPr>
              <w:spacing w:after="0" w:line="113" w:lineRule="exact"/>
              <w:rPr>
                <w:sz w:val="20"/>
                <w:szCs w:val="20"/>
                <w:color w:val="auto"/>
              </w:rPr>
            </w:pPr>
            <w:r>
              <w:rPr>
                <w:rFonts w:ascii="Arial" w:cs="Arial" w:eastAsia="Arial" w:hAnsi="Arial"/>
                <w:sz w:val="12"/>
                <w:szCs w:val="12"/>
                <w:color w:val="auto"/>
              </w:rPr>
              <w:t>Total postretirement health care and deferred compensation benefits</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74,079</w:t>
            </w: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73,166</w:t>
            </w:r>
          </w:p>
        </w:tc>
        <w:tc>
          <w:tcPr>
            <w:tcW w:w="260" w:type="dxa"/>
            <w:vAlign w:val="bottom"/>
          </w:tcPr>
          <w:p>
            <w:pPr>
              <w:spacing w:after="0"/>
              <w:rPr>
                <w:sz w:val="9"/>
                <w:szCs w:val="9"/>
                <w:color w:val="auto"/>
              </w:rPr>
            </w:pPr>
          </w:p>
        </w:tc>
      </w:tr>
      <w:tr>
        <w:trPr>
          <w:trHeight w:val="144"/>
        </w:trPr>
        <w:tc>
          <w:tcPr>
            <w:tcW w:w="9720" w:type="dxa"/>
            <w:vAlign w:val="bottom"/>
            <w:shd w:val="clear" w:color="auto" w:fill="CCEEFF"/>
          </w:tcPr>
          <w:p>
            <w:pPr>
              <w:spacing w:after="0"/>
              <w:rPr>
                <w:sz w:val="20"/>
                <w:szCs w:val="20"/>
                <w:color w:val="auto"/>
              </w:rPr>
            </w:pPr>
            <w:r>
              <w:rPr>
                <w:rFonts w:ascii="Arial" w:cs="Arial" w:eastAsia="Arial" w:hAnsi="Arial"/>
                <w:sz w:val="12"/>
                <w:szCs w:val="12"/>
                <w:color w:val="auto"/>
              </w:rPr>
              <w:t>Less current portion</w:t>
            </w:r>
          </w:p>
        </w:tc>
        <w:tc>
          <w:tcPr>
            <w:tcW w:w="16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(4,008)</w:t>
            </w:r>
          </w:p>
        </w:tc>
        <w:tc>
          <w:tcPr>
            <w:tcW w:w="1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(3,997)</w:t>
            </w:r>
          </w:p>
        </w:tc>
      </w:tr>
      <w:tr>
        <w:trPr>
          <w:trHeight w:val="140"/>
        </w:trPr>
        <w:tc>
          <w:tcPr>
            <w:tcW w:w="9720" w:type="dxa"/>
            <w:vAlign w:val="bottom"/>
          </w:tcPr>
          <w:p>
            <w:pPr>
              <w:spacing w:after="0" w:line="133" w:lineRule="exact"/>
              <w:rPr>
                <w:sz w:val="20"/>
                <w:szCs w:val="20"/>
                <w:color w:val="auto"/>
              </w:rPr>
            </w:pPr>
            <w:r>
              <w:rPr>
                <w:rFonts w:ascii="Arial" w:cs="Arial" w:eastAsia="Arial" w:hAnsi="Arial"/>
                <w:sz w:val="12"/>
                <w:szCs w:val="12"/>
                <w:color w:val="auto"/>
              </w:rPr>
              <w:t>Long-term postretirement health care and deferred compensation benefits</w:t>
            </w:r>
          </w:p>
        </w:tc>
        <w:tc>
          <w:tcPr>
            <w:tcW w:w="160" w:type="dxa"/>
            <w:vAlign w:val="bottom"/>
            <w:tcBorders>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gridSpan w:val="2"/>
          </w:tcPr>
          <w:p>
            <w:pPr>
              <w:jc w:val="right"/>
              <w:ind w:right="140"/>
              <w:spacing w:after="0" w:line="133" w:lineRule="exact"/>
              <w:rPr>
                <w:sz w:val="20"/>
                <w:szCs w:val="20"/>
                <w:color w:val="auto"/>
              </w:rPr>
            </w:pPr>
            <w:r>
              <w:rPr>
                <w:rFonts w:ascii="Arial" w:cs="Arial" w:eastAsia="Arial" w:hAnsi="Arial"/>
                <w:sz w:val="12"/>
                <w:szCs w:val="12"/>
                <w:color w:val="auto"/>
              </w:rPr>
              <w:t>70,071</w:t>
            </w:r>
          </w:p>
        </w:tc>
        <w:tc>
          <w:tcPr>
            <w:tcW w:w="280" w:type="dxa"/>
            <w:vAlign w:val="bottom"/>
            <w:tcBorders>
              <w:bottom w:val="single" w:sz="8" w:color="auto"/>
            </w:tcBorders>
            <w:gridSpan w:val="2"/>
          </w:tcPr>
          <w:p>
            <w:pPr>
              <w:jc w:val="right"/>
              <w:ind w:right="100"/>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gridSpan w:val="2"/>
          </w:tcPr>
          <w:p>
            <w:pPr>
              <w:jc w:val="right"/>
              <w:ind w:right="260"/>
              <w:spacing w:after="0" w:line="133" w:lineRule="exact"/>
              <w:rPr>
                <w:sz w:val="20"/>
                <w:szCs w:val="20"/>
                <w:color w:val="auto"/>
              </w:rPr>
            </w:pPr>
            <w:r>
              <w:rPr>
                <w:rFonts w:ascii="Arial" w:cs="Arial" w:eastAsia="Arial" w:hAnsi="Arial"/>
                <w:sz w:val="12"/>
                <w:szCs w:val="12"/>
                <w:color w:val="auto"/>
              </w:rPr>
              <w:t>69,169</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Postretirement Health Care Benefits</w:t>
      </w:r>
    </w:p>
    <w:p>
      <w:pPr>
        <w:spacing w:after="0" w:line="18"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 ly is not funded. We use a September 1 measurement date for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73177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Net periodic postretirement health care benefit income consisted of the following components:</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&lt; td style="vertical-align:bottom;background-color:#cceeff;border-bottom:3px double #000000;padding:0px;"&gt;</w:t>
      </w:r>
    </w:p>
    <w:p>
      <w:pPr>
        <w:jc w:val="right"/>
        <w:spacing w:after="0"/>
        <w:rPr>
          <w:sz w:val="20"/>
          <w:szCs w:val="20"/>
          <w:color w:val="auto"/>
        </w:rPr>
      </w:pPr>
      <w:r>
        <w:rPr>
          <w:rFonts w:ascii="Arial" w:cs="Arial" w:eastAsia="Arial" w:hAnsi="Arial"/>
          <w:sz w:val="12"/>
          <w:szCs w:val="12"/>
          <w:color w:val="auto"/>
        </w:rPr>
        <w:t>201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68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3"/>
          </w:tcPr>
          <w:p>
            <w:pPr>
              <w:jc w:val="right"/>
              <w:ind w:right="400"/>
              <w:spacing w:after="0"/>
              <w:rPr>
                <w:sz w:val="20"/>
                <w:szCs w:val="20"/>
                <w:color w:val="auto"/>
              </w:rPr>
            </w:pPr>
            <w:r>
              <w:rPr>
                <w:rFonts w:ascii="Arial" w:cs="Arial" w:eastAsia="Arial" w:hAnsi="Arial"/>
                <w:sz w:val="12"/>
                <w:szCs w:val="12"/>
                <w:b w:val="1"/>
                <w:bCs w:val="1"/>
                <w:color w:val="auto"/>
              </w:rPr>
              <w:t>Quarter Ended</w:t>
            </w:r>
          </w:p>
        </w:tc>
        <w:tc>
          <w:tcPr>
            <w:tcW w:w="400" w:type="dxa"/>
            <w:vAlign w:val="bottom"/>
          </w:tcPr>
          <w:p>
            <w:pPr>
              <w:spacing w:after="0"/>
              <w:rPr>
                <w:sz w:val="13"/>
                <w:szCs w:val="13"/>
                <w:color w:val="auto"/>
              </w:rPr>
            </w:pPr>
          </w:p>
        </w:tc>
        <w:tc>
          <w:tcPr>
            <w:tcW w:w="2440" w:type="dxa"/>
            <w:vAlign w:val="bottom"/>
            <w:gridSpan w:val="4"/>
          </w:tcPr>
          <w:p>
            <w:pPr>
              <w:ind w:left="460"/>
              <w:spacing w:after="0"/>
              <w:rPr>
                <w:sz w:val="20"/>
                <w:szCs w:val="20"/>
                <w:color w:val="auto"/>
              </w:rPr>
            </w:pPr>
            <w:r>
              <w:rPr>
                <w:rFonts w:ascii="Arial" w:cs="Arial" w:eastAsia="Arial" w:hAnsi="Arial"/>
                <w:sz w:val="12"/>
                <w:szCs w:val="12"/>
                <w:b w:val="1"/>
                <w:bCs w:val="1"/>
                <w:color w:val="auto"/>
              </w:rPr>
              <w:t>Nine Months Ended</w:t>
            </w:r>
          </w:p>
        </w:tc>
      </w:tr>
      <w:tr>
        <w:trPr>
          <w:trHeight w:val="110"/>
        </w:trPr>
        <w:tc>
          <w:tcPr>
            <w:tcW w:w="6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jc w:val="right"/>
              <w:ind w:right="60"/>
              <w:spacing w:after="0" w:line="110" w:lineRule="exact"/>
              <w:rPr>
                <w:sz w:val="20"/>
                <w:szCs w:val="20"/>
                <w:color w:val="auto"/>
              </w:rPr>
            </w:pPr>
            <w:r>
              <w:rPr>
                <w:rFonts w:ascii="Arial" w:cs="Arial" w:eastAsia="Arial" w:hAnsi="Arial"/>
                <w:sz w:val="12"/>
                <w:szCs w:val="12"/>
                <w:b w:val="1"/>
                <w:bCs w:val="1"/>
                <w:color w:val="auto"/>
              </w:rPr>
              <w:t>May 29,</w:t>
            </w:r>
          </w:p>
        </w:tc>
        <w:tc>
          <w:tcPr>
            <w:tcW w:w="260" w:type="dxa"/>
            <w:vAlign w:val="bottom"/>
          </w:tcPr>
          <w:p>
            <w:pPr>
              <w:spacing w:after="0"/>
              <w:rPr>
                <w:sz w:val="9"/>
                <w:szCs w:val="9"/>
                <w:color w:val="auto"/>
              </w:rPr>
            </w:pPr>
          </w:p>
        </w:tc>
        <w:tc>
          <w:tcPr>
            <w:tcW w:w="740" w:type="dxa"/>
            <w:vAlign w:val="bottom"/>
          </w:tcPr>
          <w:p>
            <w:pPr>
              <w:jc w:val="right"/>
              <w:ind w:right="180"/>
              <w:spacing w:after="0" w:line="110" w:lineRule="exact"/>
              <w:rPr>
                <w:sz w:val="20"/>
                <w:szCs w:val="20"/>
                <w:color w:val="auto"/>
              </w:rPr>
            </w:pPr>
            <w:r>
              <w:rPr>
                <w:rFonts w:ascii="Arial" w:cs="Arial" w:eastAsia="Arial" w:hAnsi="Arial"/>
                <w:sz w:val="12"/>
                <w:szCs w:val="12"/>
                <w:b w:val="1"/>
                <w:bCs w:val="1"/>
                <w:color w:val="auto"/>
              </w:rPr>
              <w:t>May 30,</w:t>
            </w:r>
          </w:p>
        </w:tc>
        <w:tc>
          <w:tcPr>
            <w:tcW w:w="400" w:type="dxa"/>
            <w:vAlign w:val="bottom"/>
          </w:tcPr>
          <w:p>
            <w:pPr>
              <w:spacing w:after="0"/>
              <w:rPr>
                <w:sz w:val="9"/>
                <w:szCs w:val="9"/>
                <w:color w:val="auto"/>
              </w:rPr>
            </w:pPr>
          </w:p>
        </w:tc>
        <w:tc>
          <w:tcPr>
            <w:tcW w:w="800" w:type="dxa"/>
            <w:vAlign w:val="bottom"/>
          </w:tcPr>
          <w:p>
            <w:pPr>
              <w:jc w:val="right"/>
              <w:ind w:right="240"/>
              <w:spacing w:after="0" w:line="110" w:lineRule="exact"/>
              <w:rPr>
                <w:sz w:val="20"/>
                <w:szCs w:val="20"/>
                <w:color w:val="auto"/>
              </w:rPr>
            </w:pPr>
            <w:r>
              <w:rPr>
                <w:rFonts w:ascii="Arial" w:cs="Arial" w:eastAsia="Arial" w:hAnsi="Arial"/>
                <w:sz w:val="12"/>
                <w:szCs w:val="12"/>
                <w:b w:val="1"/>
                <w:bCs w:val="1"/>
                <w:color w:val="auto"/>
              </w:rPr>
              <w:t>May 29,</w:t>
            </w:r>
          </w:p>
        </w:tc>
        <w:tc>
          <w:tcPr>
            <w:tcW w:w="460" w:type="dxa"/>
            <w:vAlign w:val="bottom"/>
          </w:tcPr>
          <w:p>
            <w:pPr>
              <w:spacing w:after="0"/>
              <w:rPr>
                <w:sz w:val="9"/>
                <w:szCs w:val="9"/>
                <w:color w:val="auto"/>
              </w:rPr>
            </w:pPr>
          </w:p>
        </w:tc>
        <w:tc>
          <w:tcPr>
            <w:tcW w:w="1180" w:type="dxa"/>
            <w:vAlign w:val="bottom"/>
            <w:gridSpan w:val="2"/>
          </w:tcPr>
          <w:p>
            <w:pPr>
              <w:ind w:left="240"/>
              <w:spacing w:after="0" w:line="110" w:lineRule="exact"/>
              <w:rPr>
                <w:sz w:val="20"/>
                <w:szCs w:val="20"/>
                <w:color w:val="auto"/>
              </w:rPr>
            </w:pPr>
            <w:r>
              <w:rPr>
                <w:rFonts w:ascii="Arial" w:cs="Arial" w:eastAsia="Arial" w:hAnsi="Arial"/>
                <w:sz w:val="12"/>
                <w:szCs w:val="12"/>
                <w:b w:val="1"/>
                <w:bCs w:val="1"/>
                <w:color w:val="auto"/>
              </w:rPr>
              <w:t>May 30,</w:t>
            </w:r>
          </w:p>
        </w:tc>
      </w:tr>
      <w:tr>
        <w:trPr>
          <w:trHeight w:val="150"/>
        </w:trPr>
        <w:tc>
          <w:tcPr>
            <w:tcW w:w="68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2010</w:t>
            </w:r>
          </w:p>
        </w:tc>
        <w:tc>
          <w:tcPr>
            <w:tcW w:w="2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2009</w:t>
            </w:r>
          </w:p>
        </w:tc>
        <w:tc>
          <w:tcPr>
            <w:tcW w:w="4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2010</w:t>
            </w: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rPr>
              <w:t>2009</w:t>
            </w:r>
          </w:p>
        </w:tc>
        <w:tc>
          <w:tcPr>
            <w:tcW w:w="220" w:type="dxa"/>
            <w:vAlign w:val="bottom"/>
            <w:tcBorders>
              <w:bottom w:val="single" w:sz="8" w:color="auto"/>
            </w:tcBorders>
          </w:tcPr>
          <w:p>
            <w:pPr>
              <w:spacing w:after="0"/>
              <w:rPr>
                <w:sz w:val="13"/>
                <w:szCs w:val="13"/>
                <w:color w:val="auto"/>
              </w:rPr>
            </w:pPr>
          </w:p>
        </w:tc>
      </w:tr>
      <w:tr>
        <w:trPr>
          <w:trHeight w:val="133"/>
        </w:trPr>
        <w:tc>
          <w:tcPr>
            <w:tcW w:w="68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Interest cost</w:t>
            </w:r>
          </w:p>
        </w:tc>
        <w:tc>
          <w:tcPr>
            <w:tcW w:w="1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495</w:t>
            </w:r>
          </w:p>
        </w:tc>
        <w:tc>
          <w:tcPr>
            <w:tcW w:w="26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4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529</w:t>
            </w:r>
          </w:p>
        </w:tc>
        <w:tc>
          <w:tcPr>
            <w:tcW w:w="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1,484</w:t>
            </w:r>
          </w:p>
        </w:tc>
        <w:tc>
          <w:tcPr>
            <w:tcW w:w="460" w:type="dxa"/>
            <w:vAlign w:val="bottom"/>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9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1,589</w:t>
            </w:r>
          </w:p>
        </w:tc>
        <w:tc>
          <w:tcPr>
            <w:tcW w:w="220" w:type="dxa"/>
            <w:vAlign w:val="bottom"/>
            <w:shd w:val="clear" w:color="auto" w:fill="CCEEFF"/>
          </w:tcPr>
          <w:p>
            <w:pPr>
              <w:spacing w:after="0"/>
              <w:rPr>
                <w:sz w:val="11"/>
                <w:szCs w:val="11"/>
                <w:color w:val="auto"/>
              </w:rPr>
            </w:pPr>
          </w:p>
        </w:tc>
      </w:tr>
      <w:tr>
        <w:trPr>
          <w:trHeight w:val="144"/>
        </w:trPr>
        <w:tc>
          <w:tcPr>
            <w:tcW w:w="6880" w:type="dxa"/>
            <w:vAlign w:val="bottom"/>
          </w:tcPr>
          <w:p>
            <w:pPr>
              <w:spacing w:after="0"/>
              <w:rPr>
                <w:sz w:val="20"/>
                <w:szCs w:val="20"/>
                <w:color w:val="auto"/>
              </w:rPr>
            </w:pPr>
            <w:r>
              <w:rPr>
                <w:rFonts w:ascii="Arial" w:cs="Arial" w:eastAsia="Arial" w:hAnsi="Arial"/>
                <w:sz w:val="12"/>
                <w:szCs w:val="12"/>
                <w:color w:val="auto"/>
              </w:rPr>
              <w:t>Service cost</w:t>
            </w:r>
          </w:p>
        </w:tc>
        <w:tc>
          <w:tcPr>
            <w:tcW w:w="140" w:type="dxa"/>
            <w:vAlign w:val="bottom"/>
          </w:tcPr>
          <w:p>
            <w:pPr>
              <w:spacing w:after="0"/>
              <w:rPr>
                <w:sz w:val="12"/>
                <w:szCs w:val="12"/>
                <w:color w:val="auto"/>
              </w:rPr>
            </w:pPr>
          </w:p>
        </w:tc>
        <w:tc>
          <w:tcPr>
            <w:tcW w:w="620" w:type="dxa"/>
            <w:vAlign w:val="bottom"/>
          </w:tcPr>
          <w:p>
            <w:pPr>
              <w:jc w:val="right"/>
              <w:ind w:right="80"/>
              <w:spacing w:after="0"/>
              <w:rPr>
                <w:sz w:val="20"/>
                <w:szCs w:val="20"/>
                <w:color w:val="auto"/>
              </w:rPr>
            </w:pPr>
            <w:r>
              <w:rPr>
                <w:rFonts w:ascii="Arial" w:cs="Arial" w:eastAsia="Arial" w:hAnsi="Arial"/>
                <w:sz w:val="12"/>
                <w:szCs w:val="12"/>
                <w:color w:val="auto"/>
              </w:rPr>
              <w:t>139</w:t>
            </w:r>
          </w:p>
        </w:tc>
        <w:tc>
          <w:tcPr>
            <w:tcW w:w="260" w:type="dxa"/>
            <w:vAlign w:val="bottom"/>
          </w:tcPr>
          <w:p>
            <w:pPr>
              <w:spacing w:after="0"/>
              <w:rPr>
                <w:sz w:val="12"/>
                <w:szCs w:val="12"/>
                <w:color w:val="auto"/>
              </w:rPr>
            </w:pPr>
          </w:p>
        </w:tc>
        <w:tc>
          <w:tcPr>
            <w:tcW w:w="740" w:type="dxa"/>
            <w:vAlign w:val="bottom"/>
          </w:tcPr>
          <w:p>
            <w:pPr>
              <w:jc w:val="right"/>
              <w:ind w:right="200"/>
              <w:spacing w:after="0"/>
              <w:rPr>
                <w:sz w:val="20"/>
                <w:szCs w:val="20"/>
                <w:color w:val="auto"/>
              </w:rPr>
            </w:pPr>
            <w:r>
              <w:rPr>
                <w:rFonts w:ascii="Arial" w:cs="Arial" w:eastAsia="Arial" w:hAnsi="Arial"/>
                <w:sz w:val="12"/>
                <w:szCs w:val="12"/>
                <w:color w:val="auto"/>
              </w:rPr>
              <w:t>147</w:t>
            </w:r>
          </w:p>
        </w:tc>
        <w:tc>
          <w:tcPr>
            <w:tcW w:w="40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416</w:t>
            </w:r>
          </w:p>
        </w:tc>
        <w:tc>
          <w:tcPr>
            <w:tcW w:w="4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442</w:t>
            </w:r>
          </w:p>
        </w:tc>
        <w:tc>
          <w:tcPr>
            <w:tcW w:w="220" w:type="dxa"/>
            <w:vAlign w:val="bottom"/>
          </w:tcPr>
          <w:p>
            <w:pPr>
              <w:spacing w:after="0"/>
              <w:rPr>
                <w:sz w:val="12"/>
                <w:szCs w:val="12"/>
                <w:color w:val="auto"/>
              </w:rPr>
            </w:pPr>
          </w:p>
        </w:tc>
      </w:tr>
      <w:tr>
        <w:trPr>
          <w:trHeight w:val="144"/>
        </w:trPr>
        <w:tc>
          <w:tcPr>
            <w:tcW w:w="6880" w:type="dxa"/>
            <w:vAlign w:val="bottom"/>
            <w:shd w:val="clear" w:color="auto" w:fill="CCEEFF"/>
          </w:tcPr>
          <w:p>
            <w:pPr>
              <w:spacing w:after="0"/>
              <w:rPr>
                <w:sz w:val="20"/>
                <w:szCs w:val="20"/>
                <w:color w:val="auto"/>
              </w:rPr>
            </w:pPr>
            <w:r>
              <w:rPr>
                <w:rFonts w:ascii="Arial" w:cs="Arial" w:eastAsia="Arial" w:hAnsi="Arial"/>
                <w:sz w:val="12"/>
                <w:szCs w:val="12"/>
                <w:color w:val="auto"/>
              </w:rPr>
              <w:t>Net amortization and deferral</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(831)</w:t>
            </w:r>
          </w:p>
        </w:tc>
        <w:tc>
          <w:tcPr>
            <w:tcW w:w="26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ind w:right="160"/>
              <w:spacing w:after="0"/>
              <w:rPr>
                <w:sz w:val="20"/>
                <w:szCs w:val="20"/>
                <w:color w:val="auto"/>
              </w:rPr>
            </w:pPr>
            <w:r>
              <w:rPr>
                <w:rFonts w:ascii="Arial" w:cs="Arial" w:eastAsia="Arial" w:hAnsi="Arial"/>
                <w:sz w:val="12"/>
                <w:szCs w:val="12"/>
                <w:color w:val="auto"/>
              </w:rPr>
              <w:t>(874)</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(2,493</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4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(2,623)</w:t>
            </w:r>
          </w:p>
        </w:tc>
        <w:tc>
          <w:tcPr>
            <w:tcW w:w="220" w:type="dxa"/>
            <w:vAlign w:val="bottom"/>
            <w:tcBorders>
              <w:bottom w:val="single" w:sz="8" w:color="auto"/>
            </w:tcBorders>
          </w:tcPr>
          <w:p>
            <w:pPr>
              <w:spacing w:after="0"/>
              <w:rPr>
                <w:sz w:val="12"/>
                <w:szCs w:val="12"/>
                <w:color w:val="auto"/>
              </w:rPr>
            </w:pPr>
          </w:p>
        </w:tc>
      </w:tr>
      <w:tr>
        <w:trPr>
          <w:trHeight w:val="140"/>
        </w:trPr>
        <w:tc>
          <w:tcPr>
            <w:tcW w:w="6880" w:type="dxa"/>
            <w:vAlign w:val="bottom"/>
          </w:tcPr>
          <w:p>
            <w:pPr>
              <w:spacing w:after="0" w:line="133" w:lineRule="exact"/>
              <w:rPr>
                <w:sz w:val="20"/>
                <w:szCs w:val="20"/>
                <w:color w:val="auto"/>
              </w:rPr>
            </w:pPr>
            <w:r>
              <w:rPr>
                <w:rFonts w:ascii="Arial" w:cs="Arial" w:eastAsia="Arial" w:hAnsi="Arial"/>
                <w:sz w:val="12"/>
                <w:szCs w:val="12"/>
                <w:color w:val="auto"/>
              </w:rPr>
              <w:t>Net periodic postretirement benefit income</w:t>
            </w:r>
          </w:p>
        </w:tc>
        <w:tc>
          <w:tcPr>
            <w:tcW w:w="14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(197)</w:t>
            </w:r>
          </w:p>
        </w:tc>
        <w:tc>
          <w:tcPr>
            <w:tcW w:w="2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tcPr>
          <w:p>
            <w:pPr>
              <w:jc w:val="right"/>
              <w:ind w:right="160"/>
              <w:spacing w:after="0" w:line="133" w:lineRule="exact"/>
              <w:rPr>
                <w:sz w:val="20"/>
                <w:szCs w:val="20"/>
                <w:color w:val="auto"/>
              </w:rPr>
            </w:pPr>
            <w:r>
              <w:rPr>
                <w:rFonts w:ascii="Arial" w:cs="Arial" w:eastAsia="Arial" w:hAnsi="Arial"/>
                <w:sz w:val="12"/>
                <w:szCs w:val="12"/>
                <w:color w:val="auto"/>
              </w:rPr>
              <w:t>(198)</w:t>
            </w:r>
          </w:p>
        </w:tc>
        <w:tc>
          <w:tcPr>
            <w:tcW w:w="400" w:type="dxa"/>
            <w:vAlign w:val="bottom"/>
            <w:tcBorders>
              <w:bottom w:val="single" w:sz="8" w:color="auto"/>
            </w:tcBorders>
          </w:tcPr>
          <w:p>
            <w:pPr>
              <w:spacing w:after="0" w:line="133" w:lineRule="exact"/>
              <w:rPr>
                <w:sz w:val="20"/>
                <w:szCs w:val="20"/>
                <w:color w:val="auto"/>
              </w:rPr>
            </w:pPr>
            <w:r>
              <w:rPr>
                <w:rFonts w:ascii="Arial" w:cs="Arial" w:eastAsia="Arial" w:hAnsi="Arial"/>
                <w:sz w:val="12"/>
                <w:szCs w:val="12"/>
                <w:color w:val="auto"/>
              </w:rPr>
              <w:t>$</w:t>
            </w:r>
          </w:p>
        </w:tc>
        <w:tc>
          <w:tcPr>
            <w:tcW w:w="8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(593)</w:t>
            </w:r>
          </w:p>
        </w:tc>
        <w:tc>
          <w:tcPr>
            <w:tcW w:w="460" w:type="dxa"/>
            <w:vAlign w:val="bottom"/>
            <w:tcBorders>
              <w:bottom w:val="single" w:sz="8" w:color="auto"/>
            </w:tcBorders>
          </w:tcPr>
          <w:p>
            <w:pPr>
              <w:jc w:val="right"/>
              <w:ind w:right="120"/>
              <w:spacing w:after="0" w:line="133" w:lineRule="exact"/>
              <w:rPr>
                <w:sz w:val="20"/>
                <w:szCs w:val="20"/>
                <w:color w:val="auto"/>
              </w:rPr>
            </w:pPr>
            <w:r>
              <w:rPr>
                <w:rFonts w:ascii="Arial" w:cs="Arial" w:eastAsia="Arial" w:hAnsi="Arial"/>
                <w:sz w:val="12"/>
                <w:szCs w:val="12"/>
                <w:color w:val="auto"/>
              </w:rPr>
              <w:t>$</w:t>
            </w:r>
          </w:p>
        </w:tc>
        <w:tc>
          <w:tcPr>
            <w:tcW w:w="9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(592)</w:t>
            </w:r>
          </w:p>
        </w:tc>
        <w:tc>
          <w:tcPr>
            <w:tcW w:w="220" w:type="dxa"/>
            <w:vAlign w:val="bottom"/>
            <w:tcBorders>
              <w:bottom w:val="single" w:sz="8" w:color="auto"/>
            </w:tcBorders>
          </w:tcPr>
          <w:p>
            <w:pPr>
              <w:spacing w:after="0"/>
              <w:rPr>
                <w:sz w:val="12"/>
                <w:szCs w:val="12"/>
                <w:color w:val="auto"/>
              </w:rPr>
            </w:pPr>
          </w:p>
        </w:tc>
      </w:tr>
      <w:tr>
        <w:trPr>
          <w:trHeight w:val="144"/>
        </w:trPr>
        <w:tc>
          <w:tcPr>
            <w:tcW w:w="6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151"/>
        </w:trPr>
        <w:tc>
          <w:tcPr>
            <w:tcW w:w="6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Payments for postretirement health care</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286</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4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747</w:t>
            </w:r>
          </w:p>
        </w:tc>
        <w:tc>
          <w:tcPr>
            <w:tcW w:w="800" w:type="dxa"/>
            <w:vAlign w:val="bottom"/>
            <w:tcBorders>
              <w:bottom w:val="single" w:sz="8" w:color="auto"/>
            </w:tcBorders>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jc w:val="right"/>
              <w:ind w:right="320"/>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500"/>
              <w:spacing w:after="0"/>
              <w:rPr>
                <w:sz w:val="20"/>
                <w:szCs w:val="20"/>
                <w:color w:val="auto"/>
              </w:rPr>
            </w:pPr>
            <w:r>
              <w:rPr>
                <w:rFonts w:ascii="Arial" w:cs="Arial" w:eastAsia="Arial" w:hAnsi="Arial"/>
                <w:sz w:val="12"/>
                <w:szCs w:val="12"/>
                <w:color w:val="auto"/>
              </w:rPr>
              <w:t>610</w:t>
            </w:r>
          </w:p>
        </w:tc>
        <w:tc>
          <w:tcPr>
            <w:tcW w:w="220" w:type="dxa"/>
            <w:vAlign w:val="bottom"/>
          </w:tcPr>
          <w:p>
            <w:pPr>
              <w:spacing w:after="0"/>
              <w:rPr>
                <w:sz w:val="13"/>
                <w:szCs w:val="13"/>
                <w:color w:val="auto"/>
              </w:rPr>
            </w:pPr>
          </w:p>
        </w:tc>
      </w:tr>
    </w:tbl>
    <w:p>
      <w:pPr>
        <w:spacing w:after="0" w:line="144" w:lineRule="exact"/>
        <w:rPr>
          <w:sz w:val="20"/>
          <w:szCs w:val="20"/>
          <w:color w:val="auto"/>
        </w:rPr>
      </w:pPr>
    </w:p>
    <w:p>
      <w:pPr>
        <w:ind w:right="140"/>
        <w:spacing w:after="0" w:line="262" w:lineRule="auto"/>
        <w:rPr>
          <w:sz w:val="20"/>
          <w:szCs w:val="20"/>
          <w:color w:val="auto"/>
        </w:rPr>
      </w:pPr>
      <w:r>
        <w:rPr>
          <w:rFonts w:ascii="Arial" w:cs="Arial" w:eastAsia="Arial" w:hAnsi="Arial"/>
          <w:sz w:val="12"/>
          <w:szCs w:val="12"/>
          <w:color w:val="auto"/>
        </w:rPr>
        <w:t>For accounting purposes, we recognized income from the plan for both the third quarter and nine months of both Fiscal 2010 and Fiscal 2009 due to the amortization of the cost savings from an amendment effective September 2004, which amended our postretirement health care benefit by establishing a maximum employer contribution amount.</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10: Contingent Liabilities and Commitments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Repurchase Commitments</w:t>
      </w:r>
    </w:p>
    <w:p>
      <w:pPr>
        <w:spacing w:after="0" w:line="18" w:lineRule="exact"/>
        <w:rPr>
          <w:sz w:val="20"/>
          <w:szCs w:val="20"/>
          <w:color w:val="auto"/>
        </w:rPr>
      </w:pPr>
    </w:p>
    <w:p>
      <w:pPr>
        <w:ind w:right="520"/>
        <w:spacing w:after="0" w:line="262" w:lineRule="auto"/>
        <w:rPr>
          <w:sz w:val="20"/>
          <w:szCs w:val="20"/>
          <w:color w:val="auto"/>
        </w:rPr>
      </w:pPr>
      <w:r>
        <w:rPr>
          <w:rFonts w:ascii="Arial" w:cs="Arial" w:eastAsia="Arial" w:hAnsi="Arial"/>
          <w:sz w:val="12"/>
          <w:szCs w:val="12"/>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31" w:lineRule="exact"/>
        <w:rPr>
          <w:sz w:val="20"/>
          <w:szCs w:val="20"/>
          <w:color w:val="auto"/>
        </w:rPr>
      </w:pPr>
    </w:p>
    <w:p>
      <w:pPr>
        <w:ind w:right="100"/>
        <w:spacing w:after="0" w:line="290" w:lineRule="auto"/>
        <w:rPr>
          <w:sz w:val="20"/>
          <w:szCs w:val="20"/>
          <w:color w:val="auto"/>
        </w:rPr>
      </w:pPr>
      <w:r>
        <w:rPr>
          <w:rFonts w:ascii="Arial" w:cs="Arial" w:eastAsia="Arial" w:hAnsi="Arial"/>
          <w:sz w:val="11"/>
          <w:szCs w:val="11"/>
          <w:color w:val="auto"/>
        </w:rPr>
        <w:t>Our repurchase agreements provide that, in the event of default by the dealer on the agreement to pay the lending institution, we will repurchase the financed merchandise.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Our contingent liability on these repurchase agreements was approximately $139.6 mil lion and $90.6 million at May 29, 2010 and August 29, 2009, respectively.</w:t>
      </w:r>
    </w:p>
    <w:p>
      <w:pPr>
        <w:spacing w:after="0" w:line="118" w:lineRule="exact"/>
        <w:rPr>
          <w:sz w:val="20"/>
          <w:szCs w:val="20"/>
          <w:color w:val="auto"/>
        </w:rPr>
      </w:pPr>
    </w:p>
    <w:p>
      <w:pPr>
        <w:ind w:right="260"/>
        <w:spacing w:after="0" w:line="256" w:lineRule="auto"/>
        <w:rPr>
          <w:sz w:val="20"/>
          <w:szCs w:val="20"/>
          <w:color w:val="auto"/>
        </w:rPr>
      </w:pPr>
      <w:r>
        <w:rPr>
          <w:rFonts w:ascii="Arial" w:cs="Arial" w:eastAsia="Arial" w:hAnsi="Arial"/>
          <w:sz w:val="12"/>
          <w:szCs w:val="12"/>
          <w:color w:val="auto"/>
        </w:rPr>
        <w:t>In certain instances, we also repurchase inventory from our dealers due to state law or regulatory requirements that govern voluntary or involuntary relationship terminations. Although laws vary from state to state, some states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$3.3 million and $3.1 million at May 29, 2010 and August 29, 2009,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color w:val="auto"/>
        </w:rPr>
        <w:t>Based on the repurchase exposure as previously described, we established an associated loss reserve. Accrued loss on repurchases was $1.6 million as of May 29, 2010 and $1.2 million as of August 29, 2009.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5220" w:type="dxa"/>
            <w:vAlign w:val="bottom"/>
          </w:tcPr>
          <w:p>
            <w:pPr>
              <w:spacing w:after="0"/>
              <w:rPr>
                <w:sz w:val="20"/>
                <w:szCs w:val="20"/>
                <w:color w:val="auto"/>
              </w:rPr>
            </w:pPr>
            <w:r>
              <w:rPr>
                <w:rFonts w:ascii="Arial" w:cs="Arial" w:eastAsia="Arial" w:hAnsi="Arial"/>
                <w:sz w:val="12"/>
                <w:szCs w:val="12"/>
                <w:color w:val="auto"/>
              </w:rPr>
              <w:t>A summary of repurchase activity is as follows:</w:t>
            </w: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52"/>
        </w:trPr>
        <w:tc>
          <w:tcPr>
            <w:tcW w:w="52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2"/>
                <w:szCs w:val="12"/>
                <w:b w:val="1"/>
                <w:bCs w:val="1"/>
                <w:color w:val="auto"/>
              </w:rPr>
              <w:t>Quarter Ended</w:t>
            </w:r>
          </w:p>
        </w:tc>
        <w:tc>
          <w:tcPr>
            <w:tcW w:w="40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Nine Months Ended</w:t>
            </w:r>
          </w:p>
        </w:tc>
      </w:tr>
      <w:tr>
        <w:trPr>
          <w:trHeight w:val="110"/>
        </w:trPr>
        <w:tc>
          <w:tcPr>
            <w:tcW w:w="522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w w:val="96"/>
              </w:rPr>
              <w:t>May 29,</w:t>
            </w: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gridSpan w:val="2"/>
          </w:tcPr>
          <w:p>
            <w:pPr>
              <w:jc w:val="right"/>
              <w:ind w:right="200"/>
              <w:spacing w:after="0" w:line="110" w:lineRule="exact"/>
              <w:rPr>
                <w:sz w:val="20"/>
                <w:szCs w:val="20"/>
                <w:color w:val="auto"/>
              </w:rPr>
            </w:pPr>
            <w:r>
              <w:rPr>
                <w:rFonts w:ascii="Arial" w:cs="Arial" w:eastAsia="Arial" w:hAnsi="Arial"/>
                <w:sz w:val="12"/>
                <w:szCs w:val="12"/>
                <w:b w:val="1"/>
                <w:bCs w:val="1"/>
                <w:color w:val="auto"/>
              </w:rPr>
              <w:t>May 30,</w:t>
            </w:r>
          </w:p>
        </w:tc>
        <w:tc>
          <w:tcPr>
            <w:tcW w:w="80" w:type="dxa"/>
            <w:vAlign w:val="bottom"/>
          </w:tcPr>
          <w:p>
            <w:pPr>
              <w:spacing w:after="0"/>
              <w:rPr>
                <w:sz w:val="9"/>
                <w:szCs w:val="9"/>
                <w:color w:val="auto"/>
              </w:rPr>
            </w:pPr>
          </w:p>
        </w:tc>
        <w:tc>
          <w:tcPr>
            <w:tcW w:w="680" w:type="dxa"/>
            <w:vAlign w:val="bottom"/>
          </w:tcPr>
          <w:p>
            <w:pPr>
              <w:jc w:val="right"/>
              <w:ind w:right="60"/>
              <w:spacing w:after="0" w:line="110" w:lineRule="exact"/>
              <w:rPr>
                <w:sz w:val="20"/>
                <w:szCs w:val="20"/>
                <w:color w:val="auto"/>
              </w:rPr>
            </w:pPr>
            <w:r>
              <w:rPr>
                <w:rFonts w:ascii="Arial" w:cs="Arial" w:eastAsia="Arial" w:hAnsi="Arial"/>
                <w:sz w:val="12"/>
                <w:szCs w:val="12"/>
                <w:b w:val="1"/>
                <w:bCs w:val="1"/>
                <w:color w:val="auto"/>
              </w:rPr>
              <w:t>May 29,</w:t>
            </w:r>
          </w:p>
        </w:tc>
        <w:tc>
          <w:tcPr>
            <w:tcW w:w="200" w:type="dxa"/>
            <w:vAlign w:val="bottom"/>
          </w:tcPr>
          <w:p>
            <w:pPr>
              <w:spacing w:after="0"/>
              <w:rPr>
                <w:sz w:val="9"/>
                <w:szCs w:val="9"/>
                <w:color w:val="auto"/>
              </w:rPr>
            </w:pPr>
          </w:p>
        </w:tc>
        <w:tc>
          <w:tcPr>
            <w:tcW w:w="800" w:type="dxa"/>
            <w:vAlign w:val="bottom"/>
          </w:tcPr>
          <w:p>
            <w:pPr>
              <w:jc w:val="right"/>
              <w:ind w:right="180"/>
              <w:spacing w:after="0" w:line="110" w:lineRule="exact"/>
              <w:rPr>
                <w:sz w:val="20"/>
                <w:szCs w:val="20"/>
                <w:color w:val="auto"/>
              </w:rPr>
            </w:pPr>
            <w:r>
              <w:rPr>
                <w:rFonts w:ascii="Arial" w:cs="Arial" w:eastAsia="Arial" w:hAnsi="Arial"/>
                <w:sz w:val="12"/>
                <w:szCs w:val="12"/>
                <w:b w:val="1"/>
                <w:bCs w:val="1"/>
                <w:color w:val="auto"/>
              </w:rPr>
              <w:t>May 30,</w:t>
            </w:r>
          </w:p>
        </w:tc>
      </w:tr>
      <w:tr>
        <w:trPr>
          <w:trHeight w:val="150"/>
        </w:trPr>
        <w:tc>
          <w:tcPr>
            <w:tcW w:w="52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(Dollars in thousands)</w:t>
            </w:r>
          </w:p>
        </w:tc>
        <w:tc>
          <w:tcPr>
            <w:tcW w:w="27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rPr>
              <w:t>2010</w:t>
            </w:r>
          </w:p>
        </w:tc>
        <w:tc>
          <w:tcPr>
            <w:tcW w:w="2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2"/>
                <w:szCs w:val="12"/>
                <w:b w:val="1"/>
                <w:bCs w:val="1"/>
                <w:color w:val="auto"/>
              </w:rPr>
              <w:t>2009</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2010</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w:t>
            </w:r>
          </w:p>
        </w:tc>
      </w:tr>
      <w:tr>
        <w:trPr>
          <w:trHeight w:val="133"/>
        </w:trPr>
        <w:tc>
          <w:tcPr>
            <w:tcW w:w="52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Inventory repurchased</w:t>
            </w:r>
          </w:p>
        </w:tc>
        <w:tc>
          <w:tcPr>
            <w:tcW w:w="2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44"/>
        </w:trPr>
        <w:tc>
          <w:tcPr>
            <w:tcW w:w="5220" w:type="dxa"/>
            <w:vAlign w:val="bottom"/>
          </w:tcPr>
          <w:p>
            <w:pPr>
              <w:ind w:left="140"/>
              <w:spacing w:after="0"/>
              <w:rPr>
                <w:sz w:val="20"/>
                <w:szCs w:val="20"/>
                <w:color w:val="auto"/>
              </w:rPr>
            </w:pPr>
            <w:r>
              <w:rPr>
                <w:rFonts w:ascii="Arial" w:cs="Arial" w:eastAsia="Arial" w:hAnsi="Arial"/>
                <w:sz w:val="12"/>
                <w:szCs w:val="12"/>
                <w:color w:val="auto"/>
              </w:rPr>
              <w:t>Units</w:t>
            </w: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51</w:t>
            </w:r>
          </w:p>
        </w:tc>
        <w:tc>
          <w:tcPr>
            <w:tcW w:w="400" w:type="dxa"/>
            <w:vAlign w:val="bottom"/>
          </w:tcPr>
          <w:p>
            <w:pPr>
              <w:jc w:val="right"/>
              <w:ind w:right="28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680" w:type="dxa"/>
            <w:vAlign w:val="bottom"/>
          </w:tcPr>
          <w:p>
            <w:pPr>
              <w:jc w:val="right"/>
              <w:ind w:right="240"/>
              <w:spacing w:after="0"/>
              <w:rPr>
                <w:sz w:val="20"/>
                <w:szCs w:val="20"/>
                <w:color w:val="auto"/>
              </w:rPr>
            </w:pPr>
            <w:r>
              <w:rPr>
                <w:rFonts w:ascii="Arial" w:cs="Arial" w:eastAsia="Arial" w:hAnsi="Arial"/>
                <w:sz w:val="12"/>
                <w:szCs w:val="12"/>
                <w:color w:val="auto"/>
              </w:rPr>
              <w:t>4</w:t>
            </w:r>
          </w:p>
        </w:tc>
        <w:tc>
          <w:tcPr>
            <w:tcW w:w="200" w:type="dxa"/>
            <w:vAlign w:val="bottom"/>
          </w:tcPr>
          <w:p>
            <w:pPr>
              <w:spacing w:after="0"/>
              <w:rPr>
                <w:sz w:val="12"/>
                <w:szCs w:val="12"/>
                <w:color w:val="auto"/>
              </w:rPr>
            </w:pPr>
          </w:p>
        </w:tc>
        <w:tc>
          <w:tcPr>
            <w:tcW w:w="800" w:type="dxa"/>
            <w:vAlign w:val="bottom"/>
          </w:tcPr>
          <w:p>
            <w:pPr>
              <w:jc w:val="right"/>
              <w:ind w:right="360"/>
              <w:spacing w:after="0"/>
              <w:rPr>
                <w:sz w:val="20"/>
                <w:szCs w:val="20"/>
                <w:color w:val="auto"/>
              </w:rPr>
            </w:pPr>
            <w:r>
              <w:rPr>
                <w:rFonts w:ascii="Arial" w:cs="Arial" w:eastAsia="Arial" w:hAnsi="Arial"/>
                <w:sz w:val="12"/>
                <w:szCs w:val="12"/>
                <w:color w:val="auto"/>
              </w:rPr>
              <w:t>123</w:t>
            </w:r>
          </w:p>
        </w:tc>
      </w:tr>
      <w:tr>
        <w:trPr>
          <w:trHeight w:val="144"/>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Dollars</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w:t>
            </w:r>
          </w:p>
        </w:tc>
        <w:tc>
          <w:tcPr>
            <w:tcW w:w="200" w:type="dxa"/>
            <w:vAlign w:val="bottom"/>
          </w:tcPr>
          <w:p>
            <w:pPr>
              <w:spacing w:after="0"/>
              <w:rPr>
                <w:sz w:val="12"/>
                <w:szCs w:val="12"/>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4,880</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300</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w w:val="97"/>
              </w:rPr>
              <w:t>11,348</w:t>
            </w:r>
          </w:p>
        </w:tc>
      </w:tr>
      <w:tr>
        <w:trPr>
          <w:trHeight w:val="144"/>
        </w:trPr>
        <w:tc>
          <w:tcPr>
            <w:tcW w:w="5220" w:type="dxa"/>
            <w:vAlign w:val="bottom"/>
          </w:tcPr>
          <w:p>
            <w:pPr>
              <w:spacing w:after="0"/>
              <w:rPr>
                <w:sz w:val="20"/>
                <w:szCs w:val="20"/>
                <w:color w:val="auto"/>
              </w:rPr>
            </w:pPr>
            <w:r>
              <w:rPr>
                <w:rFonts w:ascii="Arial" w:cs="Arial" w:eastAsia="Arial" w:hAnsi="Arial"/>
                <w:sz w:val="12"/>
                <w:szCs w:val="12"/>
                <w:color w:val="auto"/>
              </w:rPr>
              <w:t>Inventory resold</w:t>
            </w:r>
          </w:p>
        </w:tc>
        <w:tc>
          <w:tcPr>
            <w:tcW w:w="2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44"/>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Units</w:t>
            </w:r>
          </w:p>
        </w:tc>
        <w:tc>
          <w:tcPr>
            <w:tcW w:w="2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w:t>
            </w:r>
          </w:p>
        </w:tc>
        <w:tc>
          <w:tcPr>
            <w:tcW w:w="4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5</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128</w:t>
            </w:r>
          </w:p>
        </w:tc>
      </w:tr>
      <w:tr>
        <w:trPr>
          <w:trHeight w:val="144"/>
        </w:trPr>
        <w:tc>
          <w:tcPr>
            <w:tcW w:w="5220" w:type="dxa"/>
            <w:vAlign w:val="bottom"/>
          </w:tcPr>
          <w:p>
            <w:pPr>
              <w:ind w:left="140"/>
              <w:spacing w:after="0"/>
              <w:rPr>
                <w:sz w:val="20"/>
                <w:szCs w:val="20"/>
                <w:color w:val="auto"/>
              </w:rPr>
            </w:pPr>
            <w:r>
              <w:rPr>
                <w:rFonts w:ascii="Arial" w:cs="Arial" w:eastAsia="Arial" w:hAnsi="Arial"/>
                <w:sz w:val="12"/>
                <w:szCs w:val="12"/>
                <w:color w:val="auto"/>
              </w:rPr>
              <w:t>Cash collected</w:t>
            </w:r>
          </w:p>
        </w:tc>
        <w:tc>
          <w:tcPr>
            <w:tcW w:w="2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2"/>
                <w:szCs w:val="12"/>
                <w:color w:val="auto"/>
              </w:rPr>
              <w:t>77</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4,625</w:t>
            </w:r>
          </w:p>
        </w:tc>
        <w:tc>
          <w:tcPr>
            <w:tcW w:w="40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ind w:right="240"/>
              <w:spacing w:after="0"/>
              <w:rPr>
                <w:sz w:val="20"/>
                <w:szCs w:val="20"/>
                <w:color w:val="auto"/>
              </w:rPr>
            </w:pPr>
            <w:r>
              <w:rPr>
                <w:rFonts w:ascii="Arial" w:cs="Arial" w:eastAsia="Arial" w:hAnsi="Arial"/>
                <w:sz w:val="12"/>
                <w:szCs w:val="12"/>
                <w:color w:val="auto"/>
              </w:rPr>
              <w:t>329</w:t>
            </w:r>
          </w:p>
        </w:tc>
        <w:tc>
          <w:tcPr>
            <w:tcW w:w="200" w:type="dxa"/>
            <w:vAlign w:val="bottom"/>
          </w:tcPr>
          <w:p>
            <w:pPr>
              <w:jc w:val="right"/>
              <w:spacing w:after="0"/>
              <w:rPr>
                <w:sz w:val="20"/>
                <w:szCs w:val="20"/>
                <w:color w:val="auto"/>
              </w:rPr>
            </w:pPr>
            <w:r>
              <w:rPr>
                <w:rFonts w:ascii="Arial" w:cs="Arial" w:eastAsia="Arial" w:hAnsi="Arial"/>
                <w:sz w:val="12"/>
                <w:szCs w:val="12"/>
                <w:color w:val="auto"/>
              </w:rPr>
              <w:t>$</w:t>
            </w:r>
          </w:p>
        </w:tc>
        <w:tc>
          <w:tcPr>
            <w:tcW w:w="800" w:type="dxa"/>
            <w:vAlign w:val="bottom"/>
          </w:tcPr>
          <w:p>
            <w:pPr>
              <w:jc w:val="right"/>
              <w:ind w:right="360"/>
              <w:spacing w:after="0"/>
              <w:rPr>
                <w:sz w:val="20"/>
                <w:szCs w:val="20"/>
                <w:color w:val="auto"/>
              </w:rPr>
            </w:pPr>
            <w:r>
              <w:rPr>
                <w:rFonts w:ascii="Arial" w:cs="Arial" w:eastAsia="Arial" w:hAnsi="Arial"/>
                <w:sz w:val="12"/>
                <w:szCs w:val="12"/>
                <w:color w:val="auto"/>
              </w:rPr>
              <w:t>9,868</w:t>
            </w:r>
          </w:p>
        </w:tc>
      </w:tr>
      <w:tr>
        <w:trPr>
          <w:trHeight w:val="144"/>
        </w:trPr>
        <w:tc>
          <w:tcPr>
            <w:tcW w:w="52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Loss recognized</w:t>
            </w:r>
          </w:p>
        </w:tc>
        <w:tc>
          <w:tcPr>
            <w:tcW w:w="2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w:t>
            </w:r>
          </w:p>
        </w:tc>
        <w:tc>
          <w:tcPr>
            <w:tcW w:w="200" w:type="dxa"/>
            <w:vAlign w:val="bottom"/>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1,011</w:t>
            </w:r>
          </w:p>
        </w:tc>
        <w:tc>
          <w:tcPr>
            <w:tcW w:w="400" w:type="dxa"/>
            <w:vAlign w:val="bottom"/>
            <w:shd w:val="clear" w:color="auto" w:fill="CCEEFF"/>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240"/>
              <w:spacing w:after="0"/>
              <w:rPr>
                <w:sz w:val="20"/>
                <w:szCs w:val="20"/>
                <w:color w:val="auto"/>
              </w:rPr>
            </w:pPr>
            <w:r>
              <w:rPr>
                <w:rFonts w:ascii="Arial" w:cs="Arial" w:eastAsia="Arial" w:hAnsi="Arial"/>
                <w:sz w:val="12"/>
                <w:szCs w:val="12"/>
                <w:color w:val="auto"/>
              </w:rPr>
              <w:t>44</w:t>
            </w:r>
          </w:p>
        </w:tc>
        <w:tc>
          <w:tcPr>
            <w:tcW w:w="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1,967</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Litigation</w:t>
      </w:r>
    </w:p>
    <w:p>
      <w:pPr>
        <w:spacing w:after="0" w:line="18"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litigation may have an impact on our results for a particular reporting period, the ultimate disposition of such litigation will not have any material adverse effect on our financial position, results of operations or liquidity.</w:t>
      </w:r>
    </w:p>
    <w:p>
      <w:pPr>
        <w:spacing w:after="0" w:line="25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11: Income Taxes</w:t>
      </w:r>
    </w:p>
    <w:p>
      <w:pPr>
        <w:spacing w:after="0" w:line="134" w:lineRule="exact"/>
        <w:rPr>
          <w:sz w:val="20"/>
          <w:szCs w:val="20"/>
          <w:color w:val="auto"/>
        </w:rPr>
      </w:pPr>
    </w:p>
    <w:p>
      <w:pPr>
        <w:ind w:right="380"/>
        <w:spacing w:after="0" w:line="283" w:lineRule="auto"/>
        <w:rPr>
          <w:sz w:val="20"/>
          <w:szCs w:val="20"/>
          <w:color w:val="auto"/>
        </w:rPr>
      </w:pPr>
      <w:r>
        <w:rPr>
          <w:rFonts w:ascii="Arial" w:cs="Arial" w:eastAsia="Arial" w:hAnsi="Arial"/>
          <w:sz w:val="12"/>
          <w:szCs w:val="12"/>
          <w:color w:val="auto"/>
        </w:rPr>
        <w:t xml:space="preserve">We account for income taxes under ASC Topic 740, </w:t>
      </w:r>
      <w:r>
        <w:rPr>
          <w:rFonts w:ascii="Arial" w:cs="Arial" w:eastAsia="Arial" w:hAnsi="Arial"/>
          <w:sz w:val="12"/>
          <w:szCs w:val="12"/>
          <w:i w:val="1"/>
          <w:iCs w:val="1"/>
          <w:color w:val="auto"/>
        </w:rPr>
        <w:t>Income Taxes</w:t>
      </w:r>
      <w:r>
        <w:rPr>
          <w:rFonts w:ascii="Arial" w:cs="Arial" w:eastAsia="Arial" w:hAnsi="Arial"/>
          <w:sz w:val="12"/>
          <w:szCs w:val="12"/>
          <w:color w:val="auto"/>
        </w:rPr>
        <w:t>, (ASC 740).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19"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Significant judgment is required in determining our provision for income taxes, our deferred tax assets and liabilities and any valuation allowance recorded against our deferred tax assets. Valuation allowances arise due to uncertainty of realizing deferred tax assets. As of May 29, 2010, and August 29, 2009, we have applied a full valuation allowance of $43.1 million and $ 45.3 million, respectively, against our defe rred tax assets. ASC 740 requires that companies assess whether valuation allowances should be established against their deferred tax assets based on the consideration of all available evidence, using a “more-likely-than-not” standard. In making such assessments, significant weight is given to evidence that can be objectively verified. A company's current or previous losses are given more weight than its future outlook. Under that standard, our three-year historical cumulative loss was a significant negative factor. This loss, combined with uncertain near-term market and economic conditions, reduced our ability to rely on our projections of any future t axable income in determining whether a valuation allowance is appropriate. Accordingly, we have concluded that a full valuation allowance on our deferred tax assets was needed. We will continue to assess the likelihood that our deferred tax assets will be realizable, and our valuation allowance will be adjusted accordingly, which could materially impact our financial position and results of operations.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On November 6, 2009, the President of the United States signed into law the Worker, Homeownership, and Business Assistance Act of 2009, which expands the net operating loss (NOL) carryback period from two to five years, allowing us to carryback all Fiscal 2009 NOLs. We filed our original carryback tax return in December 2009 and received our federal refund of $2 1.9 million during our second quarter of Fiscal 2010. During the third quarter of Fiscal 2010, we filed a superseding federal tax return and amended our original carryback request, recording an additional benefit of approximately $1.0 million. As a result, we recorded a total tax benefit of $5.8 million in Fiscal 2010 related to the portion of the 2009 NOL that was previously not able to be carried back and reduced the associated valuation allowance. We anticipate receiving the refund of our amended carryback return sometime in the fourth quarter of Fiscal 2010.</w:t>
      </w:r>
    </w:p>
    <w:p>
      <w:pPr>
        <w:spacing w:after="0" w:line="137"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We file tax returns in the U.S. federal jurisdiction, as well as various international and state jurisdictions. Our federal income tax returns for Fiscal 2006 through Fiscal 2008 were under examination by the IRS as of the end of the second quarter of Fiscal 2010. During our third quarter of Fiscal 2010, we finalized the IRS audit with a cash payment of $130,000. As a result of this audit, we have reduced the reserve for unrecognized tax benefits by approximately $1.7 million. Although certain years are no longer subject to examinations by the IRS and various state taxing authorities, NOL carryforwards generated in those years may still be adjusted upon examination by the IRS or state taxing authorities if they either have been or will be used in a future period. A number of years may elapse before an uncertain tax position is audited and finally resolved, and it is often very difficult to predict the outcome of such audits. Periodically, various state and local jurisdictions conduct audits, therefore, a variety of years are subject to state and local jurisdiction review.</w:t>
      </w:r>
    </w:p>
    <w:p>
      <w:pPr>
        <w:spacing w:after="0" w:line="137"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As of May 29, 2010, our total unrecognized tax benefits were $6.1 million, all of which, if recognized, would positively affect our effective tax rate as all of the deferred tax assets associated with these positions have a full valuation allowance established against them. It is our policy to recognize interest and penalties accrued relative to unrecognized tax benefits as tax expense. As of May 29, 2010, we had ac crued $2.6 million in interest and penalties.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73177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Changes in our total unrecognized tax benefits are as follows:</w:t>
      </w:r>
    </w:p>
    <w:p>
      <w:pPr>
        <w:sectPr>
          <w:pgSz w:w="11900" w:h="16838" w:orient="portrait"/>
          <w:cols w:equalWidth="0" w:num="1">
            <w:col w:w="11480"/>
          </w:cols>
          <w:pgMar w:left="220" w:top="140" w:right="199" w:bottom="0" w:gutter="0" w:footer="0" w:header="0"/>
        </w:sectPr>
      </w:pPr>
    </w:p>
    <w:bookmarkStart w:id="5" w:name="page6"/>
    <w:bookmarkEnd w:id="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60" w:type="dxa"/>
            <w:vAlign w:val="bottom"/>
            <w:tcBorders>
              <w:bottom w:val="single" w:sz="8" w:color="auto"/>
            </w:tcBorders>
            <w:gridSpan w:val="7"/>
          </w:tcPr>
          <w:p>
            <w:pPr>
              <w:ind w:left="100"/>
              <w:spacing w:after="0"/>
              <w:rPr>
                <w:sz w:val="20"/>
                <w:szCs w:val="20"/>
                <w:color w:val="auto"/>
              </w:rPr>
            </w:pPr>
            <w:r>
              <w:rPr>
                <w:rFonts w:ascii="Arial" w:cs="Arial" w:eastAsia="Arial" w:hAnsi="Arial"/>
                <w:sz w:val="12"/>
                <w:szCs w:val="12"/>
                <w:b w:val="1"/>
                <w:bCs w:val="1"/>
                <w:color w:val="auto"/>
              </w:rPr>
              <w:t>Nine Months Ended</w:t>
            </w:r>
          </w:p>
        </w:tc>
        <w:tc>
          <w:tcPr>
            <w:tcW w:w="0" w:type="dxa"/>
            <w:vAlign w:val="bottom"/>
          </w:tcPr>
          <w:p>
            <w:pPr>
              <w:spacing w:after="0"/>
              <w:rPr>
                <w:sz w:val="1"/>
                <w:szCs w:val="1"/>
                <w:color w:val="auto"/>
              </w:rPr>
            </w:pPr>
          </w:p>
        </w:tc>
      </w:tr>
      <w:tr>
        <w:trPr>
          <w:trHeight w:val="110"/>
        </w:trPr>
        <w:tc>
          <w:tcPr>
            <w:tcW w:w="7060" w:type="dxa"/>
            <w:vAlign w:val="bottom"/>
            <w:vMerge w:val="restart"/>
          </w:tcPr>
          <w:p>
            <w:pPr>
              <w:spacing w:after="0"/>
              <w:rPr>
                <w:sz w:val="20"/>
                <w:szCs w:val="20"/>
                <w:color w:val="auto"/>
              </w:rPr>
            </w:pPr>
            <w:r>
              <w:rPr>
                <w:rFonts w:ascii="Arial" w:cs="Arial" w:eastAsia="Arial" w:hAnsi="Arial"/>
                <w:sz w:val="12"/>
                <w:szCs w:val="12"/>
                <w:b w:val="1"/>
                <w:bCs w:val="1"/>
                <w:color w:val="auto"/>
              </w:rPr>
              <w:t>(In thousands)</w:t>
            </w: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gridSpan w:val="2"/>
          </w:tcPr>
          <w:p>
            <w:pPr>
              <w:jc w:val="right"/>
              <w:ind w:right="60"/>
              <w:spacing w:after="0" w:line="110" w:lineRule="exact"/>
              <w:rPr>
                <w:sz w:val="20"/>
                <w:szCs w:val="20"/>
                <w:color w:val="auto"/>
              </w:rPr>
            </w:pPr>
            <w:r>
              <w:rPr>
                <w:rFonts w:ascii="Arial" w:cs="Arial" w:eastAsia="Arial" w:hAnsi="Arial"/>
                <w:sz w:val="12"/>
                <w:szCs w:val="12"/>
                <w:b w:val="1"/>
                <w:bCs w:val="1"/>
                <w:color w:val="auto"/>
                <w:w w:val="92"/>
              </w:rPr>
              <w:t>May 29,</w:t>
            </w: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gridSpan w:val="3"/>
          </w:tcPr>
          <w:p>
            <w:pPr>
              <w:ind w:left="40"/>
              <w:spacing w:after="0" w:line="110" w:lineRule="exact"/>
              <w:rPr>
                <w:sz w:val="20"/>
                <w:szCs w:val="20"/>
                <w:color w:val="auto"/>
              </w:rPr>
            </w:pPr>
            <w:r>
              <w:rPr>
                <w:rFonts w:ascii="Arial" w:cs="Arial" w:eastAsia="Arial" w:hAnsi="Arial"/>
                <w:sz w:val="12"/>
                <w:szCs w:val="12"/>
                <w:b w:val="1"/>
                <w:bCs w:val="1"/>
                <w:color w:val="auto"/>
              </w:rPr>
              <w:t>May 30,</w:t>
            </w:r>
          </w:p>
        </w:tc>
        <w:tc>
          <w:tcPr>
            <w:tcW w:w="0" w:type="dxa"/>
            <w:vAlign w:val="bottom"/>
          </w:tcPr>
          <w:p>
            <w:pPr>
              <w:spacing w:after="0"/>
              <w:rPr>
                <w:sz w:val="1"/>
                <w:szCs w:val="1"/>
                <w:color w:val="auto"/>
              </w:rPr>
            </w:pPr>
          </w:p>
        </w:tc>
      </w:tr>
      <w:tr>
        <w:trPr>
          <w:trHeight w:val="150"/>
        </w:trPr>
        <w:tc>
          <w:tcPr>
            <w:tcW w:w="7060" w:type="dxa"/>
            <w:vAlign w:val="bottom"/>
            <w:tcBorders>
              <w:bottom w:val="single" w:sz="8" w:color="auto"/>
            </w:tcBorders>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beginning of period</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(9,012)</w:t>
            </w:r>
          </w:p>
        </w:tc>
        <w:tc>
          <w:tcPr>
            <w:tcW w:w="360" w:type="dxa"/>
            <w:vAlign w:val="bottom"/>
            <w:gridSpan w:val="2"/>
            <w:shd w:val="clear" w:color="auto" w:fill="CCEEFF"/>
          </w:tcPr>
          <w:p>
            <w:pPr>
              <w:jc w:val="right"/>
              <w:ind w:right="5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(9,469)</w:t>
            </w: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Arial" w:cs="Arial" w:eastAsia="Arial" w:hAnsi="Arial"/>
                <w:sz w:val="12"/>
                <w:szCs w:val="12"/>
                <w:color w:val="auto"/>
              </w:rPr>
              <w:t>Gross increases - tax positions in a prior period</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(253)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31</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Gross decreases - tax positions in a prior period</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3,157</w:t>
            </w:r>
          </w:p>
        </w:tc>
        <w:tc>
          <w:tcPr>
            <w:tcW w:w="80" w:type="dxa"/>
            <w:vAlign w:val="bottom"/>
            <w:tcBorders>
              <w:right w:val="single" w:sz="8" w:color="CCEEFF"/>
            </w:tcBorders>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490</w:t>
            </w: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7060" w:type="dxa"/>
            <w:vAlign w:val="bottom"/>
          </w:tcPr>
          <w:p>
            <w:pPr>
              <w:spacing w:after="0"/>
              <w:rPr>
                <w:sz w:val="20"/>
                <w:szCs w:val="20"/>
                <w:color w:val="auto"/>
              </w:rPr>
            </w:pPr>
            <w:r>
              <w:rPr>
                <w:rFonts w:ascii="Arial" w:cs="Arial" w:eastAsia="Arial" w:hAnsi="Arial"/>
                <w:sz w:val="12"/>
                <w:szCs w:val="12"/>
                <w:color w:val="auto"/>
              </w:rPr>
              <w:t>Gross increases - current period tax positions</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(136)</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gridSpan w:val="2"/>
          </w:tcPr>
          <w:p>
            <w:pPr>
              <w:jc w:val="right"/>
              <w:spacing w:after="0"/>
              <w:rPr>
                <w:sz w:val="20"/>
                <w:szCs w:val="20"/>
                <w:color w:val="auto"/>
              </w:rPr>
            </w:pPr>
            <w:r>
              <w:rPr>
                <w:rFonts w:ascii="Arial" w:cs="Arial" w:eastAsia="Arial" w:hAnsi="Arial"/>
                <w:sz w:val="12"/>
                <w:szCs w:val="12"/>
                <w:color w:val="auto"/>
              </w:rPr>
              <w:t>(83)</w:t>
            </w: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EFF"/>
          </w:tcPr>
          <w:p>
            <w:pPr>
              <w:spacing w:after="0"/>
              <w:rPr>
                <w:sz w:val="20"/>
                <w:szCs w:val="20"/>
                <w:color w:val="auto"/>
              </w:rPr>
            </w:pPr>
            <w:r>
              <w:rPr>
                <w:rFonts w:ascii="Arial" w:cs="Arial" w:eastAsia="Arial" w:hAnsi="Arial"/>
                <w:sz w:val="12"/>
                <w:szCs w:val="12"/>
                <w:color w:val="auto"/>
              </w:rPr>
              <w:t>Settlements</w:t>
            </w: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154</w:t>
            </w: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70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Lapse of st atute of limitations</w:t>
            </w:r>
          </w:p>
        </w:tc>
        <w:tc>
          <w:tcPr>
            <w:tcW w:w="140" w:type="dxa"/>
            <w:vAlign w:val="bottom"/>
            <w:tcBorders>
              <w:bottom w:val="single" w:sz="8" w:color="CCEEFF"/>
            </w:tcBorders>
          </w:tcPr>
          <w:p>
            <w:pPr>
              <w:spacing w:after="0"/>
              <w:rPr>
                <w:sz w:val="12"/>
                <w:szCs w:val="12"/>
                <w:color w:val="auto"/>
              </w:rPr>
            </w:pPr>
          </w:p>
        </w:tc>
        <w:tc>
          <w:tcPr>
            <w:tcW w:w="62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7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7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Balance at end of period</w:t>
            </w: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w:t>
            </w:r>
          </w:p>
        </w:tc>
        <w:tc>
          <w:tcPr>
            <w:tcW w:w="480" w:type="dxa"/>
            <w:vAlign w:val="bottom"/>
            <w:tcBorders>
              <w:right w:val="single" w:sz="8" w:color="CCEEFF"/>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(6,090)</w:t>
            </w:r>
          </w:p>
        </w:tc>
        <w:tc>
          <w:tcPr>
            <w:tcW w:w="360" w:type="dxa"/>
            <w:vAlign w:val="bottom"/>
            <w:gridSpan w:val="2"/>
            <w:shd w:val="clear" w:color="auto" w:fill="CCEEFF"/>
          </w:tcPr>
          <w:p>
            <w:pPr>
              <w:jc w:val="right"/>
              <w:ind w:right="50"/>
              <w:spacing w:after="0" w:line="133" w:lineRule="exact"/>
              <w:rPr>
                <w:sz w:val="20"/>
                <w:szCs w:val="20"/>
                <w:color w:val="auto"/>
              </w:rPr>
            </w:pPr>
            <w:r>
              <w:rPr>
                <w:rFonts w:ascii="Arial" w:cs="Arial" w:eastAsia="Arial" w:hAnsi="Arial"/>
                <w:sz w:val="12"/>
                <w:szCs w:val="12"/>
                <w:color w:val="auto"/>
              </w:rPr>
              <w:t>$</w:t>
            </w:r>
          </w:p>
        </w:tc>
        <w:tc>
          <w:tcPr>
            <w:tcW w:w="5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(9,031)</w:t>
            </w:r>
          </w:p>
        </w:tc>
        <w:tc>
          <w:tcPr>
            <w:tcW w:w="2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8720" w:type="dxa"/>
            <w:vAlign w:val="bottom"/>
            <w:tcBorders>
              <w:top w:val="single" w:sz="8" w:color="CCEEFF"/>
            </w:tcBorders>
            <w:gridSpan w:val="5"/>
          </w:tcPr>
          <w:p>
            <w:pPr>
              <w:spacing w:after="0"/>
              <w:rPr>
                <w:sz w:val="20"/>
                <w:szCs w:val="20"/>
                <w:color w:val="auto"/>
              </w:rPr>
            </w:pPr>
            <w:r>
              <w:rPr>
                <w:rFonts w:ascii="Arial" w:cs="Arial" w:eastAsia="Arial" w:hAnsi="Arial"/>
                <w:sz w:val="12"/>
                <w:szCs w:val="12"/>
                <w:color w:val="auto"/>
              </w:rPr>
              <w:t>We do not anticipate any significant changes in unrecognized tax benefits within the next twelve months. Actual results may differ materially from this estimate.</w:t>
            </w:r>
          </w:p>
        </w:tc>
        <w:tc>
          <w:tcPr>
            <w:tcW w:w="260" w:type="dxa"/>
            <w:vAlign w:val="bottom"/>
            <w:tcBorders>
              <w:top w:val="single" w:sz="8" w:color="CCEE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4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8"/>
        </w:trPr>
        <w:tc>
          <w:tcPr>
            <w:tcW w:w="7060" w:type="dxa"/>
            <w:vAlign w:val="bottom"/>
          </w:tcPr>
          <w:p>
            <w:pPr>
              <w:spacing w:after="0"/>
              <w:rPr>
                <w:sz w:val="20"/>
                <w:szCs w:val="20"/>
                <w:color w:val="auto"/>
              </w:rPr>
            </w:pPr>
            <w:r>
              <w:rPr>
                <w:rFonts w:ascii="Arial" w:cs="Arial" w:eastAsia="Arial" w:hAnsi="Arial"/>
                <w:sz w:val="12"/>
                <w:szCs w:val="12"/>
                <w:b w:val="1"/>
                <w:bCs w:val="1"/>
                <w:color w:val="auto"/>
              </w:rPr>
              <w:t>NOTE 12: Income Per Share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7060" w:type="dxa"/>
            <w:vAlign w:val="bottom"/>
          </w:tcPr>
          <w:p>
            <w:pPr>
              <w:spacing w:after="0"/>
              <w:rPr>
                <w:sz w:val="20"/>
                <w:szCs w:val="20"/>
                <w:color w:val="auto"/>
              </w:rPr>
            </w:pPr>
            <w:r>
              <w:rPr>
                <w:rFonts w:ascii="Arial" w:cs="Arial" w:eastAsia="Arial" w:hAnsi="Arial"/>
                <w:sz w:val="12"/>
                <w:szCs w:val="12"/>
                <w:color w:val="auto"/>
              </w:rPr>
              <w:t>The following table reflects the calculation of basic and diluted income per share:</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70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2"/>
                <w:szCs w:val="12"/>
                <w:b w:val="1"/>
                <w:bCs w:val="1"/>
                <w:color w:val="auto"/>
              </w:rPr>
              <w:t>Quarter Ended</w:t>
            </w:r>
          </w:p>
        </w:tc>
        <w:tc>
          <w:tcPr>
            <w:tcW w:w="26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2"/>
                <w:szCs w:val="12"/>
                <w:b w:val="1"/>
                <w:bCs w:val="1"/>
                <w:color w:val="auto"/>
              </w:rPr>
              <w:t>Nine Months Ended</w:t>
            </w:r>
          </w:p>
        </w:tc>
        <w:tc>
          <w:tcPr>
            <w:tcW w:w="4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9"/>
        </w:trPr>
        <w:tc>
          <w:tcPr>
            <w:tcW w:w="7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jc w:val="right"/>
              <w:ind w:right="60"/>
              <w:spacing w:after="0" w:line="119" w:lineRule="exact"/>
              <w:rPr>
                <w:sz w:val="20"/>
                <w:szCs w:val="20"/>
                <w:color w:val="auto"/>
              </w:rPr>
            </w:pPr>
            <w:r>
              <w:rPr>
                <w:rFonts w:ascii="Arial" w:cs="Arial" w:eastAsia="Arial" w:hAnsi="Arial"/>
                <w:sz w:val="12"/>
                <w:szCs w:val="12"/>
                <w:b w:val="1"/>
                <w:bCs w:val="1"/>
                <w:color w:val="auto"/>
              </w:rPr>
              <w:t>May 29,</w:t>
            </w:r>
          </w:p>
        </w:tc>
        <w:tc>
          <w:tcPr>
            <w:tcW w:w="260" w:type="dxa"/>
            <w:vAlign w:val="bottom"/>
          </w:tcPr>
          <w:p>
            <w:pPr>
              <w:spacing w:after="0"/>
              <w:rPr>
                <w:sz w:val="10"/>
                <w:szCs w:val="10"/>
                <w:color w:val="auto"/>
              </w:rPr>
            </w:pPr>
          </w:p>
        </w:tc>
        <w:tc>
          <w:tcPr>
            <w:tcW w:w="640" w:type="dxa"/>
            <w:vAlign w:val="bottom"/>
          </w:tcPr>
          <w:p>
            <w:pPr>
              <w:jc w:val="right"/>
              <w:ind w:right="80"/>
              <w:spacing w:after="0" w:line="119" w:lineRule="exact"/>
              <w:rPr>
                <w:sz w:val="20"/>
                <w:szCs w:val="20"/>
                <w:color w:val="auto"/>
              </w:rPr>
            </w:pPr>
            <w:r>
              <w:rPr>
                <w:rFonts w:ascii="Arial" w:cs="Arial" w:eastAsia="Arial" w:hAnsi="Arial"/>
                <w:sz w:val="12"/>
                <w:szCs w:val="12"/>
                <w:b w:val="1"/>
                <w:bCs w:val="1"/>
                <w:color w:val="auto"/>
              </w:rPr>
              <w:t>May 30,</w:t>
            </w:r>
          </w:p>
        </w:tc>
        <w:tc>
          <w:tcPr>
            <w:tcW w:w="260" w:type="dxa"/>
            <w:vAlign w:val="bottom"/>
          </w:tcPr>
          <w:p>
            <w:pPr>
              <w:spacing w:after="0"/>
              <w:rPr>
                <w:sz w:val="10"/>
                <w:szCs w:val="10"/>
                <w:color w:val="auto"/>
              </w:rPr>
            </w:pPr>
          </w:p>
        </w:tc>
        <w:tc>
          <w:tcPr>
            <w:tcW w:w="940" w:type="dxa"/>
            <w:vAlign w:val="bottom"/>
            <w:gridSpan w:val="2"/>
          </w:tcPr>
          <w:p>
            <w:pPr>
              <w:jc w:val="right"/>
              <w:spacing w:after="0" w:line="119" w:lineRule="exact"/>
              <w:rPr>
                <w:sz w:val="20"/>
                <w:szCs w:val="20"/>
                <w:color w:val="auto"/>
              </w:rPr>
            </w:pPr>
            <w:r>
              <w:rPr>
                <w:rFonts w:ascii="Arial" w:cs="Arial" w:eastAsia="Arial" w:hAnsi="Arial"/>
                <w:sz w:val="12"/>
                <w:szCs w:val="12"/>
                <w:b w:val="1"/>
                <w:bCs w:val="1"/>
                <w:color w:val="auto"/>
              </w:rPr>
              <w:t>May 29,</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gridSpan w:val="3"/>
          </w:tcPr>
          <w:p>
            <w:pPr>
              <w:ind w:left="40"/>
              <w:spacing w:after="0" w:line="119" w:lineRule="exact"/>
              <w:rPr>
                <w:sz w:val="20"/>
                <w:szCs w:val="20"/>
                <w:color w:val="auto"/>
              </w:rPr>
            </w:pPr>
            <w:r>
              <w:rPr>
                <w:rFonts w:ascii="Arial" w:cs="Arial" w:eastAsia="Arial" w:hAnsi="Arial"/>
                <w:sz w:val="12"/>
                <w:szCs w:val="12"/>
                <w:b w:val="1"/>
                <w:bCs w:val="1"/>
                <w:color w:val="auto"/>
              </w:rPr>
              <w:t>May 30,</w:t>
            </w:r>
          </w:p>
        </w:tc>
        <w:tc>
          <w:tcPr>
            <w:tcW w:w="0" w:type="dxa"/>
            <w:vAlign w:val="bottom"/>
          </w:tcPr>
          <w:p>
            <w:pPr>
              <w:spacing w:after="0"/>
              <w:rPr>
                <w:sz w:val="1"/>
                <w:szCs w:val="1"/>
                <w:color w:val="auto"/>
              </w:rPr>
            </w:pPr>
          </w:p>
        </w:tc>
      </w:tr>
      <w:tr>
        <w:trPr>
          <w:trHeight w:val="159"/>
        </w:trPr>
        <w:tc>
          <w:tcPr>
            <w:tcW w:w="706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 except per share data)</w:t>
            </w: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rPr>
              <w:t>2010</w:t>
            </w:r>
          </w:p>
        </w:tc>
        <w:tc>
          <w:tcPr>
            <w:tcW w:w="2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2009</w:t>
            </w: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b w:val="1"/>
                <w:bCs w:val="1"/>
                <w:color w:val="auto"/>
              </w:rPr>
              <w:t>2010</w:t>
            </w:r>
          </w:p>
        </w:tc>
        <w:tc>
          <w:tcPr>
            <w:tcW w:w="4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Income (loss) per share - basic:</w:t>
            </w: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80" w:type="dxa"/>
            <w:vAlign w:val="bottom"/>
            <w:tcBorders>
              <w:right w:val="single" w:sz="8" w:color="CCEEFF"/>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tcBorders>
              <w:bottom w:val="single" w:sz="8" w:color="CCEEFF"/>
            </w:tcBorders>
          </w:tcPr>
          <w:p>
            <w:pPr>
              <w:ind w:left="60"/>
              <w:spacing w:after="0"/>
              <w:rPr>
                <w:sz w:val="20"/>
                <w:szCs w:val="20"/>
                <w:color w:val="auto"/>
              </w:rPr>
            </w:pPr>
            <w:r>
              <w:rPr>
                <w:rFonts w:ascii="Arial" w:cs="Arial" w:eastAsia="Arial" w:hAnsi="Arial"/>
                <w:sz w:val="12"/>
                <w:szCs w:val="12"/>
                <w:color w:val="auto"/>
              </w:rPr>
              <w:t>Net income (loss)</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5,992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(8,553)</w:t>
            </w:r>
          </w:p>
        </w:tc>
        <w:tc>
          <w:tcPr>
            <w:tcW w:w="26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5,354</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(28,530)</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shd w:val="clear" w:color="auto" w:fill="CCEEFF"/>
          </w:tcPr>
          <w:p>
            <w:pPr>
              <w:ind w:left="60"/>
              <w:spacing w:after="0" w:line="133" w:lineRule="exact"/>
              <w:rPr>
                <w:sz w:val="20"/>
                <w:szCs w:val="20"/>
                <w:color w:val="auto"/>
              </w:rPr>
            </w:pPr>
            <w:r>
              <w:rPr>
                <w:rFonts w:ascii="Arial" w:cs="Arial" w:eastAsia="Arial" w:hAnsi="Arial"/>
                <w:sz w:val="12"/>
                <w:szCs w:val="12"/>
                <w:color w:val="auto"/>
              </w:rPr>
              <w:t>Weighted average shares outstanding</w:t>
            </w:r>
          </w:p>
        </w:tc>
        <w:tc>
          <w:tcPr>
            <w:tcW w:w="14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29,098</w:t>
            </w:r>
          </w:p>
        </w:tc>
        <w:tc>
          <w:tcPr>
            <w:tcW w:w="260" w:type="dxa"/>
            <w:vAlign w:val="bottom"/>
            <w:tcBorders>
              <w:bottom w:val="single" w:sz="8" w:color="auto"/>
            </w:tcBorders>
            <w:shd w:val="clear" w:color="auto" w:fill="CCEEFF"/>
          </w:tcPr>
          <w:p>
            <w:pPr>
              <w:spacing w:after="0"/>
              <w:rPr>
                <w:sz w:val="11"/>
                <w:szCs w:val="11"/>
                <w:color w:val="auto"/>
              </w:rPr>
            </w:pPr>
          </w:p>
        </w:tc>
        <w:tc>
          <w:tcPr>
            <w:tcW w:w="640" w:type="dxa"/>
            <w:vAlign w:val="bottom"/>
            <w:tcBorders>
              <w:bottom w:val="single" w:sz="8" w:color="auto"/>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29,045</w:t>
            </w:r>
          </w:p>
        </w:tc>
        <w:tc>
          <w:tcPr>
            <w:tcW w:w="2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29,084</w:t>
            </w:r>
          </w:p>
        </w:tc>
        <w:tc>
          <w:tcPr>
            <w:tcW w:w="220" w:type="dxa"/>
            <w:vAlign w:val="bottom"/>
            <w:tcBorders>
              <w:bottom w:val="single" w:sz="8" w:color="auto"/>
            </w:tcBorders>
            <w:shd w:val="clear" w:color="auto" w:fill="CCEEFF"/>
          </w:tcPr>
          <w:p>
            <w:pPr>
              <w:spacing w:after="0"/>
              <w:rPr>
                <w:sz w:val="11"/>
                <w:szCs w:val="11"/>
                <w:color w:val="auto"/>
              </w:rPr>
            </w:pPr>
          </w:p>
        </w:tc>
        <w:tc>
          <w:tcPr>
            <w:tcW w:w="40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right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4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29,036</w:t>
            </w:r>
          </w:p>
        </w:tc>
        <w:tc>
          <w:tcPr>
            <w:tcW w:w="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060" w:type="dxa"/>
            <w:vAlign w:val="bottom"/>
            <w:tcBorders>
              <w:bottom w:val="single" w:sz="8" w:color="CCEEFF"/>
            </w:tcBorders>
          </w:tcPr>
          <w:p>
            <w:pPr>
              <w:ind w:left="60"/>
              <w:spacing w:after="0" w:line="133" w:lineRule="exact"/>
              <w:rPr>
                <w:sz w:val="20"/>
                <w:szCs w:val="20"/>
                <w:color w:val="auto"/>
              </w:rPr>
            </w:pPr>
            <w:r>
              <w:rPr>
                <w:rFonts w:ascii="Arial" w:cs="Arial" w:eastAsia="Arial" w:hAnsi="Arial"/>
                <w:sz w:val="12"/>
                <w:szCs w:val="12"/>
                <w:color w:val="auto"/>
              </w:rPr>
              <w:t>Net income (loss) per share - basic</w:t>
            </w: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0.21</w:t>
            </w:r>
          </w:p>
        </w:tc>
        <w:tc>
          <w:tcPr>
            <w:tcW w:w="2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rPr>
              <w:t>(0.29)</w:t>
            </w:r>
          </w:p>
        </w:tc>
        <w:tc>
          <w:tcPr>
            <w:tcW w:w="260" w:type="dxa"/>
            <w:vAlign w:val="bottom"/>
            <w:tcBorders>
              <w:bottom w:val="single" w:sz="8" w:color="auto"/>
            </w:tcBorders>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0.18</w:t>
            </w: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50"/>
              <w:spacing w:after="0" w:line="133" w:lineRule="exact"/>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(0.98)</w:t>
            </w:r>
          </w:p>
        </w:tc>
        <w:tc>
          <w:tcPr>
            <w:tcW w:w="2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0" w:type="dxa"/>
            <w:vAlign w:val="bottom"/>
            <w:tcBorders>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7060" w:type="dxa"/>
            <w:vAlign w:val="bottom"/>
          </w:tcPr>
          <w:p>
            <w:pPr>
              <w:spacing w:after="0"/>
              <w:rPr>
                <w:sz w:val="20"/>
                <w:szCs w:val="20"/>
                <w:color w:val="auto"/>
              </w:rPr>
            </w:pPr>
            <w:r>
              <w:rPr>
                <w:rFonts w:ascii="Arial" w:cs="Arial" w:eastAsia="Arial" w:hAnsi="Arial"/>
                <w:sz w:val="12"/>
                <w:szCs w:val="12"/>
                <w:color w:val="auto"/>
              </w:rPr>
              <w:t>Income (loss) per share - assuming dilution:</w:t>
            </w: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060" w:type="dxa"/>
            <w:vAlign w:val="bottom"/>
            <w:shd w:val="clear" w:color="auto" w:fill="CCEEFF"/>
          </w:tcPr>
          <w:p>
            <w:pPr>
              <w:ind w:left="60"/>
              <w:spacing w:after="0"/>
              <w:rPr>
                <w:sz w:val="20"/>
                <w:szCs w:val="20"/>
                <w:color w:val="auto"/>
              </w:rPr>
            </w:pPr>
            <w:r>
              <w:rPr>
                <w:rFonts w:ascii="Arial" w:cs="Arial" w:eastAsia="Arial" w:hAnsi="Arial"/>
                <w:sz w:val="12"/>
                <w:szCs w:val="12"/>
                <w:color w:val="auto"/>
              </w:rPr>
              <w:t>Net income (loss)</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5,992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(8,553)</w:t>
            </w:r>
          </w:p>
        </w:tc>
        <w:tc>
          <w:tcPr>
            <w:tcW w:w="26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9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5,354 &lt; /font&gt;</w:t>
            </w:r>
          </w:p>
        </w:tc>
        <w:tc>
          <w:tcPr>
            <w:tcW w:w="40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right w:val="single" w:sz="8" w:color="CCEEFF"/>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2"/>
                <w:szCs w:val="12"/>
                <w:color w:val="auto"/>
              </w:rPr>
              <w:t>$</w:t>
            </w: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(28,530)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060" w:type="dxa"/>
            <w:vAlign w:val="bottom"/>
          </w:tcPr>
          <w:p>
            <w:pPr>
              <w:ind w:left="60"/>
              <w:spacing w:after="0" w:line="133" w:lineRule="exact"/>
              <w:rPr>
                <w:sz w:val="20"/>
                <w:szCs w:val="20"/>
                <w:color w:val="auto"/>
              </w:rPr>
            </w:pPr>
            <w:r>
              <w:rPr>
                <w:rFonts w:ascii="Arial" w:cs="Arial" w:eastAsia="Arial" w:hAnsi="Arial"/>
                <w:sz w:val="12"/>
                <w:szCs w:val="12"/>
                <w:color w:val="auto"/>
              </w:rPr>
              <w:t>Weighted average shares outstanding</w:t>
            </w:r>
          </w:p>
        </w:tc>
        <w:tc>
          <w:tcPr>
            <w:tcW w:w="140" w:type="dxa"/>
            <w:vAlign w:val="bottom"/>
          </w:tcPr>
          <w:p>
            <w:pPr>
              <w:spacing w:after="0"/>
              <w:rPr>
                <w:sz w:val="11"/>
                <w:szCs w:val="11"/>
                <w:color w:val="auto"/>
              </w:rPr>
            </w:pPr>
          </w:p>
        </w:tc>
        <w:tc>
          <w:tcPr>
            <w:tcW w:w="620" w:type="dxa"/>
            <w:vAlign w:val="bottom"/>
          </w:tcPr>
          <w:p>
            <w:pPr>
              <w:jc w:val="right"/>
              <w:ind w:right="80"/>
              <w:spacing w:after="0" w:line="133" w:lineRule="exact"/>
              <w:rPr>
                <w:sz w:val="20"/>
                <w:szCs w:val="20"/>
                <w:color w:val="auto"/>
              </w:rPr>
            </w:pPr>
            <w:r>
              <w:rPr>
                <w:rFonts w:ascii="Arial" w:cs="Arial" w:eastAsia="Arial" w:hAnsi="Arial"/>
                <w:sz w:val="12"/>
                <w:szCs w:val="12"/>
                <w:color w:val="auto"/>
              </w:rPr>
              <w:t>29,098</w:t>
            </w:r>
          </w:p>
        </w:tc>
        <w:tc>
          <w:tcPr>
            <w:tcW w:w="260" w:type="dxa"/>
            <w:vAlign w:val="bottom"/>
          </w:tcPr>
          <w:p>
            <w:pPr>
              <w:spacing w:after="0"/>
              <w:rPr>
                <w:sz w:val="11"/>
                <w:szCs w:val="11"/>
                <w:color w:val="auto"/>
              </w:rPr>
            </w:pPr>
          </w:p>
        </w:tc>
        <w:tc>
          <w:tcPr>
            <w:tcW w:w="64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29,045</w:t>
            </w:r>
          </w:p>
        </w:tc>
        <w:tc>
          <w:tcPr>
            <w:tcW w:w="260" w:type="dxa"/>
            <w:vAlign w:val="bottom"/>
          </w:tcPr>
          <w:p>
            <w:pPr>
              <w:spacing w:after="0"/>
              <w:rPr>
                <w:sz w:val="11"/>
                <w:szCs w:val="11"/>
                <w:color w:val="auto"/>
              </w:rPr>
            </w:pPr>
          </w:p>
        </w:tc>
        <w:tc>
          <w:tcPr>
            <w:tcW w:w="720" w:type="dxa"/>
            <w:vAlign w:val="bottom"/>
          </w:tcPr>
          <w:p>
            <w:pPr>
              <w:jc w:val="right"/>
              <w:ind w:right="200"/>
              <w:spacing w:after="0" w:line="133" w:lineRule="exact"/>
              <w:rPr>
                <w:sz w:val="20"/>
                <w:szCs w:val="20"/>
                <w:color w:val="auto"/>
              </w:rPr>
            </w:pPr>
            <w:r>
              <w:rPr>
                <w:rFonts w:ascii="Arial" w:cs="Arial" w:eastAsia="Arial" w:hAnsi="Arial"/>
                <w:sz w:val="12"/>
                <w:szCs w:val="12"/>
                <w:color w:val="auto"/>
              </w:rPr>
              <w:t>29,084</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29,036</w:t>
            </w: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060" w:type="dxa"/>
            <w:vAlign w:val="bottom"/>
            <w:shd w:val="clear" w:color="auto" w:fill="CCEEFF"/>
          </w:tcPr>
          <w:p>
            <w:pPr>
              <w:ind w:left="60"/>
              <w:spacing w:after="0"/>
              <w:rPr>
                <w:sz w:val="20"/>
                <w:szCs w:val="20"/>
                <w:color w:val="auto"/>
              </w:rPr>
            </w:pPr>
            <w:r>
              <w:rPr>
                <w:rFonts w:ascii="Arial" w:cs="Arial" w:eastAsia="Arial" w:hAnsi="Arial"/>
                <w:sz w:val="12"/>
                <w:szCs w:val="12"/>
                <w:color w:val="auto"/>
              </w:rPr>
              <w:t>Dilutive impact of options and awards outstanding</w:t>
            </w:r>
          </w:p>
        </w:tc>
        <w:tc>
          <w:tcPr>
            <w:tcW w:w="1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2"/>
                <w:szCs w:val="12"/>
                <w:color w:val="auto"/>
              </w:rPr>
              <w:t>9</w:t>
            </w:r>
          </w:p>
        </w:tc>
        <w:tc>
          <w:tcPr>
            <w:tcW w:w="2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11</w:t>
            </w:r>
          </w:p>
        </w:tc>
        <w:tc>
          <w:tcPr>
            <w:tcW w:w="2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13</w:t>
            </w:r>
          </w:p>
        </w:tc>
        <w:tc>
          <w:tcPr>
            <w:tcW w:w="2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060" w:type="dxa"/>
            <w:vAlign w:val="bottom"/>
            <w:tcBorders>
              <w:bottom w:val="single" w:sz="8" w:color="CCEEFF"/>
            </w:tcBorders>
          </w:tcPr>
          <w:p>
            <w:pPr>
              <w:ind w:left="60"/>
              <w:spacing w:after="0" w:line="133" w:lineRule="exact"/>
              <w:rPr>
                <w:sz w:val="20"/>
                <w:szCs w:val="20"/>
                <w:color w:val="auto"/>
              </w:rPr>
            </w:pPr>
            <w:r>
              <w:rPr>
                <w:rFonts w:ascii="Arial" w:cs="Arial" w:eastAsia="Arial" w:hAnsi="Arial"/>
                <w:sz w:val="12"/>
                <w:szCs w:val="12"/>
                <w:color w:val="auto"/>
              </w:rPr>
              <w:t>Weighted average shares and potential dilutive shares outstanding</w:t>
            </w:r>
          </w:p>
        </w:tc>
        <w:tc>
          <w:tcPr>
            <w:tcW w:w="14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80"/>
              <w:spacing w:after="0" w:line="133" w:lineRule="exact"/>
              <w:rPr>
                <w:sz w:val="20"/>
                <w:szCs w:val="20"/>
                <w:color w:val="auto"/>
              </w:rPr>
            </w:pPr>
            <w:r>
              <w:rPr>
                <w:rFonts w:ascii="Arial" w:cs="Arial" w:eastAsia="Arial" w:hAnsi="Arial"/>
                <w:sz w:val="12"/>
                <w:szCs w:val="12"/>
                <w:color w:val="auto"/>
              </w:rPr>
              <w:t>29,107</w:t>
            </w:r>
          </w:p>
        </w:tc>
        <w:tc>
          <w:tcPr>
            <w:tcW w:w="2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29,056</w:t>
            </w: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29,097</w:t>
            </w:r>
          </w:p>
        </w:tc>
        <w:tc>
          <w:tcPr>
            <w:tcW w:w="2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29,046</w:t>
            </w:r>
          </w:p>
        </w:tc>
        <w:tc>
          <w:tcPr>
            <w:tcW w:w="2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7060" w:type="dxa"/>
            <w:vAlign w:val="bottom"/>
            <w:tcBorders>
              <w:bottom w:val="single" w:sz="8" w:color="CCEEFF"/>
            </w:tcBorders>
            <w:shd w:val="clear" w:color="auto" w:fill="CCEEFF"/>
          </w:tcPr>
          <w:p>
            <w:pPr>
              <w:ind w:left="60"/>
              <w:spacing w:after="0" w:line="133" w:lineRule="exact"/>
              <w:rPr>
                <w:sz w:val="20"/>
                <w:szCs w:val="20"/>
                <w:color w:val="auto"/>
              </w:rPr>
            </w:pPr>
            <w:r>
              <w:rPr>
                <w:rFonts w:ascii="Arial" w:cs="Arial" w:eastAsia="Arial" w:hAnsi="Arial"/>
                <w:sz w:val="12"/>
                <w:szCs w:val="12"/>
                <w:color w:val="auto"/>
              </w:rPr>
              <w:t>Net income (loss) per share - assuming dilution</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0.21</w:t>
            </w:r>
          </w:p>
        </w:tc>
        <w:tc>
          <w:tcPr>
            <w:tcW w:w="2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(0.29)</w:t>
            </w:r>
          </w:p>
        </w:tc>
        <w:tc>
          <w:tcPr>
            <w:tcW w:w="26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0.18</w:t>
            </w:r>
          </w:p>
        </w:tc>
        <w:tc>
          <w:tcPr>
            <w:tcW w:w="22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spacing w:after="0"/>
              <w:rPr>
                <w:sz w:val="12"/>
                <w:szCs w:val="12"/>
                <w:color w:val="auto"/>
              </w:rPr>
            </w:pPr>
          </w:p>
        </w:tc>
        <w:tc>
          <w:tcPr>
            <w:tcW w:w="80" w:type="dxa"/>
            <w:vAlign w:val="bottom"/>
            <w:tcBorders>
              <w:bottom w:val="single" w:sz="8" w:color="auto"/>
              <w:right w:val="single" w:sz="8" w:color="CCEEFF"/>
            </w:tcBorders>
            <w:shd w:val="clear" w:color="auto" w:fill="CCEEFF"/>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(0.98)</w:t>
            </w:r>
          </w:p>
        </w:tc>
        <w:tc>
          <w:tcPr>
            <w:tcW w:w="2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80"/>
        <w:spacing w:after="0" w:line="262" w:lineRule="auto"/>
        <w:rPr>
          <w:sz w:val="20"/>
          <w:szCs w:val="20"/>
          <w:color w:val="auto"/>
        </w:rPr>
      </w:pPr>
      <w:r>
        <w:rPr>
          <w:rFonts w:ascii="Arial" w:cs="Arial" w:eastAsia="Arial" w:hAnsi="Arial"/>
          <w:sz w:val="12"/>
          <w:szCs w:val="12"/>
          <w:color w:val="auto"/>
        </w:rPr>
        <w:t>At the end of the third quarters of Fiscal 2010 and Fiscal 2009, there were options outstanding to purchase 934,173 shares and 1,016,564 shares, respectively, of common stock at an average price of $28.07 and $27.29, respectively, which were not included in the computation of diluted income per share because they are considered anti-dilutive under the treasury stock method per ASC 260.</w:t>
      </w:r>
    </w:p>
    <w:p>
      <w:pPr>
        <w:sectPr>
          <w:pgSz w:w="11900" w:h="16900" w:orient="portrait"/>
          <w:cols w:equalWidth="0" w:num="1">
            <w:col w:w="11480"/>
          </w:cols>
          <w:pgMar w:left="220" w:top="125" w:right="199" w:bottom="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13: Comprehensive Income</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Comprehensive income, net of tax, consists of:</w:t>
      </w:r>
    </w:p>
    <w:p>
      <w:pPr>
        <w:spacing w:after="0" w:line="38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6297295" cy="1028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7295" cy="102870"/>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Net income (loss)</w:t>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color w:val="auto"/>
        </w:rPr>
        <w:t>Change in temporary impairment of investments, net of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5027295" cy="914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027295" cy="9144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auto"/>
        </w:rPr>
        <w:t>Amortization of prior service credit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Amortization of actuarial loss</w:t>
      </w:r>
    </w:p>
    <w:p>
      <w:pPr>
        <w:spacing w:after="0" w:line="24" w:lineRule="exact"/>
        <w:rPr>
          <w:sz w:val="20"/>
          <w:szCs w:val="20"/>
          <w:color w:val="auto"/>
        </w:rPr>
      </w:pPr>
    </w:p>
    <w:p>
      <w:pPr>
        <w:spacing w:after="0"/>
        <w:rPr>
          <w:sz w:val="20"/>
          <w:szCs w:val="20"/>
          <w:color w:val="auto"/>
        </w:rPr>
      </w:pPr>
      <w:r>
        <w:rPr>
          <w:rFonts w:ascii="Arial" w:cs="Arial" w:eastAsia="Arial" w:hAnsi="Arial"/>
          <w:sz w:val="12"/>
          <w:szCs w:val="12"/>
          <w:color w:val="auto"/>
        </w:rPr>
        <w:t>Comprehensive income (loss)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 14: Subsequent Event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420"/>
              <w:spacing w:after="0"/>
              <w:rPr>
                <w:sz w:val="20"/>
                <w:szCs w:val="20"/>
                <w:color w:val="auto"/>
              </w:rPr>
            </w:pPr>
            <w:r>
              <w:rPr>
                <w:rFonts w:ascii="Arial" w:cs="Arial" w:eastAsia="Arial" w:hAnsi="Arial"/>
                <w:sz w:val="12"/>
                <w:szCs w:val="12"/>
                <w:b w:val="1"/>
                <w:bCs w:val="1"/>
                <w:color w:val="auto"/>
                <w:w w:val="95"/>
              </w:rPr>
              <w:t>Quarter Ended</w:t>
            </w:r>
          </w:p>
        </w:tc>
        <w:tc>
          <w:tcPr>
            <w:tcW w:w="2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2"/>
                <w:szCs w:val="12"/>
                <w:b w:val="1"/>
                <w:bCs w:val="1"/>
                <w:color w:val="auto"/>
              </w:rPr>
              <w:t>Nine Months Ended</w:t>
            </w:r>
          </w:p>
        </w:tc>
      </w:tr>
      <w:tr>
        <w:trPr>
          <w:trHeight w:val="110"/>
        </w:trPr>
        <w:tc>
          <w:tcPr>
            <w:tcW w:w="120" w:type="dxa"/>
            <w:vAlign w:val="bottom"/>
          </w:tcPr>
          <w:p>
            <w:pPr>
              <w:spacing w:after="0"/>
              <w:rPr>
                <w:sz w:val="9"/>
                <w:szCs w:val="9"/>
                <w:color w:val="auto"/>
              </w:rPr>
            </w:pPr>
          </w:p>
        </w:tc>
        <w:tc>
          <w:tcPr>
            <w:tcW w:w="760" w:type="dxa"/>
            <w:vAlign w:val="bottom"/>
            <w:gridSpan w:val="2"/>
          </w:tcPr>
          <w:p>
            <w:pPr>
              <w:jc w:val="right"/>
              <w:ind w:right="220"/>
              <w:spacing w:after="0" w:line="110" w:lineRule="exact"/>
              <w:rPr>
                <w:sz w:val="20"/>
                <w:szCs w:val="20"/>
                <w:color w:val="auto"/>
              </w:rPr>
            </w:pPr>
            <w:r>
              <w:rPr>
                <w:rFonts w:ascii="Arial" w:cs="Arial" w:eastAsia="Arial" w:hAnsi="Arial"/>
                <w:sz w:val="12"/>
                <w:szCs w:val="12"/>
                <w:b w:val="1"/>
                <w:bCs w:val="1"/>
                <w:color w:val="auto"/>
              </w:rPr>
              <w:t>May 29,</w:t>
            </w:r>
          </w:p>
        </w:tc>
        <w:tc>
          <w:tcPr>
            <w:tcW w:w="102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rPr>
              <w:t>May 30,</w:t>
            </w:r>
          </w:p>
        </w:tc>
        <w:tc>
          <w:tcPr>
            <w:tcW w:w="220" w:type="dxa"/>
            <w:vAlign w:val="bottom"/>
          </w:tcPr>
          <w:p>
            <w:pPr>
              <w:spacing w:after="0"/>
              <w:rPr>
                <w:sz w:val="9"/>
                <w:szCs w:val="9"/>
                <w:color w:val="auto"/>
              </w:rPr>
            </w:pPr>
          </w:p>
        </w:tc>
        <w:tc>
          <w:tcPr>
            <w:tcW w:w="680" w:type="dxa"/>
            <w:vAlign w:val="bottom"/>
          </w:tcPr>
          <w:p>
            <w:pPr>
              <w:jc w:val="right"/>
              <w:ind w:right="140"/>
              <w:spacing w:after="0" w:line="110" w:lineRule="exact"/>
              <w:rPr>
                <w:sz w:val="20"/>
                <w:szCs w:val="20"/>
                <w:color w:val="auto"/>
              </w:rPr>
            </w:pPr>
            <w:r>
              <w:rPr>
                <w:rFonts w:ascii="Arial" w:cs="Arial" w:eastAsia="Arial" w:hAnsi="Arial"/>
                <w:sz w:val="12"/>
                <w:szCs w:val="12"/>
                <w:b w:val="1"/>
                <w:bCs w:val="1"/>
                <w:color w:val="auto"/>
              </w:rPr>
              <w:t>May 29,</w:t>
            </w:r>
          </w:p>
        </w:tc>
        <w:tc>
          <w:tcPr>
            <w:tcW w:w="100" w:type="dxa"/>
            <w:vAlign w:val="bottom"/>
          </w:tcPr>
          <w:p>
            <w:pPr>
              <w:spacing w:after="0"/>
              <w:rPr>
                <w:sz w:val="9"/>
                <w:szCs w:val="9"/>
                <w:color w:val="auto"/>
              </w:rPr>
            </w:pPr>
          </w:p>
        </w:tc>
        <w:tc>
          <w:tcPr>
            <w:tcW w:w="680" w:type="dxa"/>
            <w:vAlign w:val="bottom"/>
          </w:tcPr>
          <w:p>
            <w:pPr>
              <w:jc w:val="right"/>
              <w:ind w:right="140"/>
              <w:spacing w:after="0" w:line="110" w:lineRule="exact"/>
              <w:rPr>
                <w:sz w:val="20"/>
                <w:szCs w:val="20"/>
                <w:color w:val="auto"/>
              </w:rPr>
            </w:pPr>
            <w:r>
              <w:rPr>
                <w:rFonts w:ascii="Arial" w:cs="Arial" w:eastAsia="Arial" w:hAnsi="Arial"/>
                <w:sz w:val="12"/>
                <w:szCs w:val="12"/>
                <w:b w:val="1"/>
                <w:bCs w:val="1"/>
                <w:color w:val="auto"/>
              </w:rPr>
              <w:t>May 30,</w:t>
            </w:r>
          </w:p>
        </w:tc>
      </w:tr>
      <w:tr>
        <w:trPr>
          <w:trHeight w:val="150"/>
        </w:trPr>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b w:val="1"/>
                <w:bCs w:val="1"/>
                <w:color w:val="auto"/>
              </w:rPr>
              <w:t>2010</w:t>
            </w:r>
          </w:p>
        </w:tc>
        <w:tc>
          <w:tcPr>
            <w:tcW w:w="28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660" w:type="dxa"/>
            <w:vAlign w:val="bottom"/>
            <w:tcBorders>
              <w:bottom w:val="single" w:sz="8" w:color="CCEEFF"/>
            </w:tcBorders>
          </w:tcPr>
          <w:p>
            <w:pPr>
              <w:jc w:val="right"/>
              <w:ind w:right="300"/>
              <w:spacing w:after="0"/>
              <w:rPr>
                <w:sz w:val="20"/>
                <w:szCs w:val="20"/>
                <w:color w:val="auto"/>
              </w:rPr>
            </w:pPr>
            <w:r>
              <w:rPr>
                <w:rFonts w:ascii="Arial" w:cs="Arial" w:eastAsia="Arial" w:hAnsi="Arial"/>
                <w:sz w:val="12"/>
                <w:szCs w:val="12"/>
                <w:b w:val="1"/>
                <w:bCs w:val="1"/>
                <w:color w:val="auto"/>
              </w:rPr>
              <w:t>2009</w:t>
            </w:r>
          </w:p>
        </w:tc>
        <w:tc>
          <w:tcPr>
            <w:tcW w:w="220" w:type="dxa"/>
            <w:vAlign w:val="bottom"/>
            <w:tcBorders>
              <w:bottom w:val="single" w:sz="8" w:color="CCEEFF"/>
            </w:tcBorders>
          </w:tcPr>
          <w:p>
            <w:pPr>
              <w:spacing w:after="0"/>
              <w:rPr>
                <w:sz w:val="13"/>
                <w:szCs w:val="13"/>
                <w:color w:val="auto"/>
              </w:rPr>
            </w:pPr>
          </w:p>
        </w:tc>
        <w:tc>
          <w:tcPr>
            <w:tcW w:w="680" w:type="dxa"/>
            <w:vAlign w:val="bottom"/>
            <w:tcBorders>
              <w:bottom w:val="single" w:sz="8" w:color="CCEEFF"/>
            </w:tcBorders>
          </w:tcPr>
          <w:p>
            <w:pPr>
              <w:jc w:val="right"/>
              <w:ind w:right="20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2009</w:t>
            </w:r>
          </w:p>
        </w:tc>
      </w:tr>
      <w:tr>
        <w:trPr>
          <w:trHeight w:val="142"/>
        </w:trPr>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tcBorders>
              <w:right w:val="single" w:sz="8" w:color="CCEEFF"/>
            </w:tcBorders>
          </w:tcPr>
          <w:p>
            <w:pPr>
              <w:jc w:val="right"/>
              <w:spacing w:after="0"/>
              <w:rPr>
                <w:sz w:val="20"/>
                <w:szCs w:val="20"/>
                <w:color w:val="auto"/>
              </w:rPr>
            </w:pPr>
            <w:r>
              <w:rPr>
                <w:rFonts w:ascii="Arial" w:cs="Arial" w:eastAsia="Arial" w:hAnsi="Arial"/>
                <w:sz w:val="12"/>
                <w:szCs w:val="12"/>
                <w:color w:val="auto"/>
              </w:rPr>
              <w:t>5,992</w:t>
            </w:r>
          </w:p>
        </w:tc>
        <w:tc>
          <w:tcPr>
            <w:tcW w:w="2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(8,553)</w:t>
            </w:r>
          </w:p>
        </w:tc>
        <w:tc>
          <w:tcPr>
            <w:tcW w:w="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5,354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(28,530)</w:t>
            </w:r>
          </w:p>
        </w:tc>
      </w:tr>
      <w:tr>
        <w:trPr>
          <w:trHeight w:val="162"/>
        </w:trPr>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(78)</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jc w:val="right"/>
              <w:ind w:right="80"/>
              <w:spacing w:after="0"/>
              <w:rPr>
                <w:sz w:val="20"/>
                <w:szCs w:val="20"/>
                <w:color w:val="auto"/>
              </w:rPr>
            </w:pPr>
            <w:r>
              <w:rPr>
                <w:rFonts w:ascii="Arial" w:cs="Arial" w:eastAsia="Arial" w:hAnsi="Arial"/>
                <w:sz w:val="12"/>
                <w:szCs w:val="12"/>
                <w:color w:val="auto"/>
              </w:rPr>
              <w:t>79</w:t>
            </w:r>
          </w:p>
        </w:tc>
        <w:tc>
          <w:tcPr>
            <w:tcW w:w="220" w:type="dxa"/>
            <w:vAlign w:val="bottom"/>
          </w:tcPr>
          <w:p>
            <w:pPr>
              <w:spacing w:after="0"/>
              <w:rPr>
                <w:sz w:val="14"/>
                <w:szCs w:val="14"/>
                <w:color w:val="auto"/>
              </w:rPr>
            </w:pPr>
          </w:p>
        </w:tc>
        <w:tc>
          <w:tcPr>
            <w:tcW w:w="680" w:type="dxa"/>
            <w:vAlign w:val="bottom"/>
          </w:tcPr>
          <w:p>
            <w:pPr>
              <w:jc w:val="right"/>
              <w:ind w:right="200"/>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680" w:type="dxa"/>
            <w:vAlign w:val="bottom"/>
          </w:tcPr>
          <w:p>
            <w:pPr>
              <w:jc w:val="right"/>
              <w:ind w:right="180"/>
              <w:spacing w:after="0"/>
              <w:rPr>
                <w:sz w:val="20"/>
                <w:szCs w:val="20"/>
                <w:color w:val="auto"/>
              </w:rPr>
            </w:pPr>
            <w:r>
              <w:rPr>
                <w:rFonts w:ascii="Arial" w:cs="Arial" w:eastAsia="Arial" w:hAnsi="Arial"/>
                <w:sz w:val="12"/>
                <w:szCs w:val="12"/>
                <w:color w:val="auto"/>
              </w:rPr>
              <w:t>930</w:t>
            </w:r>
          </w:p>
        </w:tc>
      </w:tr>
      <w:tr>
        <w:trPr>
          <w:trHeight w:val="144"/>
        </w:trPr>
        <w:tc>
          <w:tcPr>
            <w:tcW w:w="120" w:type="dxa"/>
            <w:vAlign w:val="bottom"/>
          </w:tcPr>
          <w:p>
            <w:pPr>
              <w:spacing w:after="0"/>
              <w:rPr>
                <w:sz w:val="12"/>
                <w:szCs w:val="12"/>
                <w:color w:val="auto"/>
              </w:rPr>
            </w:pPr>
          </w:p>
        </w:tc>
        <w:tc>
          <w:tcPr>
            <w:tcW w:w="480" w:type="dxa"/>
            <w:vAlign w:val="bottom"/>
            <w:tcBorders>
              <w:right w:val="single" w:sz="8" w:color="CCEEFF"/>
            </w:tcBorders>
          </w:tcPr>
          <w:p>
            <w:pPr>
              <w:jc w:val="right"/>
              <w:spacing w:after="0"/>
              <w:rPr>
                <w:sz w:val="20"/>
                <w:szCs w:val="20"/>
                <w:color w:val="auto"/>
              </w:rPr>
            </w:pPr>
            <w:r>
              <w:rPr>
                <w:rFonts w:ascii="Arial" w:cs="Arial" w:eastAsia="Arial" w:hAnsi="Arial"/>
                <w:sz w:val="12"/>
                <w:szCs w:val="12"/>
                <w:color w:val="auto"/>
              </w:rPr>
              <w:t>(652)</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6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(656)</w:t>
            </w: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(1,956)</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140"/>
              <w:spacing w:after="0"/>
              <w:rPr>
                <w:sz w:val="20"/>
                <w:szCs w:val="20"/>
                <w:color w:val="auto"/>
              </w:rPr>
            </w:pPr>
            <w:r>
              <w:rPr>
                <w:rFonts w:ascii="Arial" w:cs="Arial" w:eastAsia="Arial" w:hAnsi="Arial"/>
                <w:sz w:val="12"/>
                <w:szCs w:val="12"/>
                <w:color w:val="auto"/>
              </w:rPr>
              <w:t>(1,945)</w:t>
            </w:r>
          </w:p>
        </w:tc>
      </w:tr>
      <w:tr>
        <w:trPr>
          <w:trHeight w:val="144"/>
        </w:trPr>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137</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109</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411</w:t>
            </w: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color w:val="auto"/>
              </w:rPr>
              <w:t>325</w:t>
            </w:r>
          </w:p>
        </w:tc>
      </w:tr>
      <w:tr>
        <w:trPr>
          <w:trHeight w:val="140"/>
        </w:trPr>
        <w:tc>
          <w:tcPr>
            <w:tcW w:w="1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89"/>
              </w:rPr>
              <w:t>$</w:t>
            </w:r>
          </w:p>
        </w:tc>
        <w:tc>
          <w:tcPr>
            <w:tcW w:w="4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5,399</w:t>
            </w:r>
          </w:p>
        </w:tc>
        <w:tc>
          <w:tcPr>
            <w:tcW w:w="28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w w:val="99"/>
              </w:rPr>
              <w:t>(9,021</w:t>
            </w:r>
          </w:p>
        </w:tc>
        <w:tc>
          <w:tcPr>
            <w:tcW w:w="660" w:type="dxa"/>
            <w:vAlign w:val="bottom"/>
            <w:tcBorders>
              <w:bottom w:val="single" w:sz="8" w:color="auto"/>
            </w:tcBorders>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22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200"/>
              <w:spacing w:after="0" w:line="133" w:lineRule="exact"/>
              <w:rPr>
                <w:sz w:val="20"/>
                <w:szCs w:val="20"/>
                <w:color w:val="auto"/>
              </w:rPr>
            </w:pPr>
            <w:r>
              <w:rPr>
                <w:rFonts w:ascii="Arial" w:cs="Arial" w:eastAsia="Arial" w:hAnsi="Arial"/>
                <w:sz w:val="12"/>
                <w:szCs w:val="12"/>
                <w:color w:val="auto"/>
              </w:rPr>
              <w:t>3,828</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ind w:right="140"/>
              <w:spacing w:after="0" w:line="133" w:lineRule="exact"/>
              <w:rPr>
                <w:sz w:val="20"/>
                <w:szCs w:val="20"/>
                <w:color w:val="auto"/>
              </w:rPr>
            </w:pPr>
            <w:r>
              <w:rPr>
                <w:rFonts w:ascii="Arial" w:cs="Arial" w:eastAsia="Arial" w:hAnsi="Arial"/>
                <w:sz w:val="12"/>
                <w:szCs w:val="12"/>
                <w:color w:val="auto"/>
              </w:rPr>
              <w:t>(29,220)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-5020945</wp:posOffset>
            </wp:positionH>
            <wp:positionV relativeFrom="paragraph">
              <wp:posOffset>-113665</wp:posOffset>
            </wp:positionV>
            <wp:extent cx="7292340" cy="102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2340" cy="102870"/>
                    </a:xfrm>
                    <a:prstGeom prst="rect">
                      <a:avLst/>
                    </a:prstGeom>
                    <a:noFill/>
                  </pic:spPr>
                </pic:pic>
              </a:graphicData>
            </a:graphic>
          </wp:anchor>
        </w:drawing>
      </w:r>
    </w:p>
    <w:p>
      <w:pPr>
        <w:spacing w:after="0" w:line="431" w:lineRule="exact"/>
        <w:rPr>
          <w:sz w:val="20"/>
          <w:szCs w:val="20"/>
          <w:color w:val="auto"/>
        </w:rPr>
      </w:pPr>
    </w:p>
    <w:p>
      <w:pPr>
        <w:sectPr>
          <w:pgSz w:w="11900" w:h="16900" w:orient="portrait"/>
          <w:cols w:equalWidth="0" w:num="2">
            <w:col w:w="7180" w:space="720"/>
            <w:col w:w="3580"/>
          </w:cols>
          <w:pgMar w:left="220" w:top="125" w:right="199" w:bottom="0" w:gutter="0" w:footer="0" w:header="0"/>
          <w:type w:val="continuous"/>
        </w:sectPr>
      </w:pPr>
    </w:p>
    <w:p>
      <w:pPr>
        <w:ind w:right="240"/>
        <w:spacing w:after="0" w:line="262" w:lineRule="auto"/>
        <w:rPr>
          <w:sz w:val="20"/>
          <w:szCs w:val="20"/>
          <w:color w:val="auto"/>
        </w:rPr>
      </w:pPr>
      <w:r>
        <w:rPr>
          <w:rFonts w:ascii="Arial" w:cs="Arial" w:eastAsia="Arial" w:hAnsi="Arial"/>
          <w:sz w:val="12"/>
          <w:szCs w:val="12"/>
          <w:color w:val="auto"/>
        </w:rPr>
        <w:t>We evaluated all events or transactions occurring between the balance sheet date and the date of issuance of the financial statements that would require recognition or disclosure in the financial statements. There were no material subsequent events.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Management's Discussion and Analysis of Financial Condition and Results of Operations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It is suggested that this management's discussion be read in conjunction with the Management's Discussion and Analysis included in our Annual Report to Shareholders for the year ended August 29, 2009.</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Forward-Looking Information</w:t>
      </w:r>
    </w:p>
    <w:p>
      <w:pPr>
        <w:spacing w:after="0" w:line="164"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Certain of the matters discussed in this Quarterly Report on Form 1 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significant increase in repurchase obligations, inadequate liquidity or capital resources, availability and price of fuel, a further or continued slowdown in the economy, availability of chassis and other key component parts, sales order cancellation 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 cannot guarantee future results, or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Executive Overview</w:t>
      </w:r>
    </w:p>
    <w:p>
      <w:pPr>
        <w:spacing w:after="0" w:line="18" w:lineRule="exact"/>
        <w:rPr>
          <w:sz w:val="20"/>
          <w:szCs w:val="20"/>
          <w:color w:val="auto"/>
        </w:rPr>
      </w:pPr>
    </w:p>
    <w:p>
      <w:pPr>
        <w:ind w:right="80"/>
        <w:spacing w:after="0" w:line="253" w:lineRule="auto"/>
        <w:rPr>
          <w:sz w:val="20"/>
          <w:szCs w:val="20"/>
          <w:color w:val="auto"/>
        </w:rPr>
      </w:pPr>
      <w:r>
        <w:rPr>
          <w:rFonts w:ascii="Arial" w:cs="Arial" w:eastAsia="Arial" w:hAnsi="Arial"/>
          <w:sz w:val="12"/>
          <w:szCs w:val="12"/>
          <w:color w:val="auto"/>
        </w:rPr>
        <w:t>Winnebago Industries, Inc. is the leading U.S. manufacturer of motor homes with a proud history of manufacturing recreation vehicles for more than 50 years. Our strategy is to manufacture quality motor homes in a profitable manner. We produce all of our motor homes in highly vertically integrated manufacturing facilities in the state of Iowa. We primarily distribute our products through independent dealers throughout the United States and Canada, who then retail the products to the end consumer. We have led the industry with the highest retail market share in the U.S. of combined Class A and Class C motor homes for the past nine calendar years and through April in Calendar 2010. We began producing Class B motor homes in February 2008 and we held the number three position in U.S. retail unit market share for Class B motor homes in Calendar 2009 and through April in Calendar 2010.</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7360" w:type="dxa"/>
            <w:vAlign w:val="bottom"/>
          </w:tcPr>
          <w:p>
            <w:pPr>
              <w:spacing w:after="0"/>
              <w:rPr>
                <w:sz w:val="20"/>
                <w:szCs w:val="20"/>
                <w:color w:val="auto"/>
              </w:rPr>
            </w:pPr>
            <w:r>
              <w:rPr>
                <w:rFonts w:ascii="Arial" w:cs="Arial" w:eastAsia="Arial" w:hAnsi="Arial"/>
                <w:sz w:val="12"/>
                <w:szCs w:val="12"/>
                <w:color w:val="auto"/>
              </w:rPr>
              <w:t>Our retail market share, as reported by Statistical Surveys, Inc. (Statistical Surveys), for the past three calendar years is as follows:</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5"/>
        </w:trPr>
        <w:tc>
          <w:tcPr>
            <w:tcW w:w="7360" w:type="dxa"/>
            <w:vAlign w:val="bottom"/>
          </w:tcPr>
          <w:p>
            <w:pPr>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rPr>
              <w:t>Through April</w:t>
            </w:r>
          </w:p>
        </w:tc>
        <w:tc>
          <w:tcPr>
            <w:tcW w:w="1620" w:type="dxa"/>
            <w:vAlign w:val="bottom"/>
            <w:gridSpan w:val="5"/>
            <w:vMerge w:val="restart"/>
          </w:tcPr>
          <w:p>
            <w:pPr>
              <w:jc w:val="right"/>
              <w:ind w:right="640"/>
              <w:spacing w:after="0"/>
              <w:rPr>
                <w:sz w:val="20"/>
                <w:szCs w:val="20"/>
                <w:color w:val="auto"/>
              </w:rPr>
            </w:pPr>
            <w:r>
              <w:rPr>
                <w:rFonts w:ascii="Arial" w:cs="Arial" w:eastAsia="Arial" w:hAnsi="Arial"/>
                <w:sz w:val="12"/>
                <w:szCs w:val="12"/>
                <w:b w:val="1"/>
                <w:bCs w:val="1"/>
                <w:color w:val="auto"/>
              </w:rPr>
              <w:t>Calendar Year</w:t>
            </w: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4"/>
        </w:trPr>
        <w:tc>
          <w:tcPr>
            <w:tcW w:w="73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620" w:type="dxa"/>
            <w:vAlign w:val="bottom"/>
            <w:gridSpan w:val="5"/>
            <w:vMerge w:val="continue"/>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736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40" w:type="dxa"/>
            <w:vAlign w:val="bottom"/>
            <w:tcBorders>
              <w:top w:val="single" w:sz="8" w:color="auto"/>
              <w:bottom w:val="single" w:sz="8" w:color="auto"/>
            </w:tcBorders>
          </w:tcPr>
          <w:p>
            <w:pPr>
              <w:spacing w:after="0"/>
              <w:rPr>
                <w:sz w:val="10"/>
                <w:szCs w:val="10"/>
                <w:color w:val="auto"/>
              </w:rPr>
            </w:pPr>
          </w:p>
        </w:tc>
        <w:tc>
          <w:tcPr>
            <w:tcW w:w="560" w:type="dxa"/>
            <w:vAlign w:val="bottom"/>
            <w:tcBorders>
              <w:top w:val="single" w:sz="8" w:color="auto"/>
              <w:bottom w:val="single" w:sz="8" w:color="auto"/>
            </w:tcBorders>
          </w:tcPr>
          <w:p>
            <w:pPr>
              <w:jc w:val="right"/>
              <w:ind w:right="200"/>
              <w:spacing w:after="0" w:line="124" w:lineRule="exact"/>
              <w:rPr>
                <w:sz w:val="20"/>
                <w:szCs w:val="20"/>
                <w:color w:val="auto"/>
              </w:rPr>
            </w:pPr>
            <w:r>
              <w:rPr>
                <w:rFonts w:ascii="Arial" w:cs="Arial" w:eastAsia="Arial" w:hAnsi="Arial"/>
                <w:sz w:val="12"/>
                <w:szCs w:val="12"/>
                <w:b w:val="1"/>
                <w:bCs w:val="1"/>
                <w:color w:val="auto"/>
              </w:rPr>
              <w:t>2010</w:t>
            </w:r>
          </w:p>
        </w:tc>
        <w:tc>
          <w:tcPr>
            <w:tcW w:w="560" w:type="dxa"/>
            <w:vAlign w:val="bottom"/>
            <w:tcBorders>
              <w:top w:val="single" w:sz="8" w:color="auto"/>
              <w:bottom w:val="single" w:sz="8" w:color="auto"/>
            </w:tcBorders>
          </w:tcPr>
          <w:p>
            <w:pPr>
              <w:jc w:val="right"/>
              <w:ind w:right="80"/>
              <w:spacing w:after="0" w:line="124" w:lineRule="exact"/>
              <w:rPr>
                <w:sz w:val="20"/>
                <w:szCs w:val="20"/>
                <w:color w:val="auto"/>
              </w:rPr>
            </w:pPr>
            <w:r>
              <w:rPr>
                <w:rFonts w:ascii="Arial" w:cs="Arial" w:eastAsia="Arial" w:hAnsi="Arial"/>
                <w:sz w:val="12"/>
                <w:szCs w:val="12"/>
                <w:b w:val="1"/>
                <w:bCs w:val="1"/>
                <w:color w:val="auto"/>
              </w:rPr>
              <w:t>2009</w:t>
            </w:r>
          </w:p>
        </w:tc>
        <w:tc>
          <w:tcPr>
            <w:tcW w:w="180" w:type="dxa"/>
            <w:vAlign w:val="bottom"/>
            <w:tcBorders>
              <w:bottom w:val="single" w:sz="8" w:color="CCEEFF"/>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80"/>
              <w:spacing w:after="0" w:line="124" w:lineRule="exact"/>
              <w:rPr>
                <w:sz w:val="20"/>
                <w:szCs w:val="20"/>
                <w:color w:val="auto"/>
              </w:rPr>
            </w:pPr>
            <w:r>
              <w:rPr>
                <w:rFonts w:ascii="Arial" w:cs="Arial" w:eastAsia="Arial" w:hAnsi="Arial"/>
                <w:sz w:val="12"/>
                <w:szCs w:val="12"/>
                <w:b w:val="1"/>
                <w:bCs w:val="1"/>
                <w:color w:val="auto"/>
              </w:rPr>
              <w:t>2009</w:t>
            </w:r>
          </w:p>
        </w:tc>
        <w:tc>
          <w:tcPr>
            <w:tcW w:w="820" w:type="dxa"/>
            <w:vAlign w:val="bottom"/>
            <w:tcBorders>
              <w:top w:val="single" w:sz="8" w:color="auto"/>
              <w:bottom w:val="single" w:sz="8" w:color="auto"/>
            </w:tcBorders>
            <w:gridSpan w:val="3"/>
          </w:tcPr>
          <w:p>
            <w:pPr>
              <w:jc w:val="right"/>
              <w:ind w:right="240"/>
              <w:spacing w:after="0" w:line="124" w:lineRule="exact"/>
              <w:rPr>
                <w:sz w:val="20"/>
                <w:szCs w:val="20"/>
                <w:color w:val="auto"/>
              </w:rPr>
            </w:pPr>
            <w:r>
              <w:rPr>
                <w:rFonts w:ascii="Arial" w:cs="Arial" w:eastAsia="Arial" w:hAnsi="Arial"/>
                <w:sz w:val="12"/>
                <w:szCs w:val="12"/>
                <w:b w:val="1"/>
                <w:bCs w:val="1"/>
                <w:color w:val="auto"/>
              </w:rPr>
              <w:t>2008</w:t>
            </w:r>
          </w:p>
        </w:tc>
        <w:tc>
          <w:tcPr>
            <w:tcW w:w="540" w:type="dxa"/>
            <w:vAlign w:val="bottom"/>
            <w:tcBorders>
              <w:top w:val="single" w:sz="8" w:color="auto"/>
              <w:bottom w:val="single" w:sz="8" w:color="auto"/>
            </w:tcBorders>
          </w:tcPr>
          <w:p>
            <w:pPr>
              <w:jc w:val="right"/>
              <w:spacing w:after="0" w:line="124" w:lineRule="exact"/>
              <w:rPr>
                <w:sz w:val="20"/>
                <w:szCs w:val="20"/>
                <w:color w:val="auto"/>
              </w:rPr>
            </w:pPr>
            <w:r>
              <w:rPr>
                <w:rFonts w:ascii="Arial" w:cs="Arial" w:eastAsia="Arial" w:hAnsi="Arial"/>
                <w:sz w:val="12"/>
                <w:szCs w:val="12"/>
                <w:b w:val="1"/>
                <w:bCs w:val="1"/>
                <w:color w:val="auto"/>
              </w:rPr>
              <w:t>2007</w:t>
            </w:r>
          </w:p>
        </w:tc>
        <w:tc>
          <w:tcPr>
            <w:tcW w:w="180" w:type="dxa"/>
            <w:vAlign w:val="bottom"/>
            <w:tcBorders>
              <w:top w:val="single" w:sz="8" w:color="auto"/>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24.4%</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23.0%</w:t>
            </w:r>
          </w:p>
        </w:tc>
        <w:tc>
          <w:tcPr>
            <w:tcW w:w="8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23.0%</w:t>
            </w:r>
          </w:p>
        </w:tc>
        <w:tc>
          <w:tcPr>
            <w:tcW w:w="8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23.3%</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22.1%</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 diesel</w:t>
            </w:r>
          </w:p>
        </w:tc>
        <w:tc>
          <w:tcPr>
            <w:tcW w:w="4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13.4%</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180" w:type="dxa"/>
            <w:vAlign w:val="bottom"/>
            <w:tcBorders>
              <w:bottom w:val="single" w:sz="8" w:color="CCEEFF"/>
            </w:tcBorders>
          </w:tcPr>
          <w:p>
            <w:pPr>
              <w:spacing w:after="0"/>
              <w:rPr>
                <w:sz w:val="12"/>
                <w:szCs w:val="1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11.2%</w:t>
            </w:r>
          </w:p>
        </w:tc>
        <w:tc>
          <w:tcPr>
            <w:tcW w:w="8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2"/>
                <w:szCs w:val="12"/>
                <w:color w:val="auto"/>
              </w:rPr>
              <w:t>8.1%</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9.0%</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73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4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18.4%</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15.7%</w:t>
            </w:r>
          </w:p>
        </w:tc>
        <w:tc>
          <w:tcPr>
            <w:tcW w:w="80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16.6%</w:t>
            </w:r>
          </w:p>
        </w:tc>
        <w:tc>
          <w:tcPr>
            <w:tcW w:w="820" w:type="dxa"/>
            <w:vAlign w:val="bottom"/>
            <w:gridSpan w:val="3"/>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15.4%</w:t>
            </w:r>
          </w:p>
        </w:tc>
        <w:tc>
          <w:tcPr>
            <w:tcW w:w="5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15.3%</w:t>
            </w: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7360" w:type="dxa"/>
            <w:vAlign w:val="bottom"/>
          </w:tcPr>
          <w:p>
            <w:pPr>
              <w:spacing w:after="0"/>
              <w:rPr>
                <w:sz w:val="20"/>
                <w:szCs w:val="20"/>
                <w:color w:val="auto"/>
              </w:rPr>
            </w:pPr>
            <w:r>
              <w:rPr>
                <w:rFonts w:ascii="Arial" w:cs="Arial" w:eastAsia="Arial" w:hAnsi="Arial"/>
                <w:sz w:val="12"/>
                <w:szCs w:val="12"/>
                <w:color w:val="auto"/>
              </w:rPr>
              <w:t>Class C</w:t>
            </w:r>
          </w:p>
        </w:tc>
        <w:tc>
          <w:tcPr>
            <w:tcW w:w="4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21.0%</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22.1%</w:t>
            </w:r>
          </w:p>
        </w:tc>
        <w:tc>
          <w:tcPr>
            <w:tcW w:w="180" w:type="dxa"/>
            <w:vAlign w:val="bottom"/>
          </w:tcPr>
          <w:p>
            <w:pPr>
              <w:spacing w:after="0"/>
              <w:rPr>
                <w:sz w:val="12"/>
                <w:szCs w:val="12"/>
                <w:color w:val="auto"/>
              </w:rPr>
            </w:pPr>
          </w:p>
        </w:tc>
        <w:tc>
          <w:tcPr>
            <w:tcW w:w="6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22.9%</w:t>
            </w:r>
          </w:p>
        </w:tc>
        <w:tc>
          <w:tcPr>
            <w:tcW w:w="8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color w:val="auto"/>
              </w:rPr>
              <w:t>22.9%</w:t>
            </w:r>
          </w:p>
        </w:tc>
        <w:tc>
          <w:tcPr>
            <w:tcW w:w="54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24.0</w:t>
            </w:r>
          </w:p>
        </w:tc>
        <w:tc>
          <w:tcPr>
            <w:tcW w:w="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7360" w:type="dxa"/>
            <w:vAlign w:val="bottom"/>
          </w:tcPr>
          <w:p>
            <w:pPr>
              <w:spacing w:after="0" w:line="133" w:lineRule="exact"/>
              <w:rPr>
                <w:sz w:val="20"/>
                <w:szCs w:val="20"/>
                <w:color w:val="auto"/>
              </w:rPr>
            </w:pPr>
            <w:r>
              <w:rPr>
                <w:rFonts w:ascii="Arial" w:cs="Arial" w:eastAsia="Arial" w:hAnsi="Arial"/>
                <w:sz w:val="12"/>
                <w:szCs w:val="12"/>
                <w:color w:val="auto"/>
              </w:rPr>
              <w:t>Total Class A and C</w:t>
            </w: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19.5%</w:t>
            </w: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18.4%</w:t>
            </w:r>
          </w:p>
        </w:tc>
        <w:tc>
          <w:tcPr>
            <w:tcW w:w="800" w:type="dxa"/>
            <w:vAlign w:val="bottom"/>
            <w:gridSpan w:val="2"/>
          </w:tcPr>
          <w:p>
            <w:pPr>
              <w:jc w:val="right"/>
              <w:ind w:right="20"/>
              <w:spacing w:after="0" w:line="133" w:lineRule="exact"/>
              <w:rPr>
                <w:sz w:val="20"/>
                <w:szCs w:val="20"/>
                <w:color w:val="auto"/>
              </w:rPr>
            </w:pPr>
            <w:r>
              <w:rPr>
                <w:rFonts w:ascii="Arial" w:cs="Arial" w:eastAsia="Arial" w:hAnsi="Arial"/>
                <w:sz w:val="12"/>
                <w:szCs w:val="12"/>
                <w:color w:val="auto"/>
              </w:rPr>
              <w:t>19.2%</w:t>
            </w:r>
          </w:p>
        </w:tc>
        <w:tc>
          <w:tcPr>
            <w:tcW w:w="820" w:type="dxa"/>
            <w:vAlign w:val="bottom"/>
            <w:gridSpan w:val="3"/>
          </w:tcPr>
          <w:p>
            <w:pPr>
              <w:jc w:val="right"/>
              <w:ind w:right="180"/>
              <w:spacing w:after="0" w:line="133" w:lineRule="exact"/>
              <w:rPr>
                <w:sz w:val="20"/>
                <w:szCs w:val="20"/>
                <w:color w:val="auto"/>
              </w:rPr>
            </w:pPr>
            <w:r>
              <w:rPr>
                <w:rFonts w:ascii="Arial" w:cs="Arial" w:eastAsia="Arial" w:hAnsi="Arial"/>
                <w:sz w:val="12"/>
                <w:szCs w:val="12"/>
                <w:color w:val="auto"/>
              </w:rPr>
              <w:t>18.4   %</w:t>
            </w:r>
          </w:p>
        </w:tc>
        <w:tc>
          <w:tcPr>
            <w:tcW w:w="540" w:type="dxa"/>
            <w:vAlign w:val="bottom"/>
          </w:tcPr>
          <w:p>
            <w:pPr>
              <w:jc w:val="right"/>
              <w:spacing w:after="0" w:line="133" w:lineRule="exact"/>
              <w:rPr>
                <w:sz w:val="20"/>
                <w:szCs w:val="20"/>
                <w:color w:val="auto"/>
              </w:rPr>
            </w:pPr>
            <w:r>
              <w:rPr>
                <w:rFonts w:ascii="Arial" w:cs="Arial" w:eastAsia="Arial" w:hAnsi="Arial"/>
                <w:sz w:val="12"/>
                <w:szCs w:val="12"/>
                <w:color w:val="auto"/>
              </w:rPr>
              <w:t>18.7%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9"/>
        </w:trPr>
        <w:tc>
          <w:tcPr>
            <w:tcW w:w="736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20" w:type="dxa"/>
            <w:vAlign w:val="bottom"/>
            <w:tcBorders>
              <w:top w:val="single" w:sz="8" w:color="auto"/>
            </w:tcBorders>
          </w:tcPr>
          <w:p>
            <w:pPr>
              <w:spacing w:after="0"/>
              <w:rPr>
                <w:sz w:val="8"/>
                <w:szCs w:val="8"/>
                <w:color w:val="auto"/>
              </w:rPr>
            </w:pPr>
          </w:p>
        </w:tc>
        <w:tc>
          <w:tcPr>
            <w:tcW w:w="3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7360" w:type="dxa"/>
            <w:vAlign w:val="bottom"/>
            <w:shd w:val="clear" w:color="auto" w:fill="CCEEFF"/>
          </w:tcPr>
          <w:p>
            <w:pPr>
              <w:spacing w:after="0"/>
              <w:rPr>
                <w:sz w:val="20"/>
                <w:szCs w:val="20"/>
                <w:color w:val="auto"/>
              </w:rPr>
            </w:pPr>
            <w:r>
              <w:rPr>
                <w:rFonts w:ascii="Arial" w:cs="Arial" w:eastAsia="Arial" w:hAnsi="Arial"/>
                <w:sz w:val="12"/>
                <w:szCs w:val="12"/>
                <w:color w:val="auto"/>
              </w:rPr>
              <w:t>Class B</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18.1</w:t>
            </w:r>
          </w:p>
        </w:tc>
        <w:tc>
          <w:tcPr>
            <w:tcW w:w="5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18.2%</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2"/>
                <w:szCs w:val="12"/>
                <w:color w:val="auto"/>
              </w:rPr>
              <w:t>3.7%</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27"/>
        </w:trPr>
        <w:tc>
          <w:tcPr>
            <w:tcW w:w="73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-285115</wp:posOffset>
            </wp:positionV>
            <wp:extent cx="710946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9460" cy="10287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Industry Outlook</w:t>
      </w:r>
    </w:p>
    <w:p>
      <w:pPr>
        <w:spacing w:after="0" w:line="18" w:lineRule="exact"/>
        <w:rPr>
          <w:sz w:val="20"/>
          <w:szCs w:val="20"/>
          <w:color w:val="auto"/>
        </w:rPr>
      </w:pPr>
    </w:p>
    <w:p>
      <w:pPr>
        <w:ind w:right="240"/>
        <w:spacing w:after="0" w:line="256" w:lineRule="auto"/>
        <w:rPr>
          <w:sz w:val="20"/>
          <w:szCs w:val="20"/>
          <w:color w:val="auto"/>
        </w:rPr>
      </w:pPr>
      <w:r>
        <w:rPr>
          <w:rFonts w:ascii="Arial" w:cs="Arial" w:eastAsia="Arial" w:hAnsi="Arial"/>
          <w:sz w:val="12"/>
          <w:szCs w:val="12"/>
          <w:color w:val="auto"/>
        </w:rPr>
        <w:t>As evidenced below, the motorized RV market has been significantly impacted by highly unstable market conditions in the past two years, both from a wholesale and a retail perspective. The tightening of the wholesale and retail credit markets, low consumer confidence, the effe ct of the global recession and uncertainty related to fuel prices have placed pressure on retail sales and as a result, dealers have significantly reduced their inventory levels.</w:t>
      </w:r>
    </w:p>
    <w:p>
      <w:pPr>
        <w:spacing w:after="0" w:line="135"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We believe that the bottom level of dealer inventories was reached during the fourth calendar quarter of 2009, as industry shipments finally began to increase over the prior year. Retail registrations did not show that same trend, but were approaching nearly flat comparisons in the first four months of 2010. The current industry outlook for Calendar 2010 per the Recreational Vehicle Industry Association (RVIA) is for wholesale shipments to be higher than retail activity was in Calendar 200 9. Prospective retail demand must improve to support this wholesale shipment forecast.</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2720" w:type="dxa"/>
            <w:vAlign w:val="bottom"/>
          </w:tcPr>
          <w:p>
            <w:pPr>
              <w:jc w:val="right"/>
              <w:ind w:right="2483"/>
              <w:spacing w:after="0"/>
              <w:rPr>
                <w:sz w:val="20"/>
                <w:szCs w:val="20"/>
                <w:color w:val="auto"/>
              </w:rPr>
            </w:pPr>
            <w:r>
              <w:rPr>
                <w:rFonts w:ascii="Arial" w:cs="Arial" w:eastAsia="Arial" w:hAnsi="Arial"/>
                <w:sz w:val="12"/>
                <w:szCs w:val="12"/>
                <w:color w:val="auto"/>
              </w:rPr>
              <w:t>11</w:t>
            </w: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63"/>
        </w:trPr>
        <w:tc>
          <w:tcPr>
            <w:tcW w:w="600" w:type="dxa"/>
            <w:vAlign w:val="bottom"/>
            <w:tcBorders>
              <w:bottom w:val="single" w:sz="8" w:color="9A9A9A"/>
            </w:tcBorders>
          </w:tcPr>
          <w:p>
            <w:pPr>
              <w:spacing w:after="0"/>
              <w:rPr>
                <w:sz w:val="5"/>
                <w:szCs w:val="5"/>
                <w:color w:val="auto"/>
              </w:rPr>
            </w:pPr>
          </w:p>
        </w:tc>
        <w:tc>
          <w:tcPr>
            <w:tcW w:w="340" w:type="dxa"/>
            <w:vAlign w:val="bottom"/>
            <w:tcBorders>
              <w:bottom w:val="single" w:sz="8" w:color="9A9A9A"/>
            </w:tcBorders>
          </w:tcPr>
          <w:p>
            <w:pPr>
              <w:spacing w:after="0"/>
              <w:rPr>
                <w:sz w:val="5"/>
                <w:szCs w:val="5"/>
                <w:color w:val="auto"/>
              </w:rPr>
            </w:pPr>
          </w:p>
        </w:tc>
        <w:tc>
          <w:tcPr>
            <w:tcW w:w="5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2000" w:type="dxa"/>
            <w:vAlign w:val="bottom"/>
            <w:tcBorders>
              <w:bottom w:val="single" w:sz="8" w:color="9A9A9A"/>
            </w:tcBorders>
          </w:tcPr>
          <w:p>
            <w:pPr>
              <w:spacing w:after="0"/>
              <w:rPr>
                <w:sz w:val="5"/>
                <w:szCs w:val="5"/>
                <w:color w:val="auto"/>
              </w:rPr>
            </w:pPr>
          </w:p>
        </w:tc>
        <w:tc>
          <w:tcPr>
            <w:tcW w:w="2120" w:type="dxa"/>
            <w:vAlign w:val="bottom"/>
            <w:tcBorders>
              <w:bottom w:val="single" w:sz="8" w:color="9A9A9A"/>
            </w:tcBorders>
          </w:tcPr>
          <w:p>
            <w:pPr>
              <w:spacing w:after="0"/>
              <w:rPr>
                <w:sz w:val="5"/>
                <w:szCs w:val="5"/>
                <w:color w:val="auto"/>
              </w:rPr>
            </w:pPr>
          </w:p>
        </w:tc>
        <w:tc>
          <w:tcPr>
            <w:tcW w:w="27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r>
      <w:tr>
        <w:trPr>
          <w:trHeight w:val="178"/>
        </w:trPr>
        <w:tc>
          <w:tcPr>
            <w:tcW w:w="600" w:type="dxa"/>
            <w:vAlign w:val="bottom"/>
          </w:tcPr>
          <w:p>
            <w:pPr>
              <w:spacing w:after="0"/>
              <w:rPr>
                <w:sz w:val="15"/>
                <w:szCs w:val="15"/>
                <w:color w:val="auto"/>
              </w:rPr>
            </w:pPr>
          </w:p>
        </w:tc>
        <w:tc>
          <w:tcPr>
            <w:tcW w:w="900" w:type="dxa"/>
            <w:vAlign w:val="bottom"/>
            <w:gridSpan w:val="3"/>
          </w:tcPr>
          <w:p>
            <w:pPr>
              <w:spacing w:after="0"/>
              <w:rPr>
                <w:rFonts w:ascii="Arial" w:cs="Arial" w:eastAsia="Arial" w:hAnsi="Arial"/>
                <w:sz w:val="12"/>
                <w:szCs w:val="12"/>
                <w:color w:val="0000FF"/>
                <w:w w:val="92"/>
              </w:rPr>
            </w:pPr>
            <w:hyperlink w:anchor="page1">
              <w:r>
                <w:rPr>
                  <w:rFonts w:ascii="Arial" w:cs="Arial" w:eastAsia="Arial" w:hAnsi="Arial"/>
                  <w:sz w:val="12"/>
                  <w:szCs w:val="12"/>
                  <w:color w:val="0000FF"/>
                  <w:w w:val="92"/>
                </w:rPr>
                <w:t>Table of Contents</w:t>
              </w:r>
            </w:hyperlink>
          </w:p>
        </w:tc>
        <w:tc>
          <w:tcPr>
            <w:tcW w:w="20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95"/>
        </w:trPr>
        <w:tc>
          <w:tcPr>
            <w:tcW w:w="3500" w:type="dxa"/>
            <w:vAlign w:val="bottom"/>
            <w:gridSpan w:val="5"/>
          </w:tcPr>
          <w:p>
            <w:pPr>
              <w:spacing w:after="0"/>
              <w:rPr>
                <w:sz w:val="20"/>
                <w:szCs w:val="20"/>
                <w:color w:val="auto"/>
              </w:rPr>
            </w:pPr>
            <w:r>
              <w:rPr>
                <w:rFonts w:ascii="Arial" w:cs="Arial" w:eastAsia="Arial" w:hAnsi="Arial"/>
                <w:sz w:val="12"/>
                <w:szCs w:val="12"/>
                <w:color w:val="auto"/>
              </w:rPr>
              <w:t>Key statistics for the motor home industry are as follows:</w:t>
            </w:r>
          </w:p>
        </w:tc>
        <w:tc>
          <w:tcPr>
            <w:tcW w:w="2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2"/>
        </w:trPr>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4900" w:type="dxa"/>
            <w:vAlign w:val="bottom"/>
            <w:tcBorders>
              <w:bottom w:val="single" w:sz="8" w:color="auto"/>
            </w:tcBorders>
            <w:gridSpan w:val="3"/>
          </w:tcPr>
          <w:p>
            <w:pPr>
              <w:ind w:left="1980"/>
              <w:spacing w:after="0"/>
              <w:rPr>
                <w:sz w:val="20"/>
                <w:szCs w:val="20"/>
                <w:color w:val="auto"/>
              </w:rPr>
            </w:pPr>
            <w:r>
              <w:rPr>
                <w:rFonts w:ascii="Arial" w:cs="Arial" w:eastAsia="Arial" w:hAnsi="Arial"/>
                <w:sz w:val="11"/>
                <w:szCs w:val="11"/>
                <w:b w:val="1"/>
                <w:bCs w:val="1"/>
                <w:color w:val="auto"/>
              </w:rPr>
              <w:t>Industry A &amp; C Motor Homes</w:t>
            </w:r>
          </w:p>
        </w:tc>
        <w:tc>
          <w:tcPr>
            <w:tcW w:w="7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spacing w:after="0"/>
              <w:rPr>
                <w:sz w:val="21"/>
                <w:szCs w:val="21"/>
                <w:color w:val="auto"/>
              </w:rPr>
            </w:pPr>
          </w:p>
        </w:tc>
      </w:tr>
      <w:tr>
        <w:trPr>
          <w:trHeight w:val="140"/>
        </w:trPr>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20" w:type="dxa"/>
            <w:vAlign w:val="bottom"/>
          </w:tcPr>
          <w:p>
            <w:pPr>
              <w:jc w:val="center"/>
              <w:ind w:left="87"/>
              <w:spacing w:after="0" w:line="141" w:lineRule="exact"/>
              <w:rPr>
                <w:sz w:val="20"/>
                <w:szCs w:val="20"/>
                <w:color w:val="auto"/>
              </w:rPr>
            </w:pPr>
            <w:r>
              <w:rPr>
                <w:rFonts w:ascii="Arial" w:cs="Arial" w:eastAsia="Arial" w:hAnsi="Arial"/>
                <w:sz w:val="10"/>
                <w:szCs w:val="10"/>
                <w:b w:val="1"/>
                <w:bCs w:val="1"/>
                <w:color w:val="auto"/>
              </w:rPr>
              <w:t>Wholesale Shipments</w:t>
            </w:r>
            <w:r>
              <w:rPr>
                <w:rFonts w:ascii="Arial" w:cs="Arial" w:eastAsia="Arial" w:hAnsi="Arial"/>
                <w:sz w:val="16"/>
                <w:szCs w:val="16"/>
                <w:b w:val="1"/>
                <w:bCs w:val="1"/>
                <w:color w:val="auto"/>
                <w:vertAlign w:val="superscript"/>
              </w:rPr>
              <w:t>(1)</w:t>
            </w:r>
          </w:p>
        </w:tc>
        <w:tc>
          <w:tcPr>
            <w:tcW w:w="2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760" w:type="dxa"/>
            <w:vAlign w:val="bottom"/>
            <w:gridSpan w:val="2"/>
          </w:tcPr>
          <w:p>
            <w:pPr>
              <w:jc w:val="center"/>
              <w:ind w:right="26"/>
              <w:spacing w:after="0" w:line="141" w:lineRule="exact"/>
              <w:rPr>
                <w:sz w:val="20"/>
                <w:szCs w:val="20"/>
                <w:color w:val="auto"/>
              </w:rPr>
            </w:pPr>
            <w:r>
              <w:rPr>
                <w:rFonts w:ascii="Arial" w:cs="Arial" w:eastAsia="Arial" w:hAnsi="Arial"/>
                <w:sz w:val="10"/>
                <w:szCs w:val="10"/>
                <w:b w:val="1"/>
                <w:bCs w:val="1"/>
                <w:color w:val="auto"/>
              </w:rPr>
              <w:t>Retail Registrations</w:t>
            </w:r>
            <w:r>
              <w:rPr>
                <w:rFonts w:ascii="Arial" w:cs="Arial" w:eastAsia="Arial" w:hAnsi="Arial"/>
                <w:sz w:val="16"/>
                <w:szCs w:val="16"/>
                <w:b w:val="1"/>
                <w:bCs w:val="1"/>
                <w:color w:val="auto"/>
                <w:vertAlign w:val="superscript"/>
              </w:rPr>
              <w:t>(2)</w:t>
            </w:r>
          </w:p>
        </w:tc>
        <w:tc>
          <w:tcPr>
            <w:tcW w:w="620" w:type="dxa"/>
            <w:vAlign w:val="bottom"/>
          </w:tcPr>
          <w:p>
            <w:pPr>
              <w:spacing w:after="0"/>
              <w:rPr>
                <w:sz w:val="12"/>
                <w:szCs w:val="12"/>
                <w:color w:val="auto"/>
              </w:rPr>
            </w:pPr>
          </w:p>
        </w:tc>
      </w:tr>
      <w:tr>
        <w:trPr>
          <w:trHeight w:val="137"/>
        </w:trPr>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spacing w:after="0"/>
              <w:rPr>
                <w:sz w:val="11"/>
                <w:szCs w:val="11"/>
                <w:color w:val="auto"/>
              </w:rPr>
            </w:pPr>
          </w:p>
        </w:tc>
        <w:tc>
          <w:tcPr>
            <w:tcW w:w="2120" w:type="dxa"/>
            <w:vAlign w:val="bottom"/>
            <w:tcBorders>
              <w:bottom w:val="single" w:sz="8" w:color="auto"/>
            </w:tcBorders>
          </w:tcPr>
          <w:p>
            <w:pPr>
              <w:jc w:val="center"/>
              <w:ind w:left="107"/>
              <w:spacing w:after="0"/>
              <w:rPr>
                <w:sz w:val="20"/>
                <w:szCs w:val="20"/>
                <w:color w:val="auto"/>
              </w:rPr>
            </w:pPr>
            <w:r>
              <w:rPr>
                <w:rFonts w:ascii="Arial" w:cs="Arial" w:eastAsia="Arial" w:hAnsi="Arial"/>
                <w:sz w:val="11"/>
                <w:szCs w:val="11"/>
                <w:b w:val="1"/>
                <w:bCs w:val="1"/>
                <w:color w:val="auto"/>
                <w:w w:val="97"/>
              </w:rPr>
              <w:t>Calendar Year</w:t>
            </w:r>
          </w:p>
        </w:tc>
        <w:tc>
          <w:tcPr>
            <w:tcW w:w="2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760" w:type="dxa"/>
            <w:vAlign w:val="bottom"/>
            <w:tcBorders>
              <w:bottom w:val="single" w:sz="8" w:color="auto"/>
            </w:tcBorders>
            <w:gridSpan w:val="2"/>
          </w:tcPr>
          <w:p>
            <w:pPr>
              <w:jc w:val="center"/>
              <w:ind w:right="26"/>
              <w:spacing w:after="0"/>
              <w:rPr>
                <w:sz w:val="20"/>
                <w:szCs w:val="20"/>
                <w:color w:val="auto"/>
              </w:rPr>
            </w:pPr>
            <w:r>
              <w:rPr>
                <w:rFonts w:ascii="Arial" w:cs="Arial" w:eastAsia="Arial" w:hAnsi="Arial"/>
                <w:sz w:val="11"/>
                <w:szCs w:val="11"/>
                <w:b w:val="1"/>
                <w:bCs w:val="1"/>
                <w:color w:val="auto"/>
                <w:w w:val="97"/>
              </w:rPr>
              <w:t>Calendar Year</w:t>
            </w:r>
          </w:p>
        </w:tc>
        <w:tc>
          <w:tcPr>
            <w:tcW w:w="620" w:type="dxa"/>
            <w:vAlign w:val="bottom"/>
            <w:tcBorders>
              <w:bottom w:val="single" w:sz="8" w:color="auto"/>
            </w:tcBorders>
          </w:tcPr>
          <w:p>
            <w:pPr>
              <w:spacing w:after="0"/>
              <w:rPr>
                <w:sz w:val="11"/>
                <w:szCs w:val="11"/>
                <w:color w:val="auto"/>
              </w:rPr>
            </w:pPr>
          </w:p>
        </w:tc>
      </w:tr>
      <w:tr>
        <w:trPr>
          <w:trHeight w:val="133"/>
        </w:trPr>
        <w:tc>
          <w:tcPr>
            <w:tcW w:w="60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units)</w:t>
            </w:r>
          </w:p>
        </w:tc>
        <w:tc>
          <w:tcPr>
            <w:tcW w:w="8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1"/>
                <w:szCs w:val="11"/>
                <w:b w:val="1"/>
                <w:bCs w:val="1"/>
                <w:color w:val="auto"/>
              </w:rPr>
              <w:t>2008</w:t>
            </w:r>
          </w:p>
        </w:tc>
        <w:tc>
          <w:tcPr>
            <w:tcW w:w="60" w:type="dxa"/>
            <w:vAlign w:val="bottom"/>
            <w:tcBorders>
              <w:bottom w:val="single" w:sz="8" w:color="auto"/>
            </w:tcBorders>
          </w:tcPr>
          <w:p>
            <w:pPr>
              <w:spacing w:after="0"/>
              <w:rPr>
                <w:sz w:val="11"/>
                <w:szCs w:val="11"/>
                <w:color w:val="auto"/>
              </w:rPr>
            </w:pPr>
          </w:p>
        </w:tc>
        <w:tc>
          <w:tcPr>
            <w:tcW w:w="2000" w:type="dxa"/>
            <w:vAlign w:val="bottom"/>
            <w:tcBorders>
              <w:bottom w:val="single" w:sz="8" w:color="auto"/>
            </w:tcBorders>
          </w:tcPr>
          <w:p>
            <w:pPr>
              <w:jc w:val="right"/>
              <w:ind w:right="1346"/>
              <w:spacing w:after="0"/>
              <w:rPr>
                <w:sz w:val="20"/>
                <w:szCs w:val="20"/>
                <w:color w:val="auto"/>
              </w:rPr>
            </w:pPr>
            <w:r>
              <w:rPr>
                <w:rFonts w:ascii="Arial" w:cs="Arial" w:eastAsia="Arial" w:hAnsi="Arial"/>
                <w:sz w:val="11"/>
                <w:szCs w:val="11"/>
                <w:b w:val="1"/>
                <w:bCs w:val="1"/>
                <w:color w:val="auto"/>
              </w:rPr>
              <w:t>2007</w:t>
            </w:r>
          </w:p>
        </w:tc>
        <w:tc>
          <w:tcPr>
            <w:tcW w:w="2120" w:type="dxa"/>
            <w:vAlign w:val="bottom"/>
            <w:tcBorders>
              <w:bottom w:val="single" w:sz="8" w:color="auto"/>
            </w:tcBorders>
          </w:tcPr>
          <w:p>
            <w:pPr>
              <w:ind w:left="1600"/>
              <w:spacing w:after="0"/>
              <w:rPr>
                <w:sz w:val="20"/>
                <w:szCs w:val="20"/>
                <w:color w:val="auto"/>
              </w:rPr>
            </w:pPr>
            <w:r>
              <w:rPr>
                <w:rFonts w:ascii="Arial" w:cs="Arial" w:eastAsia="Arial" w:hAnsi="Arial"/>
                <w:sz w:val="11"/>
                <w:szCs w:val="11"/>
                <w:b w:val="1"/>
                <w:bCs w:val="1"/>
                <w:color w:val="auto"/>
              </w:rPr>
              <w:t>Decrease</w:t>
            </w:r>
          </w:p>
        </w:tc>
        <w:tc>
          <w:tcPr>
            <w:tcW w:w="2720" w:type="dxa"/>
            <w:vAlign w:val="bottom"/>
            <w:tcBorders>
              <w:bottom w:val="single" w:sz="8" w:color="auto"/>
            </w:tcBorders>
          </w:tcPr>
          <w:p>
            <w:pPr>
              <w:jc w:val="right"/>
              <w:ind w:right="1023"/>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1"/>
                <w:szCs w:val="11"/>
                <w:color w:val="auto"/>
              </w:rPr>
            </w:pPr>
          </w:p>
        </w:tc>
        <w:tc>
          <w:tcPr>
            <w:tcW w:w="70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2008</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1"/>
                <w:szCs w:val="11"/>
                <w:b w:val="1"/>
                <w:bCs w:val="1"/>
                <w:color w:val="auto"/>
              </w:rPr>
              <w:t>2007</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1"/>
                <w:szCs w:val="11"/>
                <w:b w:val="1"/>
                <w:bCs w:val="1"/>
                <w:color w:val="auto"/>
              </w:rPr>
              <w:t>Decrease</w:t>
            </w:r>
          </w:p>
        </w:tc>
        <w:tc>
          <w:tcPr>
            <w:tcW w:w="620" w:type="dxa"/>
            <w:vAlign w:val="bottom"/>
            <w:tcBorders>
              <w:bottom w:val="single" w:sz="8" w:color="auto"/>
            </w:tcBorders>
          </w:tcPr>
          <w:p>
            <w:pPr>
              <w:ind w:left="140"/>
              <w:spacing w:after="0"/>
              <w:rPr>
                <w:sz w:val="20"/>
                <w:szCs w:val="20"/>
                <w:color w:val="auto"/>
              </w:rPr>
            </w:pPr>
            <w:r>
              <w:rPr>
                <w:rFonts w:ascii="Arial" w:cs="Arial" w:eastAsia="Arial" w:hAnsi="Arial"/>
                <w:sz w:val="11"/>
                <w:szCs w:val="11"/>
                <w:b w:val="1"/>
                <w:bCs w:val="1"/>
                <w:color w:val="auto"/>
              </w:rPr>
              <w:t>Change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7268845</wp:posOffset>
            </wp:positionH>
            <wp:positionV relativeFrom="paragraph">
              <wp:posOffset>-793115</wp:posOffset>
            </wp:positionV>
            <wp:extent cx="31115"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-793115</wp:posOffset>
            </wp:positionV>
            <wp:extent cx="31115" cy="368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900" w:orient="portrait"/>
          <w:cols w:equalWidth="0" w:num="1">
            <w:col w:w="11480"/>
          </w:cols>
          <w:pgMar w:left="220" w:top="125" w:right="199" w:bottom="0" w:gutter="0" w:footer="0" w:header="0"/>
          <w:type w:val="continuous"/>
        </w:sectPr>
      </w:pPr>
    </w:p>
    <w:bookmarkStart w:id="6" w:name="page7"/>
    <w:bookmarkEnd w:id="6"/>
    <w:p>
      <w:pPr>
        <w:spacing w:after="0" w:line="62" w:lineRule="exact"/>
        <w:rPr>
          <w:sz w:val="20"/>
          <w:szCs w:val="20"/>
          <w:color w:val="auto"/>
        </w:rPr>
      </w:pPr>
    </w:p>
    <w:tbl>
      <w:tblPr>
        <w:tblLayout w:type="fixed"/>
        <w:tblInd w:w="8" w:type="dxa"/>
        <w:tblCellMar>
          <w:top w:w="0" w:type="dxa"/>
          <w:left w:w="0" w:type="dxa"/>
          <w:bottom w:w="0" w:type="dxa"/>
          <w:right w:w="0" w:type="dxa"/>
        </w:tblCellMar>
      </w:tblPr>
      <w:tr>
        <w:trPr>
          <w:trHeight w:val="162"/>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First quarter</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10,400</w:t>
            </w:r>
          </w:p>
        </w:tc>
        <w:tc>
          <w:tcPr>
            <w:tcW w:w="180" w:type="dxa"/>
            <w:vAlign w:val="bottom"/>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13,600</w:t>
            </w:r>
          </w:p>
        </w:tc>
        <w:tc>
          <w:tcPr>
            <w:tcW w:w="266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(3,200)</w:t>
            </w:r>
          </w:p>
        </w:tc>
        <w:tc>
          <w:tcPr>
            <w:tcW w:w="140" w:type="dxa"/>
            <w:vAlign w:val="bottom"/>
            <w:shd w:val="clear" w:color="auto" w:fill="CCEEFF"/>
          </w:tcPr>
          <w:p>
            <w:pPr>
              <w:spacing w:after="0"/>
              <w:rPr>
                <w:sz w:val="14"/>
                <w:szCs w:val="14"/>
                <w:color w:val="auto"/>
              </w:rPr>
            </w:pPr>
          </w:p>
        </w:tc>
        <w:tc>
          <w:tcPr>
            <w:tcW w:w="252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(23.5)%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8,400</w:t>
            </w:r>
          </w:p>
        </w:tc>
        <w:tc>
          <w:tcPr>
            <w:tcW w:w="52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11,000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(2,600)</w:t>
            </w:r>
          </w:p>
        </w:tc>
        <w:tc>
          <w:tcPr>
            <w:tcW w:w="14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1"/>
                <w:szCs w:val="11"/>
                <w:color w:val="auto"/>
              </w:rPr>
              <w:t>Second quarter</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8,600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15,000</w:t>
            </w:r>
          </w:p>
        </w:tc>
        <w:tc>
          <w:tcPr>
            <w:tcW w:w="26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(6,400)</w:t>
            </w:r>
          </w:p>
        </w:tc>
        <w:tc>
          <w:tcPr>
            <w:tcW w:w="140" w:type="dxa"/>
            <w:vAlign w:val="bottom"/>
          </w:tcPr>
          <w:p>
            <w:pPr>
              <w:spacing w:after="0"/>
              <w:rPr>
                <w:sz w:val="12"/>
                <w:szCs w:val="12"/>
                <w:color w:val="auto"/>
              </w:rPr>
            </w:pPr>
          </w:p>
        </w:tc>
        <w:tc>
          <w:tcPr>
            <w:tcW w:w="2520" w:type="dxa"/>
            <w:vAlign w:val="bottom"/>
          </w:tcPr>
          <w:p>
            <w:pPr>
              <w:jc w:val="right"/>
              <w:ind w:right="485"/>
              <w:spacing w:after="0"/>
              <w:rPr>
                <w:sz w:val="20"/>
                <w:szCs w:val="20"/>
                <w:color w:val="auto"/>
              </w:rPr>
            </w:pPr>
            <w:r>
              <w:rPr>
                <w:rFonts w:ascii="Arial" w:cs="Arial" w:eastAsia="Arial" w:hAnsi="Arial"/>
                <w:sz w:val="11"/>
                <w:szCs w:val="11"/>
                <w:color w:val="auto"/>
              </w:rPr>
              <w:t>(42.7)%</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9,400</w:t>
            </w:r>
          </w:p>
        </w:tc>
        <w:tc>
          <w:tcPr>
            <w:tcW w:w="520" w:type="dxa"/>
            <w:vAlign w:val="bottom"/>
          </w:tcPr>
          <w:p>
            <w:pPr>
              <w:spacing w:after="0"/>
              <w:rPr>
                <w:sz w:val="12"/>
                <w:szCs w:val="12"/>
                <w:color w:val="auto"/>
              </w:rPr>
            </w:pPr>
          </w:p>
        </w:tc>
        <w:tc>
          <w:tcPr>
            <w:tcW w:w="580" w:type="dxa"/>
            <w:vAlign w:val="bottom"/>
          </w:tcPr>
          <w:p>
            <w:pPr>
              <w:ind w:left="40"/>
              <w:spacing w:after="0"/>
              <w:rPr>
                <w:sz w:val="20"/>
                <w:szCs w:val="20"/>
                <w:color w:val="auto"/>
              </w:rPr>
            </w:pPr>
            <w:r>
              <w:rPr>
                <w:rFonts w:ascii="Arial" w:cs="Arial" w:eastAsia="Arial" w:hAnsi="Arial"/>
                <w:sz w:val="11"/>
                <w:szCs w:val="11"/>
                <w:color w:val="auto"/>
              </w:rPr>
              <w:t>14,600</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(5,200)</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(35.6)%</w:t>
            </w: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Third quarter</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4,600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12,400</w:t>
            </w:r>
          </w:p>
        </w:tc>
        <w:tc>
          <w:tcPr>
            <w:tcW w:w="2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(7,800)</w:t>
            </w:r>
          </w:p>
        </w:tc>
        <w:tc>
          <w:tcPr>
            <w:tcW w:w="140" w:type="dxa"/>
            <w:vAlign w:val="bottom"/>
            <w:shd w:val="clear" w:color="auto" w:fill="CCEEFF"/>
          </w:tcPr>
          <w:p>
            <w:pPr>
              <w:spacing w:after="0"/>
              <w:rPr>
                <w:sz w:val="12"/>
                <w:szCs w:val="12"/>
                <w:color w:val="auto"/>
              </w:rPr>
            </w:pPr>
          </w:p>
        </w:tc>
        <w:tc>
          <w:tcPr>
            <w:tcW w:w="252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(62.9)%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6,100</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&lt; /font&gt;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11,700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(5,600)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(47.9)%</w:t>
            </w:r>
          </w:p>
        </w:tc>
        <w:tc>
          <w:tcPr>
            <w:tcW w:w="0" w:type="dxa"/>
            <w:vAlign w:val="bottom"/>
          </w:tcPr>
          <w:p>
            <w:pPr>
              <w:spacing w:after="0"/>
              <w:rPr>
                <w:sz w:val="1"/>
                <w:szCs w:val="1"/>
                <w:color w:val="auto"/>
              </w:rPr>
            </w:pPr>
          </w:p>
        </w:tc>
      </w:tr>
      <w:tr>
        <w:trPr>
          <w:trHeight w:val="144"/>
        </w:trPr>
        <w:tc>
          <w:tcPr>
            <w:tcW w:w="9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Fourth quarter</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2,800</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11,300</w:t>
            </w:r>
          </w:p>
        </w:tc>
        <w:tc>
          <w:tcPr>
            <w:tcW w:w="2660" w:type="dxa"/>
            <w:vAlign w:val="bottom"/>
            <w:tcBorders>
              <w:bottom w:val="single" w:sz="8" w:color="auto"/>
            </w:tcBorders>
          </w:tcPr>
          <w:p>
            <w:pPr>
              <w:ind w:left="40"/>
              <w:spacing w:after="0"/>
              <w:rPr>
                <w:sz w:val="20"/>
                <w:szCs w:val="20"/>
                <w:color w:val="auto"/>
              </w:rPr>
            </w:pPr>
            <w:r>
              <w:rPr>
                <w:rFonts w:ascii="Arial" w:cs="Arial" w:eastAsia="Arial" w:hAnsi="Arial"/>
                <w:sz w:val="12"/>
                <w:szCs w:val="12"/>
                <w:color w:val="auto"/>
              </w:rPr>
              <w:t>&lt; font style="font-family:inherit;font-size:10pt;"&gt;</w:t>
            </w:r>
          </w:p>
        </w:tc>
        <w:tc>
          <w:tcPr>
            <w:tcW w:w="8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1"/>
                <w:szCs w:val="11"/>
                <w:color w:val="auto"/>
              </w:rPr>
              <w:t>(8,500)</w:t>
            </w: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jc w:val="right"/>
              <w:ind w:right="485"/>
              <w:spacing w:after="0"/>
              <w:rPr>
                <w:sz w:val="20"/>
                <w:szCs w:val="20"/>
                <w:color w:val="auto"/>
              </w:rPr>
            </w:pPr>
            <w:r>
              <w:rPr>
                <w:rFonts w:ascii="Arial" w:cs="Arial" w:eastAsia="Arial" w:hAnsi="Arial"/>
                <w:sz w:val="11"/>
                <w:szCs w:val="11"/>
                <w:color w:val="auto"/>
              </w:rPr>
              <w:t>(75.2)%</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3,900</w:t>
            </w: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8,000</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(4,100)</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(51.2)%</w:t>
            </w:r>
          </w:p>
        </w:tc>
        <w:tc>
          <w:tcPr>
            <w:tcW w:w="0" w:type="dxa"/>
            <w:vAlign w:val="bottom"/>
          </w:tcPr>
          <w:p>
            <w:pPr>
              <w:spacing w:after="0"/>
              <w:rPr>
                <w:sz w:val="1"/>
                <w:szCs w:val="1"/>
                <w:color w:val="auto"/>
              </w:rPr>
            </w:pPr>
          </w:p>
        </w:tc>
      </w:tr>
      <w:tr>
        <w:trPr>
          <w:trHeight w:val="140"/>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tcBorders>
              <w:bottom w:val="single" w:sz="8" w:color="auto"/>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26,400</w:t>
            </w:r>
          </w:p>
        </w:tc>
        <w:tc>
          <w:tcPr>
            <w:tcW w:w="18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52,300</w:t>
            </w:r>
          </w:p>
        </w:tc>
        <w:tc>
          <w:tcPr>
            <w:tcW w:w="26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(25,900)</w:t>
            </w:r>
          </w:p>
        </w:tc>
        <w:tc>
          <w:tcPr>
            <w:tcW w:w="140" w:type="dxa"/>
            <w:vAlign w:val="bottom"/>
            <w:tcBorders>
              <w:bottom w:val="single" w:sz="8" w:color="auto"/>
            </w:tcBorders>
            <w:shd w:val="clear" w:color="auto" w:fill="CCEEFF"/>
          </w:tcPr>
          <w:p>
            <w:pPr>
              <w:spacing w:after="0"/>
              <w:rPr>
                <w:sz w:val="12"/>
                <w:szCs w:val="12"/>
                <w:color w:val="auto"/>
              </w:rPr>
            </w:pPr>
          </w:p>
        </w:tc>
        <w:tc>
          <w:tcPr>
            <w:tcW w:w="252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1"/>
                <w:szCs w:val="11"/>
                <w:color w:val="auto"/>
              </w:rPr>
              <w:t>(49.5)%</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27,800</w:t>
            </w:r>
          </w:p>
        </w:tc>
        <w:tc>
          <w:tcPr>
            <w:tcW w:w="5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45,300</w:t>
            </w:r>
          </w:p>
        </w:tc>
        <w:tc>
          <w:tcPr>
            <w:tcW w:w="7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(17,500)</w:t>
            </w:r>
          </w:p>
        </w:tc>
        <w:tc>
          <w:tcPr>
            <w:tcW w:w="1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(38.6)%</w:t>
            </w:r>
          </w:p>
        </w:tc>
        <w:tc>
          <w:tcPr>
            <w:tcW w:w="0" w:type="dxa"/>
            <w:vAlign w:val="bottom"/>
          </w:tcPr>
          <w:p>
            <w:pPr>
              <w:spacing w:after="0"/>
              <w:rPr>
                <w:sz w:val="1"/>
                <w:szCs w:val="1"/>
                <w:color w:val="auto"/>
              </w:rPr>
            </w:pPr>
          </w:p>
        </w:tc>
      </w:tr>
      <w:tr>
        <w:trPr>
          <w:trHeight w:val="216"/>
        </w:trPr>
        <w:tc>
          <w:tcPr>
            <w:tcW w:w="9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1"/>
                <w:szCs w:val="11"/>
                <w:b w:val="1"/>
                <w:bCs w:val="1"/>
                <w:color w:val="auto"/>
                <w:w w:val="99"/>
              </w:rPr>
              <w:t>(Decrease)</w:t>
            </w:r>
          </w:p>
        </w:tc>
        <w:tc>
          <w:tcPr>
            <w:tcW w:w="2520" w:type="dxa"/>
            <w:vAlign w:val="bottom"/>
          </w:tcPr>
          <w:p>
            <w:pPr>
              <w:spacing w:after="0"/>
              <w:rPr>
                <w:sz w:val="18"/>
                <w:szCs w:val="18"/>
                <w:color w:val="auto"/>
              </w:rPr>
            </w:pPr>
          </w:p>
        </w:tc>
        <w:tc>
          <w:tcPr>
            <w:tcW w:w="600" w:type="dxa"/>
            <w:vAlign w:val="bottom"/>
            <w:gridSpan w:val="2"/>
          </w:tcPr>
          <w:p>
            <w:pPr>
              <w:jc w:val="right"/>
              <w:ind w:right="65"/>
              <w:spacing w:after="0"/>
              <w:rPr>
                <w:sz w:val="20"/>
                <w:szCs w:val="20"/>
                <w:color w:val="auto"/>
              </w:rPr>
            </w:pPr>
            <w:r>
              <w:rPr>
                <w:rFonts w:ascii="Arial" w:cs="Arial" w:eastAsia="Arial" w:hAnsi="Arial"/>
                <w:sz w:val="11"/>
                <w:szCs w:val="11"/>
                <w:b w:val="1"/>
                <w:bCs w:val="1"/>
                <w:color w:val="auto"/>
              </w:rPr>
              <w:t>2009</w:t>
            </w:r>
          </w:p>
        </w:tc>
        <w:tc>
          <w:tcPr>
            <w:tcW w:w="5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3"/>
        </w:trPr>
        <w:tc>
          <w:tcPr>
            <w:tcW w:w="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units)</w:t>
            </w:r>
          </w:p>
        </w:tc>
        <w:tc>
          <w:tcPr>
            <w:tcW w:w="56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b w:val="1"/>
                <w:bCs w:val="1"/>
                <w:color w:val="auto"/>
              </w:rPr>
              <w:t>2009</w:t>
            </w:r>
          </w:p>
        </w:tc>
        <w:tc>
          <w:tcPr>
            <w:tcW w:w="1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2008</w:t>
            </w:r>
          </w:p>
        </w:tc>
        <w:tc>
          <w:tcPr>
            <w:tcW w:w="26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Increase</w:t>
            </w:r>
          </w:p>
        </w:tc>
        <w:tc>
          <w:tcPr>
            <w:tcW w:w="2520" w:type="dxa"/>
            <w:vAlign w:val="bottom"/>
            <w:tcBorders>
              <w:bottom w:val="single" w:sz="8" w:color="auto"/>
            </w:tcBorders>
          </w:tcPr>
          <w:p>
            <w:pPr>
              <w:jc w:val="right"/>
              <w:ind w:right="1025"/>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color w:val="auto"/>
                <w:w w:val="91"/>
              </w:rPr>
              <w:t>&lt; /td&gt;</w:t>
            </w:r>
          </w:p>
        </w:tc>
        <w:tc>
          <w:tcPr>
            <w:tcW w:w="5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2008</w:t>
            </w:r>
          </w:p>
        </w:tc>
        <w:tc>
          <w:tcPr>
            <w:tcW w:w="8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Decrease</w:t>
            </w: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First quarter</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2,200</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10,400</w:t>
            </w:r>
          </w:p>
        </w:tc>
        <w:tc>
          <w:tcPr>
            <w:tcW w:w="26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(8,200)</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(78.8)%</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4,200</w:t>
            </w:r>
          </w:p>
        </w:tc>
        <w:tc>
          <w:tcPr>
            <w:tcW w:w="520" w:type="dxa"/>
            <w:vAlign w:val="bottom"/>
            <w:shd w:val="clear" w:color="auto" w:fill="CCEEFF"/>
          </w:tcPr>
          <w:p>
            <w:pPr>
              <w:spacing w:after="0"/>
              <w:rPr>
                <w:sz w:val="11"/>
                <w:szCs w:val="11"/>
                <w:color w:val="auto"/>
              </w:rPr>
            </w:pPr>
          </w:p>
        </w:tc>
        <w:tc>
          <w:tcPr>
            <w:tcW w:w="580" w:type="dxa"/>
            <w:vAlign w:val="bottom"/>
            <w:shd w:val="clear" w:color="auto" w:fill="CCEEFF"/>
          </w:tcPr>
          <w:p>
            <w:pPr>
              <w:ind w:left="40"/>
              <w:spacing w:after="0"/>
              <w:rPr>
                <w:sz w:val="20"/>
                <w:szCs w:val="20"/>
                <w:color w:val="auto"/>
              </w:rPr>
            </w:pPr>
            <w:r>
              <w:rPr>
                <w:rFonts w:ascii="Arial" w:cs="Arial" w:eastAsia="Arial" w:hAnsi="Arial"/>
                <w:sz w:val="11"/>
                <w:szCs w:val="11"/>
                <w:color w:val="auto"/>
              </w:rPr>
              <w:t>8,400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(4,200)</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1"/>
                <w:szCs w:val="11"/>
                <w:color w:val="auto"/>
              </w:rPr>
              <w:t>Second quarter</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2,900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8,600</w:t>
            </w:r>
          </w:p>
        </w:tc>
        <w:tc>
          <w:tcPr>
            <w:tcW w:w="2660" w:type="dxa"/>
            <w:vAlign w:val="bottom"/>
          </w:tcPr>
          <w:p>
            <w:pPr>
              <w:spacing w:after="0"/>
              <w:rPr>
                <w:sz w:val="12"/>
                <w:szCs w:val="12"/>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(5,700)</w:t>
            </w:r>
          </w:p>
        </w:tc>
        <w:tc>
          <w:tcPr>
            <w:tcW w:w="140" w:type="dxa"/>
            <w:vAlign w:val="bottom"/>
          </w:tcPr>
          <w:p>
            <w:pPr>
              <w:spacing w:after="0"/>
              <w:rPr>
                <w:sz w:val="12"/>
                <w:szCs w:val="12"/>
                <w:color w:val="auto"/>
              </w:rPr>
            </w:pPr>
          </w:p>
        </w:tc>
        <w:tc>
          <w:tcPr>
            <w:tcW w:w="2520" w:type="dxa"/>
            <w:vAlign w:val="bottom"/>
          </w:tcPr>
          <w:p>
            <w:pPr>
              <w:jc w:val="right"/>
              <w:ind w:right="485"/>
              <w:spacing w:after="0"/>
              <w:rPr>
                <w:sz w:val="20"/>
                <w:szCs w:val="20"/>
                <w:color w:val="auto"/>
              </w:rPr>
            </w:pPr>
            <w:r>
              <w:rPr>
                <w:rFonts w:ascii="Arial" w:cs="Arial" w:eastAsia="Arial" w:hAnsi="Arial"/>
                <w:sz w:val="11"/>
                <w:szCs w:val="11"/>
                <w:color w:val="auto"/>
              </w:rPr>
              <w:t>(66.3)%</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5,800</w:t>
            </w:r>
          </w:p>
        </w:tc>
        <w:tc>
          <w:tcPr>
            <w:tcW w:w="520" w:type="dxa"/>
            <w:vAlign w:val="bottom"/>
          </w:tcPr>
          <w:p>
            <w:pPr>
              <w:spacing w:after="0"/>
              <w:rPr>
                <w:sz w:val="12"/>
                <w:szCs w:val="12"/>
                <w:color w:val="auto"/>
              </w:rPr>
            </w:pP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9,400</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(3,600)</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(38.3)%</w:t>
            </w: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Third quarter</w:t>
            </w:r>
          </w:p>
        </w:tc>
        <w:tc>
          <w:tcPr>
            <w:tcW w:w="5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1"/>
                <w:szCs w:val="11"/>
                <w:color w:val="auto"/>
              </w:rPr>
              <w:t>2,900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4,600</w:t>
            </w:r>
          </w:p>
        </w:tc>
        <w:tc>
          <w:tcPr>
            <w:tcW w:w="2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(1,700)</w:t>
            </w:r>
          </w:p>
        </w:tc>
        <w:tc>
          <w:tcPr>
            <w:tcW w:w="140" w:type="dxa"/>
            <w:vAlign w:val="bottom"/>
            <w:shd w:val="clear" w:color="auto" w:fill="CCEEFF"/>
          </w:tcPr>
          <w:p>
            <w:pPr>
              <w:spacing w:after="0"/>
              <w:rPr>
                <w:sz w:val="12"/>
                <w:szCs w:val="12"/>
                <w:color w:val="auto"/>
              </w:rPr>
            </w:pPr>
          </w:p>
        </w:tc>
        <w:tc>
          <w:tcPr>
            <w:tcW w:w="252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(37.0)%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4,700</w:t>
            </w:r>
          </w:p>
        </w:tc>
        <w:tc>
          <w:tcPr>
            <w:tcW w:w="520" w:type="dxa"/>
            <w:vAlign w:val="bottom"/>
            <w:shd w:val="clear" w:color="auto" w:fill="CCEEFF"/>
          </w:tcPr>
          <w:p>
            <w:pPr>
              <w:jc w:val="right"/>
              <w:ind w:right="414"/>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6,100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(1,400)</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(23.0)%</w:t>
            </w:r>
          </w:p>
        </w:tc>
        <w:tc>
          <w:tcPr>
            <w:tcW w:w="0" w:type="dxa"/>
            <w:vAlign w:val="bottom"/>
          </w:tcPr>
          <w:p>
            <w:pPr>
              <w:spacing w:after="0"/>
              <w:rPr>
                <w:sz w:val="1"/>
                <w:szCs w:val="1"/>
                <w:color w:val="auto"/>
              </w:rPr>
            </w:pPr>
          </w:p>
        </w:tc>
      </w:tr>
      <w:tr>
        <w:trPr>
          <w:trHeight w:val="144"/>
        </w:trPr>
        <w:tc>
          <w:tcPr>
            <w:tcW w:w="9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Fourth quarter</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4,000</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2,800</w:t>
            </w:r>
          </w:p>
        </w:tc>
        <w:tc>
          <w:tcPr>
            <w:tcW w:w="2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1,200</w:t>
            </w: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jc w:val="right"/>
              <w:ind w:right="505"/>
              <w:spacing w:after="0"/>
              <w:rPr>
                <w:sz w:val="20"/>
                <w:szCs w:val="20"/>
                <w:color w:val="auto"/>
              </w:rPr>
            </w:pPr>
            <w:r>
              <w:rPr>
                <w:rFonts w:ascii="Arial" w:cs="Arial" w:eastAsia="Arial" w:hAnsi="Arial"/>
                <w:sz w:val="11"/>
                <w:szCs w:val="11"/>
                <w:color w:val="auto"/>
              </w:rPr>
              <w:t>42.9%</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3,500</w:t>
            </w: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3,900</w:t>
            </w:r>
          </w:p>
        </w:tc>
        <w:tc>
          <w:tcPr>
            <w:tcW w:w="7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1"/>
                <w:szCs w:val="11"/>
                <w:color w:val="auto"/>
              </w:rPr>
              <w:t>(400)</w:t>
            </w: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w:t>
            </w:r>
          </w:p>
        </w:tc>
        <w:tc>
          <w:tcPr>
            <w:tcW w:w="0" w:type="dxa"/>
            <w:vAlign w:val="bottom"/>
          </w:tcPr>
          <w:p>
            <w:pPr>
              <w:spacing w:after="0"/>
              <w:rPr>
                <w:sz w:val="1"/>
                <w:szCs w:val="1"/>
                <w:color w:val="auto"/>
              </w:rPr>
            </w:pPr>
          </w:p>
        </w:tc>
      </w:tr>
      <w:tr>
        <w:trPr>
          <w:trHeight w:val="140"/>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12,000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26,400</w:t>
            </w:r>
          </w:p>
        </w:tc>
        <w:tc>
          <w:tcPr>
            <w:tcW w:w="26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(14,400)</w:t>
            </w:r>
          </w:p>
        </w:tc>
        <w:tc>
          <w:tcPr>
            <w:tcW w:w="160" w:type="dxa"/>
            <w:vAlign w:val="bottom"/>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520" w:type="dxa"/>
            <w:vAlign w:val="bottom"/>
            <w:shd w:val="clear" w:color="auto" w:fill="CCEEFF"/>
          </w:tcPr>
          <w:p>
            <w:pPr>
              <w:jc w:val="right"/>
              <w:ind w:right="485"/>
              <w:spacing w:after="0"/>
              <w:rPr>
                <w:sz w:val="20"/>
                <w:szCs w:val="20"/>
                <w:color w:val="auto"/>
              </w:rPr>
            </w:pPr>
            <w:r>
              <w:rPr>
                <w:rFonts w:ascii="Arial" w:cs="Arial" w:eastAsia="Arial" w:hAnsi="Arial"/>
                <w:sz w:val="11"/>
                <w:szCs w:val="11"/>
                <w:color w:val="auto"/>
              </w:rPr>
              <w:t>(54.5)%</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18,200</w:t>
            </w: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27,800</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(9,600)</w:t>
            </w:r>
          </w:p>
        </w:tc>
        <w:tc>
          <w:tcPr>
            <w:tcW w:w="140" w:type="dxa"/>
            <w:vAlign w:val="bottom"/>
            <w:shd w:val="clear" w:color="auto" w:fill="CCEEFF"/>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(34.5)%</w:t>
            </w:r>
          </w:p>
        </w:tc>
        <w:tc>
          <w:tcPr>
            <w:tcW w:w="0" w:type="dxa"/>
            <w:vAlign w:val="bottom"/>
          </w:tcPr>
          <w:p>
            <w:pPr>
              <w:spacing w:after="0"/>
              <w:rPr>
                <w:sz w:val="1"/>
                <w:szCs w:val="1"/>
                <w:color w:val="auto"/>
              </w:rPr>
            </w:pPr>
          </w:p>
        </w:tc>
      </w:tr>
      <w:tr>
        <w:trPr>
          <w:trHeight w:val="135"/>
        </w:trPr>
        <w:tc>
          <w:tcPr>
            <w:tcW w:w="940" w:type="dxa"/>
            <w:vAlign w:val="bottom"/>
            <w:tcBorders>
              <w:top w:val="single" w:sz="8" w:color="CCEEFF"/>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66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tcPr>
          <w:p>
            <w:pPr>
              <w:jc w:val="right"/>
              <w:ind w:right="2225"/>
              <w:spacing w:after="0" w:line="136" w:lineRule="exact"/>
              <w:rPr>
                <w:sz w:val="20"/>
                <w:szCs w:val="20"/>
                <w:color w:val="auto"/>
              </w:rPr>
            </w:pPr>
            <w:r>
              <w:rPr>
                <w:rFonts w:ascii="Arial" w:cs="Arial" w:eastAsia="Arial" w:hAnsi="Arial"/>
                <w:sz w:val="12"/>
                <w:szCs w:val="12"/>
                <w:color w:val="auto"/>
                <w:w w:val="85"/>
              </w:rPr>
              <w:t>&lt; div</w:t>
            </w:r>
          </w:p>
        </w:tc>
        <w:tc>
          <w:tcPr>
            <w:tcW w:w="60" w:type="dxa"/>
            <w:vAlign w:val="bottom"/>
            <w:tcBorders>
              <w:top w:val="single" w:sz="8" w:color="CCEEFF"/>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940" w:type="dxa"/>
            <w:vAlign w:val="bottom"/>
          </w:tcPr>
          <w:p>
            <w:pPr>
              <w:spacing w:after="0"/>
              <w:rPr>
                <w:sz w:val="12"/>
                <w:szCs w:val="12"/>
                <w:color w:val="auto"/>
              </w:rPr>
            </w:pPr>
          </w:p>
        </w:tc>
        <w:tc>
          <w:tcPr>
            <w:tcW w:w="560" w:type="dxa"/>
            <w:vAlign w:val="bottom"/>
            <w:vMerge w:val="restart"/>
          </w:tcPr>
          <w:p>
            <w:pPr>
              <w:jc w:val="right"/>
              <w:ind w:right="206"/>
              <w:spacing w:after="0"/>
              <w:rPr>
                <w:sz w:val="20"/>
                <w:szCs w:val="20"/>
                <w:color w:val="auto"/>
              </w:rPr>
            </w:pPr>
            <w:r>
              <w:rPr>
                <w:rFonts w:ascii="Arial" w:cs="Arial" w:eastAsia="Arial" w:hAnsi="Arial"/>
                <w:sz w:val="12"/>
                <w:szCs w:val="12"/>
                <w:color w:val="auto"/>
                <w:w w:val="91"/>
              </w:rPr>
              <w:t>&lt; /td&gt;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20" w:type="dxa"/>
            <w:vAlign w:val="bottom"/>
          </w:tcPr>
          <w:p>
            <w:pPr>
              <w:spacing w:after="0"/>
              <w:rPr>
                <w:sz w:val="20"/>
                <w:szCs w:val="20"/>
                <w:color w:val="auto"/>
              </w:rPr>
            </w:pPr>
            <w:r>
              <w:rPr>
                <w:rFonts w:ascii="Arial" w:cs="Arial" w:eastAsia="Arial" w:hAnsi="Arial"/>
                <w:sz w:val="12"/>
                <w:szCs w:val="12"/>
                <w:color w:val="auto"/>
                <w:w w:val="92"/>
              </w:rPr>
              <w:t>style="overflow:hidden;height:10.66666664px;font-</w:t>
            </w:r>
          </w:p>
        </w:tc>
        <w:tc>
          <w:tcPr>
            <w:tcW w:w="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94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20" w:type="dxa"/>
            <w:vAlign w:val="bottom"/>
          </w:tcPr>
          <w:p>
            <w:pPr>
              <w:spacing w:after="0"/>
              <w:rPr>
                <w:sz w:val="20"/>
                <w:szCs w:val="20"/>
                <w:color w:val="auto"/>
              </w:rPr>
            </w:pPr>
            <w:r>
              <w:rPr>
                <w:rFonts w:ascii="Arial" w:cs="Arial" w:eastAsia="Arial" w:hAnsi="Arial"/>
                <w:sz w:val="12"/>
                <w:szCs w:val="12"/>
                <w:color w:val="auto"/>
              </w:rPr>
              <w:t>size:10pt;"&gt;</w:t>
            </w: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9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units)</w:t>
            </w:r>
          </w:p>
        </w:tc>
        <w:tc>
          <w:tcPr>
            <w:tcW w:w="5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2010</w:t>
            </w: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1"/>
                <w:szCs w:val="11"/>
                <w:b w:val="1"/>
                <w:bCs w:val="1"/>
                <w:color w:val="auto"/>
              </w:rPr>
              <w:t>2009</w:t>
            </w:r>
          </w:p>
        </w:tc>
        <w:tc>
          <w:tcPr>
            <w:tcW w:w="266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jc w:val="center"/>
              <w:spacing w:after="0"/>
              <w:rPr>
                <w:sz w:val="20"/>
                <w:szCs w:val="20"/>
                <w:color w:val="auto"/>
              </w:rPr>
            </w:pPr>
            <w:r>
              <w:rPr>
                <w:rFonts w:ascii="Arial" w:cs="Arial" w:eastAsia="Arial" w:hAnsi="Arial"/>
                <w:sz w:val="11"/>
                <w:szCs w:val="11"/>
                <w:b w:val="1"/>
                <w:bCs w:val="1"/>
                <w:color w:val="auto"/>
                <w:w w:val="98"/>
              </w:rPr>
              <w:t>Increase</w:t>
            </w:r>
          </w:p>
        </w:tc>
        <w:tc>
          <w:tcPr>
            <w:tcW w:w="2520" w:type="dxa"/>
            <w:vAlign w:val="bottom"/>
            <w:tcBorders>
              <w:bottom w:val="single" w:sz="8" w:color="auto"/>
            </w:tcBorders>
          </w:tcPr>
          <w:p>
            <w:pPr>
              <w:jc w:val="right"/>
              <w:ind w:right="1025"/>
              <w:spacing w:after="0"/>
              <w:rPr>
                <w:sz w:val="20"/>
                <w:szCs w:val="20"/>
                <w:color w:val="auto"/>
              </w:rPr>
            </w:pPr>
            <w:r>
              <w:rPr>
                <w:rFonts w:ascii="Arial" w:cs="Arial" w:eastAsia="Arial" w:hAnsi="Arial"/>
                <w:sz w:val="11"/>
                <w:szCs w:val="11"/>
                <w:b w:val="1"/>
                <w:bCs w:val="1"/>
                <w:color w:val="auto"/>
              </w:rPr>
              <w:t>Change</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2010</w:t>
            </w: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b w:val="1"/>
                <w:bCs w:val="1"/>
                <w:color w:val="auto"/>
              </w:rPr>
              <w:t>2009</w:t>
            </w:r>
          </w:p>
        </w:tc>
        <w:tc>
          <w:tcPr>
            <w:tcW w:w="880" w:type="dxa"/>
            <w:vAlign w:val="bottom"/>
            <w:tcBorders>
              <w:bottom w:val="single" w:sz="8" w:color="auto"/>
            </w:tcBorders>
            <w:gridSpan w:val="3"/>
          </w:tcPr>
          <w:p>
            <w:pPr>
              <w:ind w:left="200"/>
              <w:spacing w:after="0"/>
              <w:rPr>
                <w:sz w:val="20"/>
                <w:szCs w:val="20"/>
                <w:color w:val="auto"/>
              </w:rPr>
            </w:pPr>
            <w:r>
              <w:rPr>
                <w:rFonts w:ascii="Arial" w:cs="Arial" w:eastAsia="Arial" w:hAnsi="Arial"/>
                <w:sz w:val="11"/>
                <w:szCs w:val="11"/>
                <w:b w:val="1"/>
                <w:bCs w:val="1"/>
                <w:color w:val="auto"/>
              </w:rPr>
              <w:t>Decrease</w:t>
            </w:r>
          </w:p>
        </w:tc>
        <w:tc>
          <w:tcPr>
            <w:tcW w:w="5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33"/>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First quarter</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5,300</w:t>
            </w:r>
          </w:p>
        </w:tc>
        <w:tc>
          <w:tcPr>
            <w:tcW w:w="18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2,200</w:t>
            </w:r>
          </w:p>
        </w:tc>
        <w:tc>
          <w:tcPr>
            <w:tcW w:w="26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3,100</w:t>
            </w:r>
          </w:p>
        </w:tc>
        <w:tc>
          <w:tcPr>
            <w:tcW w:w="140" w:type="dxa"/>
            <w:vAlign w:val="bottom"/>
            <w:shd w:val="clear" w:color="auto" w:fill="CCEEFF"/>
          </w:tcPr>
          <w:p>
            <w:pPr>
              <w:spacing w:after="0"/>
              <w:rPr>
                <w:sz w:val="11"/>
                <w:szCs w:val="11"/>
                <w:color w:val="auto"/>
              </w:rPr>
            </w:pPr>
          </w:p>
        </w:tc>
        <w:tc>
          <w:tcPr>
            <w:tcW w:w="2520" w:type="dxa"/>
            <w:vAlign w:val="bottom"/>
            <w:shd w:val="clear" w:color="auto" w:fill="CCEEFF"/>
          </w:tcPr>
          <w:p>
            <w:pPr>
              <w:jc w:val="right"/>
              <w:ind w:right="505"/>
              <w:spacing w:after="0"/>
              <w:rPr>
                <w:sz w:val="20"/>
                <w:szCs w:val="20"/>
                <w:color w:val="auto"/>
              </w:rPr>
            </w:pPr>
            <w:r>
              <w:rPr>
                <w:rFonts w:ascii="Arial" w:cs="Arial" w:eastAsia="Arial" w:hAnsi="Arial"/>
                <w:sz w:val="11"/>
                <w:szCs w:val="11"/>
                <w:color w:val="auto"/>
              </w:rPr>
              <w:t>140.9%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4,000</w:t>
            </w:r>
          </w:p>
        </w:tc>
        <w:tc>
          <w:tcPr>
            <w:tcW w:w="520" w:type="dxa"/>
            <w:vAlign w:val="bottom"/>
            <w:shd w:val="clear" w:color="auto" w:fill="CCEEFF"/>
          </w:tcPr>
          <w:p>
            <w:pPr>
              <w:jc w:val="right"/>
              <w:ind w:right="314"/>
              <w:spacing w:after="0"/>
              <w:rPr>
                <w:sz w:val="20"/>
                <w:szCs w:val="20"/>
                <w:color w:val="auto"/>
              </w:rPr>
            </w:pPr>
            <w:r>
              <w:rPr>
                <w:rFonts w:ascii="Arial" w:cs="Arial" w:eastAsia="Arial" w:hAnsi="Arial"/>
                <w:sz w:val="7"/>
                <w:szCs w:val="7"/>
                <w:b w:val="1"/>
                <w:bCs w:val="1"/>
                <w:color w:val="auto"/>
              </w:rPr>
              <w:t>(4)</w:t>
            </w: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4,200</w:t>
            </w:r>
          </w:p>
        </w:tc>
        <w:tc>
          <w:tcPr>
            <w:tcW w:w="5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(200)</w:t>
            </w:r>
          </w:p>
        </w:tc>
        <w:tc>
          <w:tcPr>
            <w:tcW w:w="160" w:type="dxa"/>
            <w:vAlign w:val="bottom"/>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w:t>
            </w:r>
          </w:p>
        </w:tc>
        <w:tc>
          <w:tcPr>
            <w:tcW w:w="0" w:type="dxa"/>
            <w:vAlign w:val="bottom"/>
          </w:tcPr>
          <w:p>
            <w:pPr>
              <w:spacing w:after="0"/>
              <w:rPr>
                <w:sz w:val="1"/>
                <w:szCs w:val="1"/>
                <w:color w:val="auto"/>
              </w:rPr>
            </w:pPr>
          </w:p>
        </w:tc>
      </w:tr>
      <w:tr>
        <w:trPr>
          <w:trHeight w:val="144"/>
        </w:trPr>
        <w:tc>
          <w:tcPr>
            <w:tcW w:w="940" w:type="dxa"/>
            <w:vAlign w:val="bottom"/>
          </w:tcPr>
          <w:p>
            <w:pPr>
              <w:spacing w:after="0"/>
              <w:rPr>
                <w:sz w:val="20"/>
                <w:szCs w:val="20"/>
                <w:color w:val="auto"/>
              </w:rPr>
            </w:pPr>
            <w:r>
              <w:rPr>
                <w:rFonts w:ascii="Arial" w:cs="Arial" w:eastAsia="Arial" w:hAnsi="Arial"/>
                <w:sz w:val="11"/>
                <w:szCs w:val="11"/>
                <w:color w:val="auto"/>
              </w:rPr>
              <w:t>April</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2,400</w:t>
            </w:r>
          </w:p>
        </w:tc>
        <w:tc>
          <w:tcPr>
            <w:tcW w:w="18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1"/>
                <w:szCs w:val="11"/>
                <w:color w:val="auto"/>
              </w:rPr>
              <w:t>900</w:t>
            </w:r>
          </w:p>
        </w:tc>
        <w:tc>
          <w:tcPr>
            <w:tcW w:w="2660" w:type="dxa"/>
            <w:vAlign w:val="bottom"/>
          </w:tcPr>
          <w:p>
            <w:pPr>
              <w:spacing w:after="0"/>
              <w:rPr>
                <w:sz w:val="12"/>
                <w:szCs w:val="12"/>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1"/>
                <w:szCs w:val="11"/>
                <w:color w:val="auto"/>
              </w:rPr>
              <w:t>1,500</w:t>
            </w:r>
          </w:p>
        </w:tc>
        <w:tc>
          <w:tcPr>
            <w:tcW w:w="140" w:type="dxa"/>
            <w:vAlign w:val="bottom"/>
          </w:tcPr>
          <w:p>
            <w:pPr>
              <w:spacing w:after="0"/>
              <w:rPr>
                <w:sz w:val="12"/>
                <w:szCs w:val="12"/>
                <w:color w:val="auto"/>
              </w:rPr>
            </w:pPr>
          </w:p>
        </w:tc>
        <w:tc>
          <w:tcPr>
            <w:tcW w:w="2520" w:type="dxa"/>
            <w:vAlign w:val="bottom"/>
          </w:tcPr>
          <w:p>
            <w:pPr>
              <w:jc w:val="right"/>
              <w:ind w:right="505"/>
              <w:spacing w:after="0"/>
              <w:rPr>
                <w:sz w:val="20"/>
                <w:szCs w:val="20"/>
                <w:color w:val="auto"/>
              </w:rPr>
            </w:pPr>
            <w:r>
              <w:rPr>
                <w:rFonts w:ascii="Arial" w:cs="Arial" w:eastAsia="Arial" w:hAnsi="Arial"/>
                <w:sz w:val="11"/>
                <w:szCs w:val="11"/>
                <w:color w:val="auto"/>
              </w:rPr>
              <w:t>166.7%</w:t>
            </w: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2,100</w:t>
            </w:r>
          </w:p>
        </w:tc>
        <w:tc>
          <w:tcPr>
            <w:tcW w:w="520" w:type="dxa"/>
            <w:vAlign w:val="bottom"/>
          </w:tcPr>
          <w:p>
            <w:pPr>
              <w:jc w:val="right"/>
              <w:ind w:right="314"/>
              <w:spacing w:after="0"/>
              <w:rPr>
                <w:sz w:val="20"/>
                <w:szCs w:val="20"/>
                <w:color w:val="auto"/>
              </w:rPr>
            </w:pPr>
            <w:r>
              <w:rPr>
                <w:rFonts w:ascii="Arial" w:cs="Arial" w:eastAsia="Arial" w:hAnsi="Arial"/>
                <w:sz w:val="7"/>
                <w:szCs w:val="7"/>
                <w:b w:val="1"/>
                <w:bCs w:val="1"/>
                <w:color w:val="auto"/>
              </w:rPr>
              <w:t>(4)</w:t>
            </w:r>
          </w:p>
        </w:tc>
        <w:tc>
          <w:tcPr>
            <w:tcW w:w="580" w:type="dxa"/>
            <w:vAlign w:val="bottom"/>
          </w:tcPr>
          <w:p>
            <w:pPr>
              <w:jc w:val="right"/>
              <w:ind w:right="6"/>
              <w:spacing w:after="0"/>
              <w:rPr>
                <w:sz w:val="20"/>
                <w:szCs w:val="20"/>
                <w:color w:val="auto"/>
              </w:rPr>
            </w:pPr>
            <w:r>
              <w:rPr>
                <w:rFonts w:ascii="Arial" w:cs="Arial" w:eastAsia="Arial" w:hAnsi="Arial"/>
                <w:sz w:val="11"/>
                <w:szCs w:val="11"/>
                <w:color w:val="auto"/>
              </w:rPr>
              <w:t>2,200</w:t>
            </w:r>
          </w:p>
        </w:tc>
        <w:tc>
          <w:tcPr>
            <w:tcW w:w="740" w:type="dxa"/>
            <w:vAlign w:val="bottom"/>
            <w:gridSpan w:val="2"/>
          </w:tcPr>
          <w:p>
            <w:pPr>
              <w:jc w:val="right"/>
              <w:ind w:right="120"/>
              <w:spacing w:after="0"/>
              <w:rPr>
                <w:sz w:val="20"/>
                <w:szCs w:val="20"/>
                <w:color w:val="auto"/>
              </w:rPr>
            </w:pPr>
            <w:r>
              <w:rPr>
                <w:rFonts w:ascii="Arial" w:cs="Arial" w:eastAsia="Arial" w:hAnsi="Arial"/>
                <w:sz w:val="11"/>
                <w:szCs w:val="11"/>
                <w:color w:val="auto"/>
              </w:rPr>
              <w:t>(100)</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(4.5)%</w:t>
            </w:r>
          </w:p>
        </w:tc>
        <w:tc>
          <w:tcPr>
            <w:tcW w:w="0" w:type="dxa"/>
            <w:vAlign w:val="bottom"/>
          </w:tcPr>
          <w:p>
            <w:pPr>
              <w:spacing w:after="0"/>
              <w:rPr>
                <w:sz w:val="1"/>
                <w:szCs w:val="1"/>
                <w:color w:val="auto"/>
              </w:rPr>
            </w:pPr>
          </w:p>
        </w:tc>
      </w:tr>
      <w:tr>
        <w:trPr>
          <w:trHeight w:val="144"/>
        </w:trPr>
        <w:tc>
          <w:tcPr>
            <w:tcW w:w="940" w:type="dxa"/>
            <w:vAlign w:val="bottom"/>
            <w:shd w:val="clear" w:color="auto" w:fill="CCEEFF"/>
          </w:tcPr>
          <w:p>
            <w:pPr>
              <w:spacing w:after="0"/>
              <w:rPr>
                <w:sz w:val="20"/>
                <w:szCs w:val="20"/>
                <w:color w:val="auto"/>
              </w:rPr>
            </w:pPr>
            <w:r>
              <w:rPr>
                <w:rFonts w:ascii="Arial" w:cs="Arial" w:eastAsia="Arial" w:hAnsi="Arial"/>
                <w:sz w:val="11"/>
                <w:szCs w:val="11"/>
                <w:color w:val="auto"/>
              </w:rPr>
              <w:t>May</w:t>
            </w:r>
          </w:p>
        </w:tc>
        <w:tc>
          <w:tcPr>
            <w:tcW w:w="560" w:type="dxa"/>
            <w:vAlign w:val="bottom"/>
            <w:tcBorders>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2,600</w:t>
            </w:r>
          </w:p>
        </w:tc>
        <w:tc>
          <w:tcPr>
            <w:tcW w:w="1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1,100</w:t>
            </w:r>
          </w:p>
        </w:tc>
        <w:tc>
          <w:tcPr>
            <w:tcW w:w="266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1,500</w:t>
            </w:r>
          </w:p>
        </w:tc>
        <w:tc>
          <w:tcPr>
            <w:tcW w:w="140" w:type="dxa"/>
            <w:vAlign w:val="bottom"/>
            <w:shd w:val="clear" w:color="auto" w:fill="CCEEFF"/>
          </w:tcPr>
          <w:p>
            <w:pPr>
              <w:spacing w:after="0"/>
              <w:rPr>
                <w:sz w:val="12"/>
                <w:szCs w:val="12"/>
                <w:color w:val="auto"/>
              </w:rPr>
            </w:pPr>
          </w:p>
        </w:tc>
        <w:tc>
          <w:tcPr>
            <w:tcW w:w="2520" w:type="dxa"/>
            <w:vAlign w:val="bottom"/>
            <w:shd w:val="clear" w:color="auto" w:fill="CCEEFF"/>
          </w:tcPr>
          <w:p>
            <w:pPr>
              <w:jc w:val="right"/>
              <w:ind w:right="505"/>
              <w:spacing w:after="0"/>
              <w:rPr>
                <w:sz w:val="20"/>
                <w:szCs w:val="20"/>
                <w:color w:val="auto"/>
              </w:rPr>
            </w:pPr>
            <w:r>
              <w:rPr>
                <w:rFonts w:ascii="Arial" w:cs="Arial" w:eastAsia="Arial" w:hAnsi="Arial"/>
                <w:sz w:val="11"/>
                <w:szCs w:val="11"/>
                <w:color w:val="auto"/>
              </w:rPr>
              <w:t>136.4%</w:t>
            </w:r>
          </w:p>
        </w:tc>
        <w:tc>
          <w:tcPr>
            <w:tcW w:w="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58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1,700</w:t>
            </w: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June - December</w:t>
            </w: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10,700</w:t>
            </w: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6"/>
                <w:szCs w:val="6"/>
                <w:b w:val="1"/>
                <w:bCs w:val="1"/>
                <w:color w:val="auto"/>
                <w:w w:val="81"/>
              </w:rPr>
              <w:t>(3)</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7,800</w:t>
            </w:r>
          </w:p>
        </w:tc>
        <w:tc>
          <w:tcPr>
            <w:tcW w:w="26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1"/>
                <w:szCs w:val="11"/>
                <w:color w:val="auto"/>
              </w:rPr>
              <w:t>2,900</w:t>
            </w:r>
          </w:p>
        </w:tc>
        <w:tc>
          <w:tcPr>
            <w:tcW w:w="140" w:type="dxa"/>
            <w:vAlign w:val="bottom"/>
            <w:tcBorders>
              <w:bottom w:val="single" w:sz="8" w:color="auto"/>
            </w:tcBorders>
          </w:tcPr>
          <w:p>
            <w:pPr>
              <w:spacing w:after="0"/>
              <w:rPr>
                <w:sz w:val="12"/>
                <w:szCs w:val="12"/>
                <w:color w:val="auto"/>
              </w:rPr>
            </w:pPr>
          </w:p>
        </w:tc>
        <w:tc>
          <w:tcPr>
            <w:tcW w:w="2520" w:type="dxa"/>
            <w:vAlign w:val="bottom"/>
            <w:tcBorders>
              <w:bottom w:val="single" w:sz="8" w:color="auto"/>
            </w:tcBorders>
          </w:tcPr>
          <w:p>
            <w:pPr>
              <w:jc w:val="right"/>
              <w:ind w:right="505"/>
              <w:spacing w:after="0"/>
              <w:rPr>
                <w:sz w:val="20"/>
                <w:szCs w:val="20"/>
                <w:color w:val="auto"/>
              </w:rPr>
            </w:pPr>
            <w:r>
              <w:rPr>
                <w:rFonts w:ascii="Arial" w:cs="Arial" w:eastAsia="Arial" w:hAnsi="Arial"/>
                <w:sz w:val="11"/>
                <w:szCs w:val="11"/>
                <w:color w:val="auto"/>
              </w:rPr>
              <w:t>37.2%</w:t>
            </w: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10,100</w:t>
            </w:r>
          </w:p>
        </w:tc>
        <w:tc>
          <w:tcPr>
            <w:tcW w:w="5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color w:val="auto"/>
              </w:rPr>
              <w:t>Total</w:t>
            </w:r>
          </w:p>
        </w:tc>
        <w:tc>
          <w:tcPr>
            <w:tcW w:w="560" w:type="dxa"/>
            <w:vAlign w:val="bottom"/>
            <w:tcBorders>
              <w:bottom w:val="single" w:sz="8" w:color="auto"/>
              <w:right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21,000</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6"/>
                <w:szCs w:val="6"/>
                <w:b w:val="1"/>
                <w:bCs w:val="1"/>
                <w:color w:val="auto"/>
                <w:w w:val="81"/>
              </w:rPr>
              <w:t>(3)</w:t>
            </w:r>
          </w:p>
        </w:tc>
        <w:tc>
          <w:tcPr>
            <w:tcW w:w="5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1"/>
                <w:szCs w:val="11"/>
                <w:color w:val="auto"/>
              </w:rPr>
              <w:t>12,000</w:t>
            </w:r>
          </w:p>
        </w:tc>
        <w:tc>
          <w:tcPr>
            <w:tcW w:w="26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9, 000</w:t>
            </w:r>
          </w:p>
        </w:tc>
        <w:tc>
          <w:tcPr>
            <w:tcW w:w="140" w:type="dxa"/>
            <w:vAlign w:val="bottom"/>
            <w:tcBorders>
              <w:bottom w:val="single" w:sz="8" w:color="auto"/>
            </w:tcBorders>
            <w:shd w:val="clear" w:color="auto" w:fill="CCEEFF"/>
          </w:tcPr>
          <w:p>
            <w:pPr>
              <w:spacing w:after="0"/>
              <w:rPr>
                <w:sz w:val="12"/>
                <w:szCs w:val="12"/>
                <w:color w:val="auto"/>
              </w:rPr>
            </w:pPr>
          </w:p>
        </w:tc>
        <w:tc>
          <w:tcPr>
            <w:tcW w:w="2520" w:type="dxa"/>
            <w:vAlign w:val="bottom"/>
            <w:tcBorders>
              <w:bottom w:val="single" w:sz="8" w:color="auto"/>
            </w:tcBorders>
            <w:shd w:val="clear" w:color="auto" w:fill="CCEEFF"/>
          </w:tcPr>
          <w:p>
            <w:pPr>
              <w:jc w:val="right"/>
              <w:ind w:right="505"/>
              <w:spacing w:after="0"/>
              <w:rPr>
                <w:sz w:val="20"/>
                <w:szCs w:val="20"/>
                <w:color w:val="auto"/>
              </w:rPr>
            </w:pPr>
            <w:r>
              <w:rPr>
                <w:rFonts w:ascii="Arial" w:cs="Arial" w:eastAsia="Arial" w:hAnsi="Arial"/>
                <w:sz w:val="11"/>
                <w:szCs w:val="11"/>
                <w:color w:val="auto"/>
              </w:rPr>
              <w:t>75.0%</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6,100</w:t>
            </w:r>
          </w:p>
        </w:tc>
        <w:tc>
          <w:tcPr>
            <w:tcW w:w="520" w:type="dxa"/>
            <w:vAlign w:val="bottom"/>
            <w:tcBorders>
              <w:bottom w:val="single" w:sz="8" w:color="auto"/>
            </w:tcBorders>
            <w:shd w:val="clear" w:color="auto" w:fill="CCEEFF"/>
          </w:tcPr>
          <w:p>
            <w:pPr>
              <w:jc w:val="right"/>
              <w:ind w:right="314"/>
              <w:spacing w:after="0"/>
              <w:rPr>
                <w:sz w:val="20"/>
                <w:szCs w:val="20"/>
                <w:color w:val="auto"/>
              </w:rPr>
            </w:pPr>
            <w:r>
              <w:rPr>
                <w:rFonts w:ascii="Arial" w:cs="Arial" w:eastAsia="Arial" w:hAnsi="Arial"/>
                <w:sz w:val="7"/>
                <w:szCs w:val="7"/>
                <w:b w:val="1"/>
                <w:bCs w:val="1"/>
                <w:color w:val="auto"/>
              </w:rPr>
              <w:t>(4)</w:t>
            </w:r>
          </w:p>
        </w:tc>
        <w:tc>
          <w:tcPr>
            <w:tcW w:w="58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1"/>
                <w:szCs w:val="11"/>
                <w:color w:val="auto"/>
              </w:rPr>
              <w:t>18,200</w:t>
            </w:r>
          </w:p>
        </w:tc>
        <w:tc>
          <w:tcPr>
            <w:tcW w:w="58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Class A and C wholesale shipments as reported by RVIA, rounded to the nearest hundred.</w:t>
      </w:r>
    </w:p>
    <w:p>
      <w:pPr>
        <w:ind w:left="208" w:hanging="208"/>
        <w:spacing w:after="0" w:line="225" w:lineRule="auto"/>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Class A and C U.S. retail registrations as reported by Statistical Surveys, rounded to the nearest hundred. Note that retail registrations for Georgia and New Mexico are no longer included for 2009, 2008 and 2007 as complete data was not reported.</w:t>
      </w:r>
    </w:p>
    <w:p>
      <w:pPr>
        <w:ind w:left="208" w:hanging="208"/>
        <w:spacing w:after="0" w:line="225" w:lineRule="auto"/>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Based upon forecasted 2010 Class A and C wholesale shipments as reported by RVIA in the Roadsigns Summer 2010 issue.</w:t>
      </w:r>
    </w:p>
    <w:p>
      <w:pPr>
        <w:ind w:left="208" w:hanging="208"/>
        <w:spacing w:after="0"/>
        <w:tabs>
          <w:tab w:leader="none" w:pos="208" w:val="left"/>
        </w:tabs>
        <w:numPr>
          <w:ilvl w:val="0"/>
          <w:numId w:val="4"/>
        </w:numPr>
        <w:rPr>
          <w:rFonts w:ascii="Arial" w:cs="Arial" w:eastAsia="Arial" w:hAnsi="Arial"/>
          <w:sz w:val="10"/>
          <w:szCs w:val="10"/>
          <w:color w:val="auto"/>
        </w:rPr>
      </w:pPr>
      <w:r>
        <w:rPr>
          <w:rFonts w:ascii="Arial" w:cs="Arial" w:eastAsia="Arial" w:hAnsi="Arial"/>
          <w:sz w:val="10"/>
          <w:szCs w:val="10"/>
          <w:color w:val="auto"/>
        </w:rPr>
        <w:t>Retail registrations for Calendar 2010 year to date as reported by Statistical Surveys do not include data for Georgia and New Mexico. Statistical Surveys has not issued a projection for 2010 retail demand.</w:t>
      </w:r>
    </w:p>
    <w:p>
      <w:pPr>
        <w:spacing w:after="0" w:line="121" w:lineRule="exact"/>
        <w:rPr>
          <w:sz w:val="20"/>
          <w:szCs w:val="20"/>
          <w:color w:val="auto"/>
        </w:rPr>
      </w:pPr>
    </w:p>
    <w:p>
      <w:pPr>
        <w:ind w:left="8"/>
        <w:spacing w:after="0"/>
        <w:rPr>
          <w:sz w:val="20"/>
          <w:szCs w:val="20"/>
          <w:color w:val="auto"/>
        </w:rPr>
      </w:pPr>
      <w:r>
        <w:rPr>
          <w:rFonts w:ascii="Arial" w:cs="Arial" w:eastAsia="Arial" w:hAnsi="Arial"/>
          <w:sz w:val="12"/>
          <w:szCs w:val="12"/>
          <w:i w:val="1"/>
          <w:iCs w:val="1"/>
          <w:color w:val="auto"/>
        </w:rPr>
        <w:t>Company Outlook</w:t>
      </w:r>
    </w:p>
    <w:p>
      <w:pPr>
        <w:spacing w:after="0" w:line="18" w:lineRule="exact"/>
        <w:rPr>
          <w:sz w:val="20"/>
          <w:szCs w:val="20"/>
          <w:color w:val="auto"/>
        </w:rPr>
      </w:pPr>
    </w:p>
    <w:p>
      <w:pPr>
        <w:ind w:left="8" w:right="60"/>
        <w:spacing w:after="0" w:line="252" w:lineRule="auto"/>
        <w:rPr>
          <w:sz w:val="20"/>
          <w:szCs w:val="20"/>
          <w:color w:val="auto"/>
        </w:rPr>
      </w:pPr>
      <w:r>
        <w:rPr>
          <w:rFonts w:ascii="Arial" w:cs="Arial" w:eastAsia="Arial" w:hAnsi="Arial"/>
          <w:sz w:val="12"/>
          <w:szCs w:val="12"/>
          <w:color w:val="auto"/>
        </w:rPr>
        <w:t>Similar to the overall motor home industry, after two years of declining motor home shipments, we have seen improvements in recent quarters in our business as dealers began to re-order product. During the second half of Calendar 2009, we saw a substantial growth in our backlog, which we attributed to the very low level of dealer inventories and the strong acceptance of our Model Year 20 10 product lineup. As a result of the increased order activity, we hired approximately 350 hourly employees during the first quarter of Fiscal 2010 and began to increase our weekly production rates in October 2009. This production ramp-up allowed us to ship additional units in our second and third quarters as compared to our first quarter of Fiscal 2010. Note that our dealers' inventories increased for the first time in two years during our second quarter of Fiscal 2010 and they have maintained these levels throughout our third quarter. While we are encouraged with these improvements, the economic outlook remains uncertain and we believe retail sales will be the key driver to sustain our recovery and for continued growth going forward.</w:t>
      </w:r>
    </w:p>
    <w:p>
      <w:pPr>
        <w:spacing w:after="0" w:line="13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3177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8"/>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left="8"/>
        <w:spacing w:after="0"/>
        <w:rPr>
          <w:sz w:val="20"/>
          <w:szCs w:val="20"/>
          <w:color w:val="auto"/>
        </w:rPr>
      </w:pPr>
      <w:r>
        <w:rPr>
          <w:rFonts w:ascii="Arial" w:cs="Arial" w:eastAsia="Arial" w:hAnsi="Arial"/>
          <w:sz w:val="12"/>
          <w:szCs w:val="12"/>
          <w:color w:val="auto"/>
        </w:rPr>
        <w:t>Certain key metrics for our Class A, B and C motor homes, as previously discussed, are evidenced in the table below:</w:t>
      </w:r>
    </w:p>
    <w:p>
      <w:pPr>
        <w:spacing w:after="0" w:line="122" w:lineRule="exact"/>
        <w:rPr>
          <w:sz w:val="20"/>
          <w:szCs w:val="20"/>
          <w:color w:val="auto"/>
        </w:rPr>
      </w:pPr>
    </w:p>
    <w:tbl>
      <w:tblPr>
        <w:tblLayout w:type="fixed"/>
        <w:tblInd w:w="8" w:type="dxa"/>
        <w:tblCellMar>
          <w:top w:w="0" w:type="dxa"/>
          <w:left w:w="0" w:type="dxa"/>
          <w:bottom w:w="0" w:type="dxa"/>
          <w:right w:w="0" w:type="dxa"/>
        </w:tblCellMar>
      </w:tblPr>
      <w:tr>
        <w:trPr>
          <w:trHeight w:val="137"/>
        </w:trPr>
        <w:tc>
          <w:tcPr>
            <w:tcW w:w="8060" w:type="dxa"/>
            <w:vAlign w:val="bottom"/>
          </w:tcPr>
          <w:p>
            <w:pPr>
              <w:spacing w:after="0"/>
              <w:rPr>
                <w:sz w:val="11"/>
                <w:szCs w:val="11"/>
                <w:color w:val="auto"/>
              </w:rPr>
            </w:pPr>
          </w:p>
        </w:tc>
        <w:tc>
          <w:tcPr>
            <w:tcW w:w="760" w:type="dxa"/>
            <w:vAlign w:val="bottom"/>
            <w:vMerge w:val="restart"/>
          </w:tcPr>
          <w:p>
            <w:pPr>
              <w:jc w:val="right"/>
              <w:ind w:right="46"/>
              <w:spacing w:after="0"/>
              <w:rPr>
                <w:sz w:val="20"/>
                <w:szCs w:val="20"/>
                <w:color w:val="auto"/>
              </w:rPr>
            </w:pPr>
            <w:r>
              <w:rPr>
                <w:rFonts w:ascii="Arial" w:cs="Arial" w:eastAsia="Arial" w:hAnsi="Arial"/>
                <w:sz w:val="11"/>
                <w:szCs w:val="11"/>
                <w:b w:val="1"/>
                <w:bCs w:val="1"/>
                <w:color w:val="auto"/>
              </w:rPr>
              <w:t>Wholesale</w:t>
            </w:r>
          </w:p>
        </w:tc>
        <w:tc>
          <w:tcPr>
            <w:tcW w:w="840" w:type="dxa"/>
            <w:vAlign w:val="bottom"/>
            <w:gridSpan w:val="2"/>
            <w:vMerge w:val="restart"/>
          </w:tcPr>
          <w:p>
            <w:pPr>
              <w:jc w:val="center"/>
              <w:spacing w:after="0"/>
              <w:rPr>
                <w:sz w:val="20"/>
                <w:szCs w:val="20"/>
                <w:color w:val="auto"/>
              </w:rPr>
            </w:pPr>
            <w:r>
              <w:rPr>
                <w:rFonts w:ascii="Arial" w:cs="Arial" w:eastAsia="Arial" w:hAnsi="Arial"/>
                <w:sz w:val="11"/>
                <w:szCs w:val="11"/>
                <w:b w:val="1"/>
                <w:bCs w:val="1"/>
                <w:color w:val="auto"/>
                <w:w w:val="93"/>
              </w:rPr>
              <w:t>Retail</w:t>
            </w:r>
          </w:p>
        </w:tc>
        <w:tc>
          <w:tcPr>
            <w:tcW w:w="1820" w:type="dxa"/>
            <w:vAlign w:val="bottom"/>
            <w:tcBorders>
              <w:bottom w:val="single" w:sz="8" w:color="auto"/>
            </w:tcBorders>
            <w:gridSpan w:val="3"/>
          </w:tcPr>
          <w:p>
            <w:pPr>
              <w:jc w:val="right"/>
              <w:ind w:right="440"/>
              <w:spacing w:after="0"/>
              <w:rPr>
                <w:sz w:val="20"/>
                <w:szCs w:val="20"/>
                <w:color w:val="auto"/>
              </w:rPr>
            </w:pPr>
            <w:r>
              <w:rPr>
                <w:rFonts w:ascii="Arial" w:cs="Arial" w:eastAsia="Arial" w:hAnsi="Arial"/>
                <w:sz w:val="11"/>
                <w:szCs w:val="11"/>
                <w:b w:val="1"/>
                <w:bCs w:val="1"/>
                <w:color w:val="auto"/>
              </w:rPr>
              <w:t>As of Quarter End</w:t>
            </w:r>
          </w:p>
        </w:tc>
        <w:tc>
          <w:tcPr>
            <w:tcW w:w="0" w:type="dxa"/>
            <w:vAlign w:val="bottom"/>
          </w:tcPr>
          <w:p>
            <w:pPr>
              <w:spacing w:after="0"/>
              <w:rPr>
                <w:sz w:val="1"/>
                <w:szCs w:val="1"/>
                <w:color w:val="auto"/>
              </w:rPr>
            </w:pPr>
          </w:p>
        </w:tc>
      </w:tr>
      <w:tr>
        <w:trPr>
          <w:trHeight w:val="104"/>
        </w:trPr>
        <w:tc>
          <w:tcPr>
            <w:tcW w:w="8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1060" w:type="dxa"/>
            <w:vAlign w:val="bottom"/>
          </w:tcPr>
          <w:p>
            <w:pPr>
              <w:jc w:val="right"/>
              <w:ind w:right="306"/>
              <w:spacing w:after="0" w:line="105" w:lineRule="exact"/>
              <w:rPr>
                <w:sz w:val="20"/>
                <w:szCs w:val="20"/>
                <w:color w:val="auto"/>
              </w:rPr>
            </w:pPr>
            <w:r>
              <w:rPr>
                <w:rFonts w:ascii="Arial" w:cs="Arial" w:eastAsia="Arial" w:hAnsi="Arial"/>
                <w:sz w:val="11"/>
                <w:szCs w:val="11"/>
                <w:b w:val="1"/>
                <w:bCs w:val="1"/>
                <w:color w:val="auto"/>
              </w:rPr>
              <w:t>Dealer</w:t>
            </w:r>
          </w:p>
        </w:tc>
        <w:tc>
          <w:tcPr>
            <w:tcW w:w="760" w:type="dxa"/>
            <w:vAlign w:val="bottom"/>
            <w:gridSpan w:val="2"/>
          </w:tcPr>
          <w:p>
            <w:pPr>
              <w:jc w:val="right"/>
              <w:ind w:right="320"/>
              <w:spacing w:after="0" w:line="105" w:lineRule="exact"/>
              <w:rPr>
                <w:sz w:val="20"/>
                <w:szCs w:val="20"/>
                <w:color w:val="auto"/>
              </w:rPr>
            </w:pPr>
            <w:r>
              <w:rPr>
                <w:rFonts w:ascii="Arial" w:cs="Arial" w:eastAsia="Arial" w:hAnsi="Arial"/>
                <w:sz w:val="11"/>
                <w:szCs w:val="11"/>
                <w:b w:val="1"/>
                <w:bCs w:val="1"/>
                <w:color w:val="auto"/>
              </w:rPr>
              <w:t>Order</w:t>
            </w:r>
          </w:p>
        </w:tc>
        <w:tc>
          <w:tcPr>
            <w:tcW w:w="0" w:type="dxa"/>
            <w:vAlign w:val="bottom"/>
          </w:tcPr>
          <w:p>
            <w:pPr>
              <w:spacing w:after="0"/>
              <w:rPr>
                <w:sz w:val="1"/>
                <w:szCs w:val="1"/>
                <w:color w:val="auto"/>
              </w:rPr>
            </w:pPr>
          </w:p>
        </w:tc>
      </w:tr>
      <w:tr>
        <w:trPr>
          <w:trHeight w:val="137"/>
        </w:trPr>
        <w:tc>
          <w:tcPr>
            <w:tcW w:w="80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(In units and presented in fiscal quarters)</w:t>
            </w:r>
          </w:p>
        </w:tc>
        <w:tc>
          <w:tcPr>
            <w:tcW w:w="7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Deliveries</w:t>
            </w: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6"/>
              </w:rPr>
              <w:t>Registrations</w:t>
            </w:r>
          </w:p>
        </w:tc>
        <w:tc>
          <w:tcPr>
            <w:tcW w:w="1060" w:type="dxa"/>
            <w:vAlign w:val="bottom"/>
            <w:tcBorders>
              <w:bottom w:val="single" w:sz="8" w:color="auto"/>
            </w:tcBorders>
          </w:tcPr>
          <w:p>
            <w:pPr>
              <w:jc w:val="right"/>
              <w:ind w:right="226"/>
              <w:spacing w:after="0"/>
              <w:rPr>
                <w:sz w:val="20"/>
                <w:szCs w:val="20"/>
                <w:color w:val="auto"/>
              </w:rPr>
            </w:pPr>
            <w:r>
              <w:rPr>
                <w:rFonts w:ascii="Arial" w:cs="Arial" w:eastAsia="Arial" w:hAnsi="Arial"/>
                <w:sz w:val="11"/>
                <w:szCs w:val="11"/>
                <w:b w:val="1"/>
                <w:bCs w:val="1"/>
                <w:color w:val="auto"/>
              </w:rPr>
              <w:t>In ventory</w:t>
            </w: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b w:val="1"/>
                <w:bCs w:val="1"/>
                <w:color w:val="auto"/>
              </w:rPr>
              <w:t>Backlog</w:t>
            </w:r>
          </w:p>
        </w:tc>
        <w:tc>
          <w:tcPr>
            <w:tcW w:w="0" w:type="dxa"/>
            <w:vAlign w:val="bottom"/>
          </w:tcPr>
          <w:p>
            <w:pPr>
              <w:spacing w:after="0"/>
              <w:rPr>
                <w:sz w:val="1"/>
                <w:szCs w:val="1"/>
                <w:color w:val="auto"/>
              </w:rPr>
            </w:pPr>
          </w:p>
        </w:tc>
      </w:tr>
      <w:tr>
        <w:trPr>
          <w:trHeight w:val="133"/>
        </w:trPr>
        <w:tc>
          <w:tcPr>
            <w:tcW w:w="8060" w:type="dxa"/>
            <w:vAlign w:val="bottom"/>
          </w:tcPr>
          <w:p>
            <w:pPr>
              <w:spacing w:after="0"/>
              <w:rPr>
                <w:sz w:val="20"/>
                <w:szCs w:val="20"/>
                <w:color w:val="auto"/>
              </w:rPr>
            </w:pPr>
            <w:r>
              <w:rPr>
                <w:rFonts w:ascii="Arial" w:cs="Arial" w:eastAsia="Arial" w:hAnsi="Arial"/>
                <w:sz w:val="11"/>
                <w:szCs w:val="11"/>
                <w:color w:val="auto"/>
              </w:rPr>
              <w:t>4th Quarter 2008</w:t>
            </w:r>
          </w:p>
        </w:tc>
        <w:tc>
          <w:tcPr>
            <w:tcW w:w="760" w:type="dxa"/>
            <w:vAlign w:val="bottom"/>
          </w:tcPr>
          <w:p>
            <w:pPr>
              <w:spacing w:after="0"/>
              <w:rPr>
                <w:sz w:val="20"/>
                <w:szCs w:val="20"/>
                <w:color w:val="auto"/>
              </w:rPr>
            </w:pPr>
            <w:r>
              <w:rPr>
                <w:rFonts w:ascii="Arial" w:cs="Arial" w:eastAsia="Arial" w:hAnsi="Arial"/>
                <w:sz w:val="11"/>
                <w:szCs w:val="11"/>
                <w:color w:val="auto"/>
              </w:rPr>
              <w:t>928</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1,606</w:t>
            </w:r>
          </w:p>
        </w:tc>
        <w:tc>
          <w:tcPr>
            <w:tcW w:w="140" w:type="dxa"/>
            <w:vAlign w:val="bottom"/>
          </w:tcPr>
          <w:p>
            <w:pPr>
              <w:spacing w:after="0"/>
              <w:rPr>
                <w:sz w:val="11"/>
                <w:szCs w:val="11"/>
                <w:color w:val="auto"/>
              </w:rPr>
            </w:pP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3,663</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596</w:t>
            </w:r>
          </w:p>
        </w:tc>
        <w:tc>
          <w:tcPr>
            <w:tcW w:w="0" w:type="dxa"/>
            <w:vAlign w:val="bottom"/>
          </w:tcPr>
          <w:p>
            <w:pPr>
              <w:spacing w:after="0"/>
              <w:rPr>
                <w:sz w:val="1"/>
                <w:szCs w:val="1"/>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1st Quarter 2009</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656</w:t>
            </w:r>
          </w:p>
        </w:tc>
        <w:tc>
          <w:tcPr>
            <w:tcW w:w="7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1,050</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3,269</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338</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20"/>
                <w:szCs w:val="20"/>
                <w:color w:val="auto"/>
              </w:rPr>
            </w:pPr>
            <w:r>
              <w:rPr>
                <w:rFonts w:ascii="Arial" w:cs="Arial" w:eastAsia="Arial" w:hAnsi="Arial"/>
                <w:sz w:val="11"/>
                <w:szCs w:val="11"/>
                <w:color w:val="auto"/>
              </w:rPr>
              <w:t>2nd Quarter 2009</w:t>
            </w:r>
          </w:p>
        </w:tc>
        <w:tc>
          <w:tcPr>
            <w:tcW w:w="760" w:type="dxa"/>
            <w:vAlign w:val="bottom"/>
          </w:tcPr>
          <w:p>
            <w:pPr>
              <w:jc w:val="right"/>
              <w:ind w:right="166"/>
              <w:spacing w:after="0"/>
              <w:rPr>
                <w:sz w:val="20"/>
                <w:szCs w:val="20"/>
                <w:color w:val="auto"/>
              </w:rPr>
            </w:pPr>
            <w:r>
              <w:rPr>
                <w:rFonts w:ascii="Arial" w:cs="Arial" w:eastAsia="Arial" w:hAnsi="Arial"/>
                <w:sz w:val="11"/>
                <w:szCs w:val="11"/>
                <w:color w:val="auto"/>
              </w:rPr>
              <w:t>315</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666</w:t>
            </w:r>
          </w:p>
        </w:tc>
        <w:tc>
          <w:tcPr>
            <w:tcW w:w="140" w:type="dxa"/>
            <w:vAlign w:val="bottom"/>
          </w:tcPr>
          <w:p>
            <w:pPr>
              <w:spacing w:after="0"/>
              <w:rPr>
                <w:sz w:val="12"/>
                <w:szCs w:val="12"/>
                <w:color w:val="auto"/>
              </w:rPr>
            </w:pP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2,918</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335</w:t>
            </w:r>
          </w:p>
        </w:tc>
        <w:tc>
          <w:tcPr>
            <w:tcW w:w="0" w:type="dxa"/>
            <w:vAlign w:val="bottom"/>
          </w:tcPr>
          <w:p>
            <w:pPr>
              <w:spacing w:after="0"/>
              <w:rPr>
                <w:sz w:val="1"/>
                <w:szCs w:val="1"/>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3rd Quarter 2009</w:t>
            </w:r>
          </w:p>
        </w:tc>
        <w:tc>
          <w:tcPr>
            <w:tcW w:w="7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620</w:t>
            </w:r>
          </w:p>
        </w:tc>
        <w:tc>
          <w:tcPr>
            <w:tcW w:w="7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1,214</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2,324</w:t>
            </w:r>
          </w:p>
        </w:tc>
        <w:tc>
          <w:tcPr>
            <w:tcW w:w="440" w:type="dxa"/>
            <w:vAlign w:val="bottom"/>
          </w:tcPr>
          <w:p>
            <w:pPr>
              <w:jc w:val="right"/>
              <w:spacing w:after="0"/>
              <w:rPr>
                <w:sz w:val="20"/>
                <w:szCs w:val="20"/>
                <w:color w:val="auto"/>
              </w:rPr>
            </w:pPr>
            <w:r>
              <w:rPr>
                <w:rFonts w:ascii="Arial" w:cs="Arial" w:eastAsia="Arial" w:hAnsi="Arial"/>
                <w:sz w:val="11"/>
                <w:szCs w:val="11"/>
                <w:color w:val="auto"/>
              </w:rPr>
              <w:t>382</w:t>
            </w: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8060" w:type="dxa"/>
            <w:vAlign w:val="bottom"/>
          </w:tcPr>
          <w:p>
            <w:pPr>
              <w:ind w:left="240"/>
              <w:spacing w:after="0"/>
              <w:rPr>
                <w:sz w:val="20"/>
                <w:szCs w:val="20"/>
                <w:color w:val="auto"/>
              </w:rPr>
            </w:pPr>
            <w:r>
              <w:rPr>
                <w:rFonts w:ascii="Arial" w:cs="Arial" w:eastAsia="Arial" w:hAnsi="Arial"/>
                <w:sz w:val="11"/>
                <w:szCs w:val="11"/>
                <w:color w:val="auto"/>
              </w:rPr>
              <w:t>Rolling 12 months (June 2008 Through May 2009)</w:t>
            </w: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2,519</w:t>
            </w: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4,536</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1"/>
        </w:trPr>
        <w:tc>
          <w:tcPr>
            <w:tcW w:w="8060" w:type="dxa"/>
            <w:vAlign w:val="bottom"/>
          </w:tcPr>
          <w:p>
            <w:pPr>
              <w:spacing w:after="0" w:line="92" w:lineRule="exact"/>
              <w:rPr>
                <w:sz w:val="20"/>
                <w:szCs w:val="20"/>
                <w:color w:val="auto"/>
              </w:rPr>
            </w:pPr>
            <w:r>
              <w:rPr>
                <w:rFonts w:ascii="Arial" w:cs="Arial" w:eastAsia="Arial" w:hAnsi="Arial"/>
                <w:sz w:val="10"/>
                <w:szCs w:val="10"/>
                <w:color w:val="auto"/>
              </w:rPr>
              <w:t>&amp;n bsp;</w:t>
            </w:r>
          </w:p>
        </w:tc>
        <w:tc>
          <w:tcPr>
            <w:tcW w:w="760" w:type="dxa"/>
            <w:vAlign w:val="bottom"/>
            <w:vMerge w:val="restart"/>
          </w:tcPr>
          <w:p>
            <w:pPr>
              <w:jc w:val="right"/>
              <w:ind w:right="166"/>
              <w:spacing w:after="0"/>
              <w:rPr>
                <w:sz w:val="20"/>
                <w:szCs w:val="20"/>
                <w:color w:val="auto"/>
              </w:rPr>
            </w:pPr>
            <w:r>
              <w:rPr>
                <w:rFonts w:ascii="Arial" w:cs="Arial" w:eastAsia="Arial" w:hAnsi="Arial"/>
                <w:sz w:val="11"/>
                <w:szCs w:val="11"/>
                <w:color w:val="auto"/>
              </w:rPr>
              <w:t>605</w:t>
            </w: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restart"/>
          </w:tcPr>
          <w:p>
            <w:pPr>
              <w:jc w:val="right"/>
              <w:ind w:right="266"/>
              <w:spacing w:after="0"/>
              <w:rPr>
                <w:sz w:val="20"/>
                <w:szCs w:val="20"/>
                <w:color w:val="auto"/>
              </w:rPr>
            </w:pPr>
            <w:r>
              <w:rPr>
                <w:rFonts w:ascii="Arial" w:cs="Arial" w:eastAsia="Arial" w:hAnsi="Arial"/>
                <w:sz w:val="11"/>
                <w:szCs w:val="11"/>
                <w:color w:val="auto"/>
              </w:rPr>
              <w:t>1,694</w:t>
            </w:r>
          </w:p>
        </w:tc>
        <w:tc>
          <w:tcPr>
            <w:tcW w:w="440" w:type="dxa"/>
            <w:vAlign w:val="bottom"/>
          </w:tcPr>
          <w:p>
            <w:pPr>
              <w:spacing w:after="0"/>
              <w:rPr>
                <w:sz w:val="7"/>
                <w:szCs w:val="7"/>
                <w:color w:val="auto"/>
              </w:rPr>
            </w:pPr>
          </w:p>
        </w:tc>
        <w:tc>
          <w:tcPr>
            <w:tcW w:w="3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8060" w:type="dxa"/>
            <w:vAlign w:val="bottom"/>
          </w:tcPr>
          <w:p>
            <w:pPr>
              <w:spacing w:after="0" w:line="125" w:lineRule="exact"/>
              <w:rPr>
                <w:sz w:val="20"/>
                <w:szCs w:val="20"/>
                <w:color w:val="auto"/>
              </w:rPr>
            </w:pPr>
            <w:r>
              <w:rPr>
                <w:rFonts w:ascii="Arial" w:cs="Arial" w:eastAsia="Arial" w:hAnsi="Arial"/>
                <w:sz w:val="11"/>
                <w:szCs w:val="11"/>
                <w:color w:val="auto"/>
              </w:rPr>
              <w:t>4th Quarter 2009</w:t>
            </w:r>
          </w:p>
        </w:tc>
        <w:tc>
          <w:tcPr>
            <w:tcW w:w="760" w:type="dxa"/>
            <w:vAlign w:val="bottom"/>
            <w:vMerge w:val="continue"/>
          </w:tcPr>
          <w:p>
            <w:pPr>
              <w:spacing w:after="0"/>
              <w:rPr>
                <w:sz w:val="10"/>
                <w:szCs w:val="10"/>
                <w:color w:val="auto"/>
              </w:rPr>
            </w:pPr>
          </w:p>
        </w:tc>
        <w:tc>
          <w:tcPr>
            <w:tcW w:w="700" w:type="dxa"/>
            <w:vAlign w:val="bottom"/>
          </w:tcPr>
          <w:p>
            <w:pPr>
              <w:jc w:val="right"/>
              <w:ind w:right="106"/>
              <w:spacing w:after="0" w:line="125" w:lineRule="exact"/>
              <w:rPr>
                <w:sz w:val="20"/>
                <w:szCs w:val="20"/>
                <w:color w:val="auto"/>
              </w:rPr>
            </w:pPr>
            <w:r>
              <w:rPr>
                <w:rFonts w:ascii="Arial" w:cs="Arial" w:eastAsia="Arial" w:hAnsi="Arial"/>
                <w:sz w:val="11"/>
                <w:szCs w:val="11"/>
                <w:color w:val="auto"/>
              </w:rPr>
              <w:t>1,235</w:t>
            </w:r>
          </w:p>
        </w:tc>
        <w:tc>
          <w:tcPr>
            <w:tcW w:w="1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760" w:type="dxa"/>
            <w:vAlign w:val="bottom"/>
            <w:gridSpan w:val="2"/>
          </w:tcPr>
          <w:p>
            <w:pPr>
              <w:jc w:val="right"/>
              <w:ind w:right="320"/>
              <w:spacing w:after="0" w:line="125" w:lineRule="exact"/>
              <w:rPr>
                <w:sz w:val="20"/>
                <w:szCs w:val="20"/>
                <w:color w:val="auto"/>
              </w:rPr>
            </w:pPr>
            <w:r>
              <w:rPr>
                <w:rFonts w:ascii="Arial" w:cs="Arial" w:eastAsia="Arial" w:hAnsi="Arial"/>
                <w:sz w:val="11"/>
                <w:szCs w:val="11"/>
                <w:color w:val="auto"/>
              </w:rPr>
              <w:t>940</w:t>
            </w:r>
          </w:p>
        </w:tc>
        <w:tc>
          <w:tcPr>
            <w:tcW w:w="0" w:type="dxa"/>
            <w:vAlign w:val="bottom"/>
          </w:tcPr>
          <w:p>
            <w:pPr>
              <w:spacing w:after="0"/>
              <w:rPr>
                <w:sz w:val="1"/>
                <w:szCs w:val="1"/>
                <w:color w:val="auto"/>
              </w:rPr>
            </w:pPr>
          </w:p>
        </w:tc>
      </w:tr>
      <w:tr>
        <w:trPr>
          <w:trHeight w:val="144"/>
        </w:trPr>
        <w:tc>
          <w:tcPr>
            <w:tcW w:w="8060" w:type="dxa"/>
            <w:vAlign w:val="bottom"/>
            <w:shd w:val="clear" w:color="auto" w:fill="CCEEFF"/>
          </w:tcPr>
          <w:p>
            <w:pPr>
              <w:spacing w:after="0"/>
              <w:rPr>
                <w:sz w:val="20"/>
                <w:szCs w:val="20"/>
                <w:color w:val="auto"/>
              </w:rPr>
            </w:pPr>
            <w:r>
              <w:rPr>
                <w:rFonts w:ascii="Arial" w:cs="Arial" w:eastAsia="Arial" w:hAnsi="Arial"/>
                <w:sz w:val="11"/>
                <w:szCs w:val="11"/>
                <w:color w:val="auto"/>
              </w:rPr>
              <w:t>1st Quarter 2010</w:t>
            </w:r>
          </w:p>
        </w:tc>
        <w:tc>
          <w:tcPr>
            <w:tcW w:w="76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794</w:t>
            </w:r>
          </w:p>
        </w:tc>
        <w:tc>
          <w:tcPr>
            <w:tcW w:w="700" w:type="dxa"/>
            <w:vAlign w:val="bottom"/>
            <w:shd w:val="clear" w:color="auto" w:fill="CCEEFF"/>
          </w:tcPr>
          <w:p>
            <w:pPr>
              <w:jc w:val="right"/>
              <w:ind w:right="106"/>
              <w:spacing w:after="0"/>
              <w:rPr>
                <w:sz w:val="20"/>
                <w:szCs w:val="20"/>
                <w:color w:val="auto"/>
              </w:rPr>
            </w:pPr>
            <w:r>
              <w:rPr>
                <w:rFonts w:ascii="Arial" w:cs="Arial" w:eastAsia="Arial" w:hAnsi="Arial"/>
                <w:sz w:val="11"/>
                <w:szCs w:val="11"/>
                <w:color w:val="auto"/>
              </w:rPr>
              <w:t>921</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1,567</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1,521</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20"/>
                <w:szCs w:val="20"/>
                <w:color w:val="auto"/>
              </w:rPr>
            </w:pPr>
            <w:r>
              <w:rPr>
                <w:rFonts w:ascii="Arial" w:cs="Arial" w:eastAsia="Arial" w:hAnsi="Arial"/>
                <w:sz w:val="11"/>
                <w:szCs w:val="11"/>
                <w:color w:val="auto"/>
              </w:rPr>
              <w:t>2nd Quarter 2010</w:t>
            </w:r>
          </w:p>
        </w:tc>
        <w:tc>
          <w:tcPr>
            <w:tcW w:w="760" w:type="dxa"/>
            <w:vAlign w:val="bottom"/>
          </w:tcPr>
          <w:p>
            <w:pPr>
              <w:jc w:val="right"/>
              <w:ind w:right="166"/>
              <w:spacing w:after="0"/>
              <w:rPr>
                <w:sz w:val="20"/>
                <w:szCs w:val="20"/>
                <w:color w:val="auto"/>
              </w:rPr>
            </w:pPr>
            <w:r>
              <w:rPr>
                <w:rFonts w:ascii="Arial" w:cs="Arial" w:eastAsia="Arial" w:hAnsi="Arial"/>
                <w:sz w:val="11"/>
                <w:szCs w:val="11"/>
                <w:color w:val="auto"/>
              </w:rPr>
              <w:t>1,109</w:t>
            </w:r>
          </w:p>
        </w:tc>
        <w:tc>
          <w:tcPr>
            <w:tcW w:w="700" w:type="dxa"/>
            <w:vAlign w:val="bottom"/>
          </w:tcPr>
          <w:p>
            <w:pPr>
              <w:jc w:val="right"/>
              <w:ind w:right="106"/>
              <w:spacing w:after="0"/>
              <w:rPr>
                <w:sz w:val="20"/>
                <w:szCs w:val="20"/>
                <w:color w:val="auto"/>
              </w:rPr>
            </w:pPr>
            <w:r>
              <w:rPr>
                <w:rFonts w:ascii="Arial" w:cs="Arial" w:eastAsia="Arial" w:hAnsi="Arial"/>
                <w:sz w:val="11"/>
                <w:szCs w:val="11"/>
                <w:color w:val="auto"/>
              </w:rPr>
              <w:t>654</w:t>
            </w:r>
          </w:p>
        </w:tc>
        <w:tc>
          <w:tcPr>
            <w:tcW w:w="140" w:type="dxa"/>
            <w:vAlign w:val="bottom"/>
          </w:tcPr>
          <w:p>
            <w:pPr>
              <w:spacing w:after="0"/>
              <w:rPr>
                <w:sz w:val="12"/>
                <w:szCs w:val="12"/>
                <w:color w:val="auto"/>
              </w:rPr>
            </w:pPr>
          </w:p>
        </w:tc>
        <w:tc>
          <w:tcPr>
            <w:tcW w:w="1060" w:type="dxa"/>
            <w:vAlign w:val="bottom"/>
          </w:tcPr>
          <w:p>
            <w:pPr>
              <w:jc w:val="right"/>
              <w:ind w:right="266"/>
              <w:spacing w:after="0"/>
              <w:rPr>
                <w:sz w:val="20"/>
                <w:szCs w:val="20"/>
                <w:color w:val="auto"/>
              </w:rPr>
            </w:pPr>
            <w:r>
              <w:rPr>
                <w:rFonts w:ascii="Arial" w:cs="Arial" w:eastAsia="Arial" w:hAnsi="Arial"/>
                <w:sz w:val="11"/>
                <w:szCs w:val="11"/>
                <w:color w:val="auto"/>
              </w:rPr>
              <w:t>2,022</w:t>
            </w:r>
          </w:p>
        </w:tc>
        <w:tc>
          <w:tcPr>
            <w:tcW w:w="760" w:type="dxa"/>
            <w:vAlign w:val="bottom"/>
            <w:gridSpan w:val="2"/>
          </w:tcPr>
          <w:p>
            <w:pPr>
              <w:jc w:val="right"/>
              <w:ind w:right="320"/>
              <w:spacing w:after="0"/>
              <w:rPr>
                <w:sz w:val="20"/>
                <w:szCs w:val="20"/>
                <w:color w:val="auto"/>
              </w:rPr>
            </w:pPr>
            <w:r>
              <w:rPr>
                <w:rFonts w:ascii="Arial" w:cs="Arial" w:eastAsia="Arial" w:hAnsi="Arial"/>
                <w:sz w:val="11"/>
                <w:szCs w:val="11"/>
                <w:color w:val="auto"/>
              </w:rPr>
              <w:t>1,159</w:t>
            </w:r>
          </w:p>
        </w:tc>
        <w:tc>
          <w:tcPr>
            <w:tcW w:w="0" w:type="dxa"/>
            <w:vAlign w:val="bottom"/>
          </w:tcPr>
          <w:p>
            <w:pPr>
              <w:spacing w:after="0"/>
              <w:rPr>
                <w:sz w:val="1"/>
                <w:szCs w:val="1"/>
                <w:color w:val="auto"/>
              </w:rPr>
            </w:pPr>
          </w:p>
        </w:tc>
      </w:tr>
      <w:tr>
        <w:trPr>
          <w:trHeight w:val="144"/>
        </w:trPr>
        <w:tc>
          <w:tcPr>
            <w:tcW w:w="8060" w:type="dxa"/>
            <w:vAlign w:val="bottom"/>
          </w:tcPr>
          <w:p>
            <w:pPr>
              <w:spacing w:after="0"/>
              <w:rPr>
                <w:sz w:val="20"/>
                <w:szCs w:val="20"/>
                <w:color w:val="auto"/>
              </w:rPr>
            </w:pPr>
            <w:r>
              <w:rPr>
                <w:rFonts w:ascii="Arial" w:cs="Arial" w:eastAsia="Arial" w:hAnsi="Arial"/>
                <w:sz w:val="11"/>
                <w:szCs w:val="11"/>
                <w:color w:val="auto"/>
              </w:rPr>
              <w:t>3rd Quarter 2010</w:t>
            </w:r>
          </w:p>
        </w:tc>
        <w:tc>
          <w:tcPr>
            <w:tcW w:w="760" w:type="dxa"/>
            <w:vAlign w:val="bottom"/>
            <w:tcBorders>
              <w:bottom w:val="single" w:sz="8" w:color="auto"/>
            </w:tcBorders>
            <w:shd w:val="clear" w:color="auto" w:fill="CCEEFF"/>
          </w:tcPr>
          <w:p>
            <w:pPr>
              <w:jc w:val="right"/>
              <w:ind w:right="166"/>
              <w:spacing w:after="0"/>
              <w:rPr>
                <w:sz w:val="20"/>
                <w:szCs w:val="20"/>
                <w:color w:val="auto"/>
              </w:rPr>
            </w:pPr>
            <w:r>
              <w:rPr>
                <w:rFonts w:ascii="Arial" w:cs="Arial" w:eastAsia="Arial" w:hAnsi="Arial"/>
                <w:sz w:val="11"/>
                <w:szCs w:val="11"/>
                <w:color w:val="auto"/>
              </w:rPr>
              <w:t>1,366</w:t>
            </w:r>
          </w:p>
        </w:tc>
        <w:tc>
          <w:tcPr>
            <w:tcW w:w="70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1"/>
                <w:szCs w:val="11"/>
                <w:color w:val="auto"/>
              </w:rPr>
              <w:t>1,388</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jc w:val="right"/>
              <w:ind w:right="266"/>
              <w:spacing w:after="0"/>
              <w:rPr>
                <w:sz w:val="20"/>
                <w:szCs w:val="20"/>
                <w:color w:val="auto"/>
              </w:rPr>
            </w:pPr>
            <w:r>
              <w:rPr>
                <w:rFonts w:ascii="Arial" w:cs="Arial" w:eastAsia="Arial" w:hAnsi="Arial"/>
                <w:sz w:val="11"/>
                <w:szCs w:val="11"/>
                <w:color w:val="auto"/>
              </w:rPr>
              <w:t>2,000</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935</w:t>
            </w:r>
          </w:p>
        </w:tc>
        <w:tc>
          <w:tcPr>
            <w:tcW w:w="0" w:type="dxa"/>
            <w:vAlign w:val="bottom"/>
          </w:tcPr>
          <w:p>
            <w:pPr>
              <w:spacing w:after="0"/>
              <w:rPr>
                <w:sz w:val="1"/>
                <w:szCs w:val="1"/>
                <w:color w:val="auto"/>
              </w:rPr>
            </w:pPr>
          </w:p>
        </w:tc>
      </w:tr>
      <w:tr>
        <w:trPr>
          <w:trHeight w:val="140"/>
        </w:trPr>
        <w:tc>
          <w:tcPr>
            <w:tcW w:w="8060" w:type="dxa"/>
            <w:vAlign w:val="bottom"/>
          </w:tcPr>
          <w:p>
            <w:pPr>
              <w:ind w:left="240"/>
              <w:spacing w:after="0"/>
              <w:rPr>
                <w:sz w:val="20"/>
                <w:szCs w:val="20"/>
                <w:color w:val="auto"/>
              </w:rPr>
            </w:pPr>
            <w:r>
              <w:rPr>
                <w:rFonts w:ascii="Arial" w:cs="Arial" w:eastAsia="Arial" w:hAnsi="Arial"/>
                <w:sz w:val="11"/>
                <w:szCs w:val="11"/>
                <w:color w:val="auto"/>
              </w:rPr>
              <w:t>Rolling 12 months (June 2009 Through May 2010)</w:t>
            </w:r>
          </w:p>
        </w:tc>
        <w:tc>
          <w:tcPr>
            <w:tcW w:w="760" w:type="dxa"/>
            <w:vAlign w:val="bottom"/>
            <w:tcBorders>
              <w:bottom w:val="single" w:sz="8" w:color="auto"/>
            </w:tcBorders>
          </w:tcPr>
          <w:p>
            <w:pPr>
              <w:jc w:val="right"/>
              <w:ind w:right="166"/>
              <w:spacing w:after="0"/>
              <w:rPr>
                <w:sz w:val="20"/>
                <w:szCs w:val="20"/>
                <w:color w:val="auto"/>
              </w:rPr>
            </w:pPr>
            <w:r>
              <w:rPr>
                <w:rFonts w:ascii="Arial" w:cs="Arial" w:eastAsia="Arial" w:hAnsi="Arial"/>
                <w:sz w:val="11"/>
                <w:szCs w:val="11"/>
                <w:color w:val="auto"/>
              </w:rPr>
              <w:t>3,874</w:t>
            </w:r>
          </w:p>
        </w:tc>
        <w:tc>
          <w:tcPr>
            <w:tcW w:w="70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color w:val="auto"/>
              </w:rPr>
              <w:t>4,198</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-537210</wp:posOffset>
            </wp:positionV>
            <wp:extent cx="7292340" cy="571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2340" cy="57150"/>
                    </a:xfrm>
                    <a:prstGeom prst="rect">
                      <a:avLst/>
                    </a:prstGeom>
                    <a:noFill/>
                  </pic:spPr>
                </pic:pic>
              </a:graphicData>
            </a:graphic>
          </wp:anchor>
        </w:drawing>
      </w:r>
    </w:p>
    <w:p>
      <w:pPr>
        <w:spacing w:after="0" w:line="43" w:lineRule="exact"/>
        <w:rPr>
          <w:sz w:val="20"/>
          <w:szCs w:val="20"/>
          <w:color w:val="auto"/>
        </w:rPr>
      </w:pPr>
    </w:p>
    <w:tbl>
      <w:tblPr>
        <w:tblLayout w:type="fixed"/>
        <w:tblInd w:w="8" w:type="dxa"/>
        <w:tblCellMar>
          <w:top w:w="0" w:type="dxa"/>
          <w:left w:w="0" w:type="dxa"/>
          <w:bottom w:w="0" w:type="dxa"/>
          <w:right w:w="0" w:type="dxa"/>
        </w:tblCellMar>
      </w:tblPr>
      <w:tr>
        <w:trPr>
          <w:trHeight w:val="151"/>
        </w:trPr>
        <w:tc>
          <w:tcPr>
            <w:tcW w:w="48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ind w:right="105"/>
              <w:spacing w:after="0"/>
              <w:rPr>
                <w:sz w:val="20"/>
                <w:szCs w:val="20"/>
                <w:color w:val="auto"/>
              </w:rPr>
            </w:pPr>
            <w:r>
              <w:rPr>
                <w:rFonts w:ascii="Arial" w:cs="Arial" w:eastAsia="Arial" w:hAnsi="Arial"/>
                <w:sz w:val="12"/>
                <w:szCs w:val="12"/>
                <w:color w:val="auto"/>
                <w:w w:val="91"/>
              </w:rPr>
              <w:t>&lt; /td&gt;</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26"/>
        </w:trPr>
        <w:tc>
          <w:tcPr>
            <w:tcW w:w="48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gridSpan w:val="2"/>
          </w:tcPr>
          <w:p>
            <w:pPr>
              <w:jc w:val="right"/>
              <w:ind w:right="66"/>
              <w:spacing w:after="0"/>
              <w:rPr>
                <w:sz w:val="20"/>
                <w:szCs w:val="20"/>
                <w:color w:val="auto"/>
              </w:rPr>
            </w:pPr>
            <w:r>
              <w:rPr>
                <w:rFonts w:ascii="Arial" w:cs="Arial" w:eastAsia="Arial" w:hAnsi="Arial"/>
                <w:sz w:val="11"/>
                <w:szCs w:val="11"/>
                <w:b w:val="1"/>
                <w:bCs w:val="1"/>
                <w:color w:val="auto"/>
              </w:rPr>
              <w:t>Wholesale</w:t>
            </w:r>
          </w:p>
        </w:tc>
        <w:tc>
          <w:tcPr>
            <w:tcW w:w="940" w:type="dxa"/>
            <w:vAlign w:val="bottom"/>
            <w:gridSpan w:val="2"/>
          </w:tcPr>
          <w:p>
            <w:pPr>
              <w:ind w:left="400"/>
              <w:spacing w:after="0"/>
              <w:rPr>
                <w:sz w:val="20"/>
                <w:szCs w:val="20"/>
                <w:color w:val="auto"/>
              </w:rPr>
            </w:pPr>
            <w:r>
              <w:rPr>
                <w:rFonts w:ascii="Arial" w:cs="Arial" w:eastAsia="Arial" w:hAnsi="Arial"/>
                <w:sz w:val="11"/>
                <w:szCs w:val="11"/>
                <w:b w:val="1"/>
                <w:bCs w:val="1"/>
                <w:color w:val="auto"/>
              </w:rPr>
              <w:t>Retail</w:t>
            </w:r>
          </w:p>
        </w:tc>
        <w:tc>
          <w:tcPr>
            <w:tcW w:w="1200" w:type="dxa"/>
            <w:vAlign w:val="bottom"/>
            <w:gridSpan w:val="3"/>
          </w:tcPr>
          <w:p>
            <w:pPr>
              <w:jc w:val="right"/>
              <w:ind w:right="446"/>
              <w:spacing w:after="0"/>
              <w:rPr>
                <w:sz w:val="20"/>
                <w:szCs w:val="20"/>
                <w:color w:val="auto"/>
              </w:rPr>
            </w:pPr>
            <w:r>
              <w:rPr>
                <w:rFonts w:ascii="Arial" w:cs="Arial" w:eastAsia="Arial" w:hAnsi="Arial"/>
                <w:sz w:val="11"/>
                <w:szCs w:val="11"/>
                <w:b w:val="1"/>
                <w:bCs w:val="1"/>
                <w:color w:val="auto"/>
              </w:rPr>
              <w:t>D ealer</w:t>
            </w:r>
          </w:p>
        </w:tc>
        <w:tc>
          <w:tcPr>
            <w:tcW w:w="40" w:type="dxa"/>
            <w:vAlign w:val="bottom"/>
          </w:tcPr>
          <w:p>
            <w:pPr>
              <w:spacing w:after="0"/>
              <w:rPr>
                <w:sz w:val="10"/>
                <w:szCs w:val="10"/>
                <w:color w:val="auto"/>
              </w:rPr>
            </w:pPr>
          </w:p>
        </w:tc>
        <w:tc>
          <w:tcPr>
            <w:tcW w:w="580" w:type="dxa"/>
            <w:vAlign w:val="bottom"/>
          </w:tcPr>
          <w:p>
            <w:pPr>
              <w:jc w:val="right"/>
              <w:ind w:right="186"/>
              <w:spacing w:after="0"/>
              <w:rPr>
                <w:sz w:val="20"/>
                <w:szCs w:val="20"/>
                <w:color w:val="auto"/>
              </w:rPr>
            </w:pPr>
            <w:r>
              <w:rPr>
                <w:rFonts w:ascii="Arial" w:cs="Arial" w:eastAsia="Arial" w:hAnsi="Arial"/>
                <w:sz w:val="11"/>
                <w:szCs w:val="11"/>
                <w:b w:val="1"/>
                <w:bCs w:val="1"/>
                <w:color w:val="auto"/>
              </w:rPr>
              <w:t>Order</w:t>
            </w:r>
          </w:p>
        </w:tc>
      </w:tr>
      <w:tr>
        <w:trPr>
          <w:trHeight w:val="137"/>
        </w:trPr>
        <w:tc>
          <w:tcPr>
            <w:tcW w:w="484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Key Comparison Increases (Decreases):</w:t>
            </w:r>
          </w:p>
        </w:tc>
        <w:tc>
          <w:tcPr>
            <w:tcW w:w="18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b w:val="1"/>
                <w:bCs w:val="1"/>
                <w:color w:val="auto"/>
              </w:rPr>
              <w:t>Deliveries</w:t>
            </w: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Registrations</w:t>
            </w:r>
          </w:p>
        </w:tc>
        <w:tc>
          <w:tcPr>
            <w:tcW w:w="120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1"/>
                <w:szCs w:val="11"/>
                <w:b w:val="1"/>
                <w:bCs w:val="1"/>
                <w:color w:val="auto"/>
              </w:rPr>
              <w:t>Inventory</w:t>
            </w:r>
          </w:p>
        </w:tc>
        <w:tc>
          <w:tcPr>
            <w:tcW w:w="620" w:type="dxa"/>
            <w:vAlign w:val="bottom"/>
            <w:tcBorders>
              <w:bottom w:val="single" w:sz="8" w:color="auto"/>
            </w:tcBorders>
            <w:gridSpan w:val="2"/>
          </w:tcPr>
          <w:p>
            <w:pPr>
              <w:jc w:val="right"/>
              <w:ind w:right="126"/>
              <w:spacing w:after="0"/>
              <w:rPr>
                <w:sz w:val="20"/>
                <w:szCs w:val="20"/>
                <w:color w:val="auto"/>
              </w:rPr>
            </w:pPr>
            <w:r>
              <w:rPr>
                <w:rFonts w:ascii="Arial" w:cs="Arial" w:eastAsia="Arial" w:hAnsi="Arial"/>
                <w:sz w:val="11"/>
                <w:szCs w:val="11"/>
                <w:b w:val="1"/>
                <w:bCs w:val="1"/>
                <w:color w:val="auto"/>
                <w:w w:val="98"/>
              </w:rPr>
              <w:t>Backlog</w:t>
            </w:r>
          </w:p>
        </w:tc>
      </w:tr>
      <w:tr>
        <w:trPr>
          <w:trHeight w:val="133"/>
        </w:trPr>
        <w:tc>
          <w:tcPr>
            <w:tcW w:w="4840" w:type="dxa"/>
            <w:vAlign w:val="bottom"/>
          </w:tcPr>
          <w:p>
            <w:pPr>
              <w:spacing w:after="0"/>
              <w:rPr>
                <w:sz w:val="20"/>
                <w:szCs w:val="20"/>
                <w:color w:val="auto"/>
              </w:rPr>
            </w:pPr>
            <w:r>
              <w:rPr>
                <w:rFonts w:ascii="Arial" w:cs="Arial" w:eastAsia="Arial" w:hAnsi="Arial"/>
                <w:sz w:val="11"/>
                <w:szCs w:val="11"/>
                <w:color w:val="auto"/>
              </w:rPr>
              <w:t>Rolling 12 month comparison (May 2010 to May 2009)</w:t>
            </w:r>
          </w:p>
        </w:tc>
        <w:tc>
          <w:tcPr>
            <w:tcW w:w="1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gridSpan w:val="3"/>
          </w:tcPr>
          <w:p>
            <w:pPr>
              <w:jc w:val="right"/>
              <w:ind w:right="66"/>
              <w:spacing w:after="0"/>
              <w:rPr>
                <w:sz w:val="20"/>
                <w:szCs w:val="20"/>
                <w:color w:val="auto"/>
              </w:rPr>
            </w:pPr>
            <w:r>
              <w:rPr>
                <w:rFonts w:ascii="Arial" w:cs="Arial" w:eastAsia="Arial" w:hAnsi="Arial"/>
                <w:sz w:val="11"/>
                <w:szCs w:val="11"/>
                <w:color w:val="auto"/>
              </w:rPr>
              <w:t>1,355</w:t>
            </w:r>
          </w:p>
        </w:tc>
        <w:tc>
          <w:tcPr>
            <w:tcW w:w="800" w:type="dxa"/>
            <w:vAlign w:val="bottom"/>
          </w:tcPr>
          <w:p>
            <w:pPr>
              <w:jc w:val="right"/>
              <w:ind w:right="66"/>
              <w:spacing w:after="0"/>
              <w:rPr>
                <w:sz w:val="20"/>
                <w:szCs w:val="20"/>
                <w:color w:val="auto"/>
              </w:rPr>
            </w:pPr>
            <w:r>
              <w:rPr>
                <w:rFonts w:ascii="Arial" w:cs="Arial" w:eastAsia="Arial" w:hAnsi="Arial"/>
                <w:sz w:val="11"/>
                <w:szCs w:val="11"/>
                <w:color w:val="auto"/>
              </w:rPr>
              <w:t>(338)</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jc w:val="right"/>
              <w:ind w:right="366"/>
              <w:spacing w:after="0"/>
              <w:rPr>
                <w:sz w:val="20"/>
                <w:szCs w:val="20"/>
                <w:color w:val="auto"/>
              </w:rPr>
            </w:pPr>
            <w:r>
              <w:rPr>
                <w:rFonts w:ascii="Arial" w:cs="Arial" w:eastAsia="Arial" w:hAnsi="Arial"/>
                <w:sz w:val="11"/>
                <w:szCs w:val="11"/>
                <w:color w:val="auto"/>
              </w:rPr>
              <w:t>(324)</w:t>
            </w:r>
          </w:p>
        </w:tc>
        <w:tc>
          <w:tcPr>
            <w:tcW w:w="620" w:type="dxa"/>
            <w:vAlign w:val="bottom"/>
            <w:gridSpan w:val="2"/>
          </w:tcPr>
          <w:p>
            <w:pPr>
              <w:jc w:val="right"/>
              <w:ind w:right="266"/>
              <w:spacing w:after="0"/>
              <w:rPr>
                <w:sz w:val="20"/>
                <w:szCs w:val="20"/>
                <w:color w:val="auto"/>
              </w:rPr>
            </w:pPr>
            <w:r>
              <w:rPr>
                <w:rFonts w:ascii="Arial" w:cs="Arial" w:eastAsia="Arial" w:hAnsi="Arial"/>
                <w:sz w:val="11"/>
                <w:szCs w:val="11"/>
                <w:color w:val="auto"/>
              </w:rPr>
              <w:t>553</w:t>
            </w:r>
          </w:p>
        </w:tc>
      </w:tr>
      <w:tr>
        <w:trPr>
          <w:trHeight w:val="144"/>
        </w:trPr>
        <w:tc>
          <w:tcPr>
            <w:tcW w:w="48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gridSpan w:val="3"/>
          </w:tcPr>
          <w:p>
            <w:pPr>
              <w:jc w:val="right"/>
              <w:spacing w:after="0"/>
              <w:rPr>
                <w:sz w:val="20"/>
                <w:szCs w:val="20"/>
                <w:color w:val="auto"/>
              </w:rPr>
            </w:pPr>
            <w:r>
              <w:rPr>
                <w:rFonts w:ascii="Arial" w:cs="Arial" w:eastAsia="Arial" w:hAnsi="Arial"/>
                <w:sz w:val="11"/>
                <w:szCs w:val="11"/>
                <w:color w:val="auto"/>
              </w:rPr>
              <w:t>53.8%</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(7.5)%</w:t>
            </w:r>
          </w:p>
        </w:tc>
        <w:tc>
          <w:tcPr>
            <w:tcW w:w="140" w:type="dxa"/>
            <w:vAlign w:val="bottom"/>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6"/>
              <w:spacing w:after="0"/>
              <w:rPr>
                <w:sz w:val="20"/>
                <w:szCs w:val="20"/>
                <w:color w:val="auto"/>
              </w:rPr>
            </w:pPr>
            <w:r>
              <w:rPr>
                <w:rFonts w:ascii="Arial" w:cs="Arial" w:eastAsia="Arial" w:hAnsi="Arial"/>
                <w:sz w:val="11"/>
                <w:szCs w:val="11"/>
                <w:color w:val="auto"/>
              </w:rPr>
              <w:t>(13.9)%</w:t>
            </w:r>
          </w:p>
        </w:tc>
        <w:tc>
          <w:tcPr>
            <w:tcW w:w="62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144.8%</w:t>
            </w:r>
          </w:p>
        </w:tc>
      </w:tr>
      <w:tr>
        <w:trPr>
          <w:trHeight w:val="189"/>
        </w:trPr>
        <w:tc>
          <w:tcPr>
            <w:tcW w:w="4840" w:type="dxa"/>
            <w:vAlign w:val="bottom"/>
          </w:tcPr>
          <w:p>
            <w:pPr>
              <w:spacing w:after="0"/>
              <w:rPr>
                <w:sz w:val="20"/>
                <w:szCs w:val="20"/>
                <w:color w:val="auto"/>
              </w:rPr>
            </w:pPr>
            <w:r>
              <w:rPr>
                <w:rFonts w:ascii="Arial" w:cs="Arial" w:eastAsia="Arial" w:hAnsi="Arial"/>
                <w:sz w:val="11"/>
                <w:szCs w:val="11"/>
                <w:color w:val="auto"/>
              </w:rPr>
              <w:t>3rd quarter Fiscal 2010 as compared to 3rd quarter Fiscal 2009</w:t>
            </w:r>
          </w:p>
        </w:tc>
        <w:tc>
          <w:tcPr>
            <w:tcW w:w="1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3"/>
          </w:tcPr>
          <w:p>
            <w:pPr>
              <w:jc w:val="right"/>
              <w:ind w:right="66"/>
              <w:spacing w:after="0"/>
              <w:rPr>
                <w:sz w:val="20"/>
                <w:szCs w:val="20"/>
                <w:color w:val="auto"/>
              </w:rPr>
            </w:pPr>
            <w:r>
              <w:rPr>
                <w:rFonts w:ascii="Arial" w:cs="Arial" w:eastAsia="Arial" w:hAnsi="Arial"/>
                <w:sz w:val="11"/>
                <w:szCs w:val="11"/>
                <w:color w:val="auto"/>
              </w:rPr>
              <w:t>746</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174</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tcPr>
          <w:p>
            <w:pPr>
              <w:jc w:val="right"/>
              <w:ind w:right="366"/>
              <w:spacing w:after="0"/>
              <w:rPr>
                <w:sz w:val="20"/>
                <w:szCs w:val="20"/>
                <w:color w:val="auto"/>
              </w:rPr>
            </w:pPr>
            <w:r>
              <w:rPr>
                <w:rFonts w:ascii="Arial" w:cs="Arial" w:eastAsia="Arial" w:hAnsi="Arial"/>
                <w:sz w:val="11"/>
                <w:szCs w:val="11"/>
                <w:color w:val="auto"/>
              </w:rPr>
              <w:t>(324)</w:t>
            </w:r>
          </w:p>
        </w:tc>
        <w:tc>
          <w:tcPr>
            <w:tcW w:w="620" w:type="dxa"/>
            <w:vAlign w:val="bottom"/>
            <w:gridSpan w:val="2"/>
          </w:tcPr>
          <w:p>
            <w:pPr>
              <w:jc w:val="right"/>
              <w:ind w:right="266"/>
              <w:spacing w:after="0"/>
              <w:rPr>
                <w:sz w:val="20"/>
                <w:szCs w:val="20"/>
                <w:color w:val="auto"/>
              </w:rPr>
            </w:pPr>
            <w:r>
              <w:rPr>
                <w:rFonts w:ascii="Arial" w:cs="Arial" w:eastAsia="Arial" w:hAnsi="Arial"/>
                <w:sz w:val="11"/>
                <w:szCs w:val="11"/>
                <w:color w:val="auto"/>
              </w:rPr>
              <w:t>553</w:t>
            </w:r>
          </w:p>
        </w:tc>
      </w:tr>
      <w:tr>
        <w:trPr>
          <w:trHeight w:val="144"/>
        </w:trPr>
        <w:tc>
          <w:tcPr>
            <w:tcW w:w="48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120.3%</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14.3%</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6"/>
              <w:spacing w:after="0"/>
              <w:rPr>
                <w:sz w:val="20"/>
                <w:szCs w:val="20"/>
                <w:color w:val="auto"/>
              </w:rPr>
            </w:pPr>
            <w:r>
              <w:rPr>
                <w:rFonts w:ascii="Arial" w:cs="Arial" w:eastAsia="Arial" w:hAnsi="Arial"/>
                <w:sz w:val="11"/>
                <w:szCs w:val="11"/>
                <w:color w:val="auto"/>
              </w:rPr>
              <w:t>(13.9)%</w:t>
            </w:r>
          </w:p>
        </w:tc>
        <w:tc>
          <w:tcPr>
            <w:tcW w:w="620" w:type="dxa"/>
            <w:vAlign w:val="bottom"/>
            <w:gridSpan w:val="2"/>
            <w:shd w:val="clear" w:color="auto" w:fill="CCEEFF"/>
          </w:tcPr>
          <w:p>
            <w:pPr>
              <w:jc w:val="right"/>
              <w:ind w:right="166"/>
              <w:spacing w:after="0"/>
              <w:rPr>
                <w:sz w:val="20"/>
                <w:szCs w:val="20"/>
                <w:color w:val="auto"/>
              </w:rPr>
            </w:pPr>
            <w:r>
              <w:rPr>
                <w:rFonts w:ascii="Arial" w:cs="Arial" w:eastAsia="Arial" w:hAnsi="Arial"/>
                <w:sz w:val="11"/>
                <w:szCs w:val="11"/>
                <w:color w:val="auto"/>
              </w:rPr>
              <w:t>144.8%</w:t>
            </w:r>
          </w:p>
        </w:tc>
      </w:tr>
      <w:tr>
        <w:trPr>
          <w:trHeight w:val="189"/>
        </w:trPr>
        <w:tc>
          <w:tcPr>
            <w:tcW w:w="4840" w:type="dxa"/>
            <w:vAlign w:val="bottom"/>
          </w:tcPr>
          <w:p>
            <w:pPr>
              <w:spacing w:after="0"/>
              <w:rPr>
                <w:sz w:val="20"/>
                <w:szCs w:val="20"/>
                <w:color w:val="auto"/>
              </w:rPr>
            </w:pPr>
            <w:r>
              <w:rPr>
                <w:rFonts w:ascii="Arial" w:cs="Arial" w:eastAsia="Arial" w:hAnsi="Arial"/>
                <w:sz w:val="11"/>
                <w:szCs w:val="11"/>
                <w:color w:val="auto"/>
              </w:rPr>
              <w:t>3rd quarter Fiscal 2010 as compared to 2nd quarter Fiscal 2010</w:t>
            </w:r>
          </w:p>
        </w:tc>
        <w:tc>
          <w:tcPr>
            <w:tcW w:w="1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gridSpan w:val="3"/>
          </w:tcPr>
          <w:p>
            <w:pPr>
              <w:jc w:val="right"/>
              <w:ind w:right="66"/>
              <w:spacing w:after="0"/>
              <w:rPr>
                <w:sz w:val="20"/>
                <w:szCs w:val="20"/>
                <w:color w:val="auto"/>
              </w:rPr>
            </w:pPr>
            <w:r>
              <w:rPr>
                <w:rFonts w:ascii="Arial" w:cs="Arial" w:eastAsia="Arial" w:hAnsi="Arial"/>
                <w:sz w:val="11"/>
                <w:szCs w:val="11"/>
                <w:color w:val="auto"/>
              </w:rPr>
              <w:t>257</w:t>
            </w:r>
          </w:p>
        </w:tc>
        <w:tc>
          <w:tcPr>
            <w:tcW w:w="800" w:type="dxa"/>
            <w:vAlign w:val="bottom"/>
          </w:tcPr>
          <w:p>
            <w:pPr>
              <w:jc w:val="right"/>
              <w:ind w:right="106"/>
              <w:spacing w:after="0"/>
              <w:rPr>
                <w:sz w:val="20"/>
                <w:szCs w:val="20"/>
                <w:color w:val="auto"/>
              </w:rPr>
            </w:pPr>
            <w:r>
              <w:rPr>
                <w:rFonts w:ascii="Arial" w:cs="Arial" w:eastAsia="Arial" w:hAnsi="Arial"/>
                <w:sz w:val="11"/>
                <w:szCs w:val="11"/>
                <w:color w:val="auto"/>
              </w:rPr>
              <w:t>734</w:t>
            </w: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40" w:type="dxa"/>
            <w:vAlign w:val="bottom"/>
            <w:gridSpan w:val="2"/>
          </w:tcPr>
          <w:p>
            <w:pPr>
              <w:jc w:val="right"/>
              <w:ind w:right="366"/>
              <w:spacing w:after="0"/>
              <w:rPr>
                <w:sz w:val="20"/>
                <w:szCs w:val="20"/>
                <w:color w:val="auto"/>
              </w:rPr>
            </w:pPr>
            <w:r>
              <w:rPr>
                <w:rFonts w:ascii="Arial" w:cs="Arial" w:eastAsia="Arial" w:hAnsi="Arial"/>
                <w:sz w:val="11"/>
                <w:szCs w:val="11"/>
                <w:color w:val="auto"/>
              </w:rPr>
              <w:t>(22)</w:t>
            </w:r>
          </w:p>
        </w:tc>
        <w:tc>
          <w:tcPr>
            <w:tcW w:w="620" w:type="dxa"/>
            <w:vAlign w:val="bottom"/>
            <w:gridSpan w:val="2"/>
          </w:tcPr>
          <w:p>
            <w:pPr>
              <w:jc w:val="right"/>
              <w:ind w:right="226"/>
              <w:spacing w:after="0"/>
              <w:rPr>
                <w:sz w:val="20"/>
                <w:szCs w:val="20"/>
                <w:color w:val="auto"/>
              </w:rPr>
            </w:pPr>
            <w:r>
              <w:rPr>
                <w:rFonts w:ascii="Arial" w:cs="Arial" w:eastAsia="Arial" w:hAnsi="Arial"/>
                <w:sz w:val="11"/>
                <w:szCs w:val="11"/>
                <w:color w:val="auto"/>
              </w:rPr>
              <w:t>(224)</w:t>
            </w:r>
          </w:p>
        </w:tc>
      </w:tr>
      <w:tr>
        <w:trPr>
          <w:trHeight w:val="144"/>
        </w:trPr>
        <w:tc>
          <w:tcPr>
            <w:tcW w:w="4840" w:type="dxa"/>
            <w:vAlign w:val="bottom"/>
            <w:shd w:val="clear" w:color="auto" w:fill="CCEEFF"/>
          </w:tcPr>
          <w:p>
            <w:pPr>
              <w:spacing w:after="0"/>
              <w:rPr>
                <w:sz w:val="12"/>
                <w:szCs w:val="12"/>
                <w:color w:val="auto"/>
              </w:rPr>
            </w:pPr>
          </w:p>
        </w:tc>
        <w:tc>
          <w:tcPr>
            <w:tcW w:w="18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1"/>
                <w:szCs w:val="11"/>
                <w:color w:val="auto"/>
              </w:rPr>
              <w:t>23.2%</w:t>
            </w:r>
          </w:p>
        </w:tc>
        <w:tc>
          <w:tcPr>
            <w:tcW w:w="8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112.2%</w:t>
            </w: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66"/>
              <w:spacing w:after="0"/>
              <w:rPr>
                <w:sz w:val="20"/>
                <w:szCs w:val="20"/>
                <w:color w:val="auto"/>
              </w:rPr>
            </w:pPr>
            <w:r>
              <w:rPr>
                <w:rFonts w:ascii="Arial" w:cs="Arial" w:eastAsia="Arial" w:hAnsi="Arial"/>
                <w:sz w:val="11"/>
                <w:szCs w:val="11"/>
                <w:color w:val="auto"/>
              </w:rPr>
              <w:t>(1.1)%</w:t>
            </w:r>
          </w:p>
        </w:tc>
        <w:tc>
          <w:tcPr>
            <w:tcW w:w="620" w:type="dxa"/>
            <w:vAlign w:val="bottom"/>
            <w:gridSpan w:val="2"/>
            <w:shd w:val="clear" w:color="auto" w:fill="CCEEFF"/>
          </w:tcPr>
          <w:p>
            <w:pPr>
              <w:jc w:val="right"/>
              <w:ind w:right="126"/>
              <w:spacing w:after="0"/>
              <w:rPr>
                <w:sz w:val="20"/>
                <w:szCs w:val="20"/>
                <w:color w:val="auto"/>
              </w:rPr>
            </w:pPr>
            <w:r>
              <w:rPr>
                <w:rFonts w:ascii="Arial" w:cs="Arial" w:eastAsia="Arial" w:hAnsi="Arial"/>
                <w:sz w:val="11"/>
                <w:szCs w:val="11"/>
                <w:color w:val="auto"/>
              </w:rPr>
              <w:t>(19.3)%</w:t>
            </w:r>
          </w:p>
        </w:tc>
      </w:tr>
      <w:tr>
        <w:trPr>
          <w:trHeight w:val="288"/>
        </w:trPr>
        <w:tc>
          <w:tcPr>
            <w:tcW w:w="4840" w:type="dxa"/>
            <w:vAlign w:val="bottom"/>
          </w:tcPr>
          <w:p>
            <w:pPr>
              <w:spacing w:after="0"/>
              <w:rPr>
                <w:sz w:val="20"/>
                <w:szCs w:val="20"/>
                <w:color w:val="auto"/>
              </w:rPr>
            </w:pPr>
            <w:r>
              <w:rPr>
                <w:rFonts w:ascii="Arial" w:cs="Arial" w:eastAsia="Arial" w:hAnsi="Arial"/>
                <w:sz w:val="12"/>
                <w:szCs w:val="12"/>
                <w:color w:val="auto"/>
              </w:rPr>
              <w:t>Our motor home order backlog is as follows:</w:t>
            </w:r>
          </w:p>
        </w:tc>
        <w:tc>
          <w:tcPr>
            <w:tcW w:w="1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369"/>
        </w:trPr>
        <w:tc>
          <w:tcPr>
            <w:tcW w:w="4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As Of</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33"/>
        </w:trPr>
        <w:tc>
          <w:tcPr>
            <w:tcW w:w="48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320" w:type="dxa"/>
            <w:vAlign w:val="bottom"/>
            <w:tcBorders>
              <w:bottom w:val="single" w:sz="8" w:color="auto"/>
            </w:tcBorders>
            <w:gridSpan w:val="2"/>
          </w:tcPr>
          <w:p>
            <w:pPr>
              <w:jc w:val="right"/>
              <w:ind w:right="226"/>
              <w:spacing w:after="0"/>
              <w:rPr>
                <w:sz w:val="20"/>
                <w:szCs w:val="20"/>
                <w:color w:val="auto"/>
              </w:rPr>
            </w:pPr>
            <w:r>
              <w:rPr>
                <w:rFonts w:ascii="Arial" w:cs="Arial" w:eastAsia="Arial" w:hAnsi="Arial"/>
                <w:sz w:val="11"/>
                <w:szCs w:val="11"/>
                <w:b w:val="1"/>
                <w:bCs w:val="1"/>
                <w:color w:val="auto"/>
              </w:rPr>
              <w:t>M ay 29, 2010</w:t>
            </w: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May 30, 2009</w:t>
            </w:r>
          </w:p>
        </w:tc>
        <w:tc>
          <w:tcPr>
            <w:tcW w:w="4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r>
      <w:tr>
        <w:trPr>
          <w:trHeight w:val="104"/>
        </w:trPr>
        <w:tc>
          <w:tcPr>
            <w:tcW w:w="48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jc w:val="right"/>
              <w:ind w:right="6"/>
              <w:spacing w:after="0" w:line="105" w:lineRule="exact"/>
              <w:rPr>
                <w:sz w:val="20"/>
                <w:szCs w:val="20"/>
                <w:color w:val="auto"/>
              </w:rPr>
            </w:pPr>
            <w:r>
              <w:rPr>
                <w:rFonts w:ascii="Arial" w:cs="Arial" w:eastAsia="Arial" w:hAnsi="Arial"/>
                <w:sz w:val="11"/>
                <w:szCs w:val="11"/>
                <w:b w:val="1"/>
                <w:bCs w:val="1"/>
                <w:color w:val="auto"/>
              </w:rPr>
              <w:t>Product</w:t>
            </w:r>
          </w:p>
        </w:tc>
        <w:tc>
          <w:tcPr>
            <w:tcW w:w="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jc w:val="right"/>
              <w:spacing w:after="0" w:line="105" w:lineRule="exact"/>
              <w:rPr>
                <w:sz w:val="20"/>
                <w:szCs w:val="20"/>
                <w:color w:val="auto"/>
              </w:rPr>
            </w:pPr>
            <w:r>
              <w:rPr>
                <w:rFonts w:ascii="Arial" w:cs="Arial" w:eastAsia="Arial" w:hAnsi="Arial"/>
                <w:sz w:val="11"/>
                <w:szCs w:val="11"/>
                <w:b w:val="1"/>
                <w:bCs w:val="1"/>
                <w:color w:val="auto"/>
              </w:rPr>
              <w:t>Product</w:t>
            </w:r>
          </w:p>
        </w:tc>
        <w:tc>
          <w:tcPr>
            <w:tcW w:w="100" w:type="dxa"/>
            <w:vAlign w:val="bottom"/>
          </w:tcPr>
          <w:p>
            <w:pPr>
              <w:spacing w:after="0"/>
              <w:rPr>
                <w:sz w:val="9"/>
                <w:szCs w:val="9"/>
                <w:color w:val="auto"/>
              </w:rPr>
            </w:pPr>
          </w:p>
        </w:tc>
        <w:tc>
          <w:tcPr>
            <w:tcW w:w="640" w:type="dxa"/>
            <w:vAlign w:val="bottom"/>
          </w:tcPr>
          <w:p>
            <w:pPr>
              <w:jc w:val="right"/>
              <w:ind w:right="26"/>
              <w:spacing w:after="0" w:line="105" w:lineRule="exact"/>
              <w:rPr>
                <w:sz w:val="20"/>
                <w:szCs w:val="20"/>
                <w:color w:val="auto"/>
              </w:rPr>
            </w:pPr>
            <w:r>
              <w:rPr>
                <w:rFonts w:ascii="Arial" w:cs="Arial" w:eastAsia="Arial" w:hAnsi="Arial"/>
                <w:sz w:val="11"/>
                <w:szCs w:val="11"/>
                <w:b w:val="1"/>
                <w:bCs w:val="1"/>
                <w:color w:val="auto"/>
              </w:rPr>
              <w:t>Increase</w:t>
            </w: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r>
      <w:tr>
        <w:trPr>
          <w:trHeight w:val="137"/>
        </w:trPr>
        <w:tc>
          <w:tcPr>
            <w:tcW w:w="4840" w:type="dxa"/>
            <w:vAlign w:val="bottom"/>
            <w:tcBorders>
              <w:bottom w:val="single" w:sz="8" w:color="CCEEFF"/>
            </w:tcBorders>
          </w:tcPr>
          <w:p>
            <w:pPr>
              <w:spacing w:after="0"/>
              <w:rPr>
                <w:sz w:val="11"/>
                <w:szCs w:val="11"/>
                <w:color w:val="auto"/>
              </w:rPr>
            </w:pPr>
          </w:p>
        </w:tc>
        <w:tc>
          <w:tcPr>
            <w:tcW w:w="1800" w:type="dxa"/>
            <w:vAlign w:val="bottom"/>
            <w:tcBorders>
              <w:bottom w:val="single" w:sz="8" w:color="CCEEFF"/>
            </w:tcBorders>
          </w:tcPr>
          <w:p>
            <w:pPr>
              <w:spacing w:after="0"/>
              <w:rPr>
                <w:sz w:val="11"/>
                <w:szCs w:val="11"/>
                <w:color w:val="auto"/>
              </w:rPr>
            </w:pPr>
          </w:p>
        </w:tc>
        <w:tc>
          <w:tcPr>
            <w:tcW w:w="5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Units</w:t>
            </w:r>
          </w:p>
        </w:tc>
        <w:tc>
          <w:tcPr>
            <w:tcW w:w="760" w:type="dxa"/>
            <w:vAlign w:val="bottom"/>
            <w:tcBorders>
              <w:bottom w:val="single" w:sz="8" w:color="auto"/>
            </w:tcBorders>
          </w:tcPr>
          <w:p>
            <w:pPr>
              <w:jc w:val="right"/>
              <w:ind w:right="106"/>
              <w:spacing w:after="0"/>
              <w:rPr>
                <w:sz w:val="20"/>
                <w:szCs w:val="20"/>
                <w:color w:val="auto"/>
              </w:rPr>
            </w:pPr>
            <w:r>
              <w:rPr>
                <w:rFonts w:ascii="Arial" w:cs="Arial" w:eastAsia="Arial" w:hAnsi="Arial"/>
                <w:sz w:val="11"/>
                <w:szCs w:val="11"/>
                <w:b w:val="1"/>
                <w:bCs w:val="1"/>
                <w:color w:val="auto"/>
              </w:rPr>
              <w:t>Mix*</w:t>
            </w:r>
          </w:p>
        </w:tc>
        <w:tc>
          <w:tcPr>
            <w:tcW w:w="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3"/>
          </w:tcPr>
          <w:p>
            <w:pPr>
              <w:ind w:left="120"/>
              <w:spacing w:after="0"/>
              <w:rPr>
                <w:sz w:val="20"/>
                <w:szCs w:val="20"/>
                <w:color w:val="auto"/>
              </w:rPr>
            </w:pPr>
            <w:r>
              <w:rPr>
                <w:rFonts w:ascii="Arial" w:cs="Arial" w:eastAsia="Arial" w:hAnsi="Arial"/>
                <w:sz w:val="11"/>
                <w:szCs w:val="11"/>
                <w:b w:val="1"/>
                <w:bCs w:val="1"/>
                <w:color w:val="auto"/>
              </w:rPr>
              <w:t>Units</w:t>
            </w:r>
          </w:p>
        </w:tc>
        <w:tc>
          <w:tcPr>
            <w:tcW w:w="460" w:type="dxa"/>
            <w:vAlign w:val="bottom"/>
            <w:tcBorders>
              <w:bottom w:val="single" w:sz="8" w:color="auto"/>
            </w:tcBorders>
          </w:tcPr>
          <w:p>
            <w:pPr>
              <w:jc w:val="right"/>
              <w:ind w:right="65"/>
              <w:spacing w:after="0"/>
              <w:rPr>
                <w:sz w:val="20"/>
                <w:szCs w:val="20"/>
                <w:color w:val="auto"/>
              </w:rPr>
            </w:pPr>
            <w:r>
              <w:rPr>
                <w:rFonts w:ascii="Arial" w:cs="Arial" w:eastAsia="Arial" w:hAnsi="Arial"/>
                <w:sz w:val="11"/>
                <w:szCs w:val="11"/>
                <w:b w:val="1"/>
                <w:bCs w:val="1"/>
                <w:color w:val="auto"/>
              </w:rPr>
              <w:t>Mix*</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(Decrease)</w:t>
            </w:r>
          </w:p>
        </w:tc>
        <w:tc>
          <w:tcPr>
            <w:tcW w:w="4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rPr>
              <w:t>Change</w:t>
            </w:r>
          </w:p>
        </w:tc>
      </w:tr>
      <w:tr>
        <w:trPr>
          <w:trHeight w:val="133"/>
        </w:trPr>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Class A gas</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323</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34.6%</w:t>
            </w:r>
          </w:p>
        </w:tc>
        <w:tc>
          <w:tcPr>
            <w:tcW w:w="5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104</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27.2%</w:t>
            </w:r>
          </w:p>
        </w:tc>
        <w:tc>
          <w:tcPr>
            <w:tcW w:w="74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219</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210.6%</w:t>
            </w:r>
          </w:p>
        </w:tc>
      </w:tr>
      <w:tr>
        <w:trPr>
          <w:trHeight w:val="144"/>
        </w:trPr>
        <w:tc>
          <w:tcPr>
            <w:tcW w:w="484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Class A diesel</w:t>
            </w:r>
          </w:p>
        </w:tc>
        <w:tc>
          <w:tcPr>
            <w:tcW w:w="1800" w:type="dxa"/>
            <w:vAlign w:val="bottom"/>
            <w:tcBorders>
              <w:bottom w:val="single" w:sz="8" w:color="CCEEFF"/>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234</w:t>
            </w:r>
          </w:p>
        </w:tc>
        <w:tc>
          <w:tcPr>
            <w:tcW w:w="76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25.0%</w:t>
            </w:r>
          </w:p>
        </w:tc>
        <w:tc>
          <w:tcPr>
            <w:tcW w:w="58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1"/>
                <w:szCs w:val="11"/>
                <w:color w:val="auto"/>
              </w:rPr>
              <w:t>72</w:t>
            </w: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18.9%</w:t>
            </w:r>
          </w:p>
        </w:tc>
        <w:tc>
          <w:tcPr>
            <w:tcW w:w="740" w:type="dxa"/>
            <w:vAlign w:val="bottom"/>
            <w:tcBorders>
              <w:bottom w:val="single" w:sz="8" w:color="auto"/>
            </w:tcBorders>
            <w:gridSpan w:val="2"/>
          </w:tcPr>
          <w:p>
            <w:pPr>
              <w:jc w:val="right"/>
              <w:ind w:right="86"/>
              <w:spacing w:after="0"/>
              <w:rPr>
                <w:sz w:val="20"/>
                <w:szCs w:val="20"/>
                <w:color w:val="auto"/>
              </w:rPr>
            </w:pPr>
            <w:r>
              <w:rPr>
                <w:rFonts w:ascii="Arial" w:cs="Arial" w:eastAsia="Arial" w:hAnsi="Arial"/>
                <w:sz w:val="11"/>
                <w:szCs w:val="11"/>
                <w:color w:val="auto"/>
              </w:rPr>
              <w:t>162</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1"/>
                <w:szCs w:val="11"/>
                <w:color w:val="auto"/>
              </w:rPr>
              <w:t>225.0%</w:t>
            </w:r>
          </w:p>
        </w:tc>
      </w:tr>
      <w:tr>
        <w:trPr>
          <w:trHeight w:val="133"/>
        </w:trPr>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Total Class A</w:t>
            </w:r>
          </w:p>
        </w:tc>
        <w:tc>
          <w:tcPr>
            <w:tcW w:w="23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557</w:t>
            </w:r>
          </w:p>
        </w:tc>
        <w:tc>
          <w:tcPr>
            <w:tcW w:w="760" w:type="dxa"/>
            <w:vAlign w:val="bottom"/>
            <w:shd w:val="clear" w:color="auto" w:fill="CCEEFF"/>
          </w:tcPr>
          <w:p>
            <w:pPr>
              <w:jc w:val="right"/>
              <w:ind w:right="46"/>
              <w:spacing w:after="0"/>
              <w:rPr>
                <w:sz w:val="20"/>
                <w:szCs w:val="20"/>
                <w:color w:val="auto"/>
              </w:rPr>
            </w:pPr>
            <w:r>
              <w:rPr>
                <w:rFonts w:ascii="Arial" w:cs="Arial" w:eastAsia="Arial" w:hAnsi="Arial"/>
                <w:sz w:val="11"/>
                <w:szCs w:val="11"/>
                <w:color w:val="auto"/>
              </w:rPr>
              <w:t>59.6%</w:t>
            </w:r>
          </w:p>
        </w:tc>
        <w:tc>
          <w:tcPr>
            <w:tcW w:w="580" w:type="dxa"/>
            <w:vAlign w:val="bottom"/>
            <w:gridSpan w:val="2"/>
            <w:shd w:val="clear" w:color="auto" w:fill="CCEEFF"/>
          </w:tcPr>
          <w:p>
            <w:pPr>
              <w:jc w:val="right"/>
              <w:ind w:right="6"/>
              <w:spacing w:after="0"/>
              <w:rPr>
                <w:sz w:val="20"/>
                <w:szCs w:val="20"/>
                <w:color w:val="auto"/>
              </w:rPr>
            </w:pPr>
            <w:r>
              <w:rPr>
                <w:rFonts w:ascii="Arial" w:cs="Arial" w:eastAsia="Arial" w:hAnsi="Arial"/>
                <w:sz w:val="11"/>
                <w:szCs w:val="11"/>
                <w:color w:val="auto"/>
              </w:rPr>
              <w:t>176</w:t>
            </w: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46.1%</w:t>
            </w:r>
          </w:p>
        </w:tc>
        <w:tc>
          <w:tcPr>
            <w:tcW w:w="740" w:type="dxa"/>
            <w:vAlign w:val="bottom"/>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381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216.5%</w:t>
            </w:r>
          </w:p>
        </w:tc>
      </w:tr>
      <w:tr>
        <w:trPr>
          <w:trHeight w:val="162"/>
        </w:trPr>
        <w:tc>
          <w:tcPr>
            <w:tcW w:w="4840" w:type="dxa"/>
            <w:vAlign w:val="bottom"/>
          </w:tcPr>
          <w:p>
            <w:pPr>
              <w:spacing w:after="0"/>
              <w:rPr>
                <w:sz w:val="20"/>
                <w:szCs w:val="20"/>
                <w:color w:val="auto"/>
              </w:rPr>
            </w:pPr>
            <w:r>
              <w:rPr>
                <w:rFonts w:ascii="Arial" w:cs="Arial" w:eastAsia="Arial" w:hAnsi="Arial"/>
                <w:sz w:val="11"/>
                <w:szCs w:val="11"/>
                <w:color w:val="auto"/>
              </w:rPr>
              <w:t>Class B</w:t>
            </w:r>
          </w:p>
        </w:tc>
        <w:tc>
          <w:tcPr>
            <w:tcW w:w="2360" w:type="dxa"/>
            <w:vAlign w:val="bottom"/>
            <w:gridSpan w:val="2"/>
          </w:tcPr>
          <w:p>
            <w:pPr>
              <w:jc w:val="right"/>
              <w:spacing w:after="0"/>
              <w:rPr>
                <w:sz w:val="20"/>
                <w:szCs w:val="20"/>
                <w:color w:val="auto"/>
              </w:rPr>
            </w:pPr>
            <w:r>
              <w:rPr>
                <w:rFonts w:ascii="Arial" w:cs="Arial" w:eastAsia="Arial" w:hAnsi="Arial"/>
                <w:sz w:val="11"/>
                <w:szCs w:val="11"/>
                <w:color w:val="auto"/>
              </w:rPr>
              <w:t>34</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3.6%</w:t>
            </w:r>
          </w:p>
        </w:tc>
        <w:tc>
          <w:tcPr>
            <w:tcW w:w="580" w:type="dxa"/>
            <w:vAlign w:val="bottom"/>
            <w:gridSpan w:val="2"/>
          </w:tcPr>
          <w:p>
            <w:pPr>
              <w:jc w:val="right"/>
              <w:ind w:right="6"/>
              <w:spacing w:after="0"/>
              <w:rPr>
                <w:sz w:val="20"/>
                <w:szCs w:val="20"/>
                <w:color w:val="auto"/>
              </w:rPr>
            </w:pPr>
            <w:r>
              <w:rPr>
                <w:rFonts w:ascii="Arial" w:cs="Arial" w:eastAsia="Arial" w:hAnsi="Arial"/>
                <w:sz w:val="11"/>
                <w:szCs w:val="11"/>
                <w:color w:val="auto"/>
              </w:rPr>
              <w:t>2</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32</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1,600.0%</w:t>
            </w:r>
          </w:p>
        </w:tc>
      </w:tr>
      <w:tr>
        <w:trPr>
          <w:trHeight w:val="144"/>
        </w:trPr>
        <w:tc>
          <w:tcPr>
            <w:tcW w:w="4840" w:type="dxa"/>
            <w:vAlign w:val="bottom"/>
            <w:shd w:val="clear" w:color="auto" w:fill="CCEEFF"/>
          </w:tcPr>
          <w:p>
            <w:pPr>
              <w:spacing w:after="0"/>
              <w:rPr>
                <w:sz w:val="20"/>
                <w:szCs w:val="20"/>
                <w:color w:val="auto"/>
              </w:rPr>
            </w:pPr>
            <w:r>
              <w:rPr>
                <w:rFonts w:ascii="Arial" w:cs="Arial" w:eastAsia="Arial" w:hAnsi="Arial"/>
                <w:sz w:val="11"/>
                <w:szCs w:val="11"/>
                <w:color w:val="auto"/>
              </w:rPr>
              <w:t>Class C</w:t>
            </w:r>
          </w:p>
        </w:tc>
        <w:tc>
          <w:tcPr>
            <w:tcW w:w="180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344</w:t>
            </w:r>
          </w:p>
        </w:tc>
        <w:tc>
          <w:tcPr>
            <w:tcW w:w="76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1"/>
                <w:szCs w:val="11"/>
                <w:color w:val="auto"/>
              </w:rPr>
              <w:t>36.8%</w:t>
            </w:r>
          </w:p>
        </w:tc>
        <w:tc>
          <w:tcPr>
            <w:tcW w:w="580" w:type="dxa"/>
            <w:vAlign w:val="bottom"/>
            <w:tcBorders>
              <w:bottom w:val="single" w:sz="8" w:color="auto"/>
            </w:tcBorders>
            <w:gridSpan w:val="2"/>
            <w:shd w:val="clear" w:color="auto" w:fill="CCEEFF"/>
          </w:tcPr>
          <w:p>
            <w:pPr>
              <w:jc w:val="right"/>
              <w:ind w:right="6"/>
              <w:spacing w:after="0"/>
              <w:rPr>
                <w:sz w:val="20"/>
                <w:szCs w:val="20"/>
                <w:color w:val="auto"/>
              </w:rPr>
            </w:pPr>
            <w:r>
              <w:rPr>
                <w:rFonts w:ascii="Arial" w:cs="Arial" w:eastAsia="Arial" w:hAnsi="Arial"/>
                <w:sz w:val="11"/>
                <w:szCs w:val="11"/>
                <w:color w:val="auto"/>
              </w:rPr>
              <w:t>204</w:t>
            </w:r>
          </w:p>
        </w:tc>
        <w:tc>
          <w:tcPr>
            <w:tcW w:w="1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53.4%</w:t>
            </w:r>
          </w:p>
        </w:tc>
        <w:tc>
          <w:tcPr>
            <w:tcW w:w="740" w:type="dxa"/>
            <w:vAlign w:val="bottom"/>
            <w:tcBorders>
              <w:bottom w:val="single" w:sz="8" w:color="auto"/>
            </w:tcBorders>
            <w:gridSpan w:val="2"/>
            <w:shd w:val="clear" w:color="auto" w:fill="CCEEFF"/>
          </w:tcPr>
          <w:p>
            <w:pPr>
              <w:jc w:val="right"/>
              <w:ind w:right="86"/>
              <w:spacing w:after="0"/>
              <w:rPr>
                <w:sz w:val="20"/>
                <w:szCs w:val="20"/>
                <w:color w:val="auto"/>
              </w:rPr>
            </w:pPr>
            <w:r>
              <w:rPr>
                <w:rFonts w:ascii="Arial" w:cs="Arial" w:eastAsia="Arial" w:hAnsi="Arial"/>
                <w:sz w:val="11"/>
                <w:szCs w:val="11"/>
                <w:color w:val="auto"/>
              </w:rPr>
              <w:t>140</w:t>
            </w:r>
          </w:p>
        </w:tc>
        <w:tc>
          <w:tcPr>
            <w:tcW w:w="6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1"/>
                <w:szCs w:val="11"/>
                <w:color w:val="auto"/>
              </w:rPr>
              <w:t>68.6%</w:t>
            </w:r>
          </w:p>
        </w:tc>
      </w:tr>
      <w:tr>
        <w:trPr>
          <w:trHeight w:val="140"/>
        </w:trPr>
        <w:tc>
          <w:tcPr>
            <w:tcW w:w="4840" w:type="dxa"/>
            <w:vAlign w:val="bottom"/>
          </w:tcPr>
          <w:p>
            <w:pPr>
              <w:spacing w:after="0"/>
              <w:rPr>
                <w:sz w:val="20"/>
                <w:szCs w:val="20"/>
                <w:color w:val="auto"/>
              </w:rPr>
            </w:pPr>
            <w:r>
              <w:rPr>
                <w:rFonts w:ascii="Arial" w:cs="Arial" w:eastAsia="Arial" w:hAnsi="Arial"/>
                <w:sz w:val="11"/>
                <w:szCs w:val="11"/>
                <w:color w:val="auto"/>
              </w:rPr>
              <w:t>Total backlog</w:t>
            </w:r>
          </w:p>
        </w:tc>
        <w:tc>
          <w:tcPr>
            <w:tcW w:w="2360" w:type="dxa"/>
            <w:vAlign w:val="bottom"/>
            <w:gridSpan w:val="2"/>
          </w:tcPr>
          <w:p>
            <w:pPr>
              <w:jc w:val="right"/>
              <w:spacing w:after="0"/>
              <w:rPr>
                <w:sz w:val="20"/>
                <w:szCs w:val="20"/>
                <w:color w:val="auto"/>
              </w:rPr>
            </w:pPr>
            <w:r>
              <w:rPr>
                <w:rFonts w:ascii="Arial" w:cs="Arial" w:eastAsia="Arial" w:hAnsi="Arial"/>
                <w:sz w:val="11"/>
                <w:szCs w:val="11"/>
                <w:color w:val="auto"/>
              </w:rPr>
              <w:t>935</w:t>
            </w:r>
          </w:p>
        </w:tc>
        <w:tc>
          <w:tcPr>
            <w:tcW w:w="760" w:type="dxa"/>
            <w:vAlign w:val="bottom"/>
          </w:tcPr>
          <w:p>
            <w:pPr>
              <w:jc w:val="right"/>
              <w:ind w:right="46"/>
              <w:spacing w:after="0"/>
              <w:rPr>
                <w:sz w:val="20"/>
                <w:szCs w:val="20"/>
                <w:color w:val="auto"/>
              </w:rPr>
            </w:pPr>
            <w:r>
              <w:rPr>
                <w:rFonts w:ascii="Arial" w:cs="Arial" w:eastAsia="Arial" w:hAnsi="Arial"/>
                <w:sz w:val="11"/>
                <w:szCs w:val="11"/>
                <w:color w:val="auto"/>
              </w:rPr>
              <w:t>100.0%</w:t>
            </w:r>
          </w:p>
        </w:tc>
        <w:tc>
          <w:tcPr>
            <w:tcW w:w="40" w:type="dxa"/>
            <w:vAlign w:val="bottom"/>
          </w:tcPr>
          <w:p>
            <w:pPr>
              <w:spacing w:after="0"/>
              <w:rPr>
                <w:sz w:val="12"/>
                <w:szCs w:val="12"/>
                <w:color w:val="auto"/>
              </w:rPr>
            </w:pPr>
          </w:p>
        </w:tc>
        <w:tc>
          <w:tcPr>
            <w:tcW w:w="1660" w:type="dxa"/>
            <w:vAlign w:val="bottom"/>
            <w:gridSpan w:val="4"/>
          </w:tcPr>
          <w:p>
            <w:pPr>
              <w:ind w:left="300"/>
              <w:spacing w:after="0" w:line="133" w:lineRule="exact"/>
              <w:rPr>
                <w:sz w:val="20"/>
                <w:szCs w:val="20"/>
                <w:color w:val="auto"/>
              </w:rPr>
            </w:pPr>
            <w:r>
              <w:rPr>
                <w:rFonts w:ascii="Arial" w:cs="Arial" w:eastAsia="Arial" w:hAnsi="Arial"/>
                <w:sz w:val="11"/>
                <w:szCs w:val="11"/>
                <w:color w:val="auto"/>
              </w:rPr>
              <w:t xml:space="preserve">382 </w:t>
            </w:r>
            <w:r>
              <w:rPr>
                <w:rFonts w:ascii="Arial" w:cs="Arial" w:eastAsia="Arial" w:hAnsi="Arial"/>
                <w:sz w:val="12"/>
                <w:szCs w:val="12"/>
                <w:color w:val="auto"/>
              </w:rPr>
              <w:t>&amp;nbs p;</w:t>
            </w:r>
          </w:p>
        </w:tc>
        <w:tc>
          <w:tcPr>
            <w:tcW w:w="460" w:type="dxa"/>
            <w:vAlign w:val="bottom"/>
          </w:tcPr>
          <w:p>
            <w:pPr>
              <w:jc w:val="right"/>
              <w:ind w:right="5"/>
              <w:spacing w:after="0"/>
              <w:rPr>
                <w:sz w:val="20"/>
                <w:szCs w:val="20"/>
                <w:color w:val="auto"/>
              </w:rPr>
            </w:pPr>
            <w:r>
              <w:rPr>
                <w:rFonts w:ascii="Arial" w:cs="Arial" w:eastAsia="Arial" w:hAnsi="Arial"/>
                <w:sz w:val="11"/>
                <w:szCs w:val="11"/>
                <w:color w:val="auto"/>
              </w:rPr>
              <w:t>100.0%</w:t>
            </w:r>
          </w:p>
        </w:tc>
        <w:tc>
          <w:tcPr>
            <w:tcW w:w="740" w:type="dxa"/>
            <w:vAlign w:val="bottom"/>
            <w:gridSpan w:val="2"/>
          </w:tcPr>
          <w:p>
            <w:pPr>
              <w:jc w:val="right"/>
              <w:ind w:right="406"/>
              <w:spacing w:after="0"/>
              <w:rPr>
                <w:sz w:val="20"/>
                <w:szCs w:val="20"/>
                <w:color w:val="auto"/>
              </w:rPr>
            </w:pPr>
            <w:r>
              <w:rPr>
                <w:rFonts w:ascii="Arial" w:cs="Arial" w:eastAsia="Arial" w:hAnsi="Arial"/>
                <w:sz w:val="11"/>
                <w:szCs w:val="11"/>
                <w:color w:val="auto"/>
              </w:rPr>
              <w:t>553</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144.8%</w:t>
            </w:r>
          </w:p>
        </w:tc>
      </w:tr>
      <w:tr>
        <w:trPr>
          <w:trHeight w:val="144"/>
        </w:trPr>
        <w:tc>
          <w:tcPr>
            <w:tcW w:w="484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r>
      <w:tr>
        <w:trPr>
          <w:trHeight w:val="144"/>
        </w:trPr>
        <w:tc>
          <w:tcPr>
            <w:tcW w:w="4840" w:type="dxa"/>
            <w:vAlign w:val="bottom"/>
          </w:tcPr>
          <w:p>
            <w:pPr>
              <w:spacing w:after="0" w:line="144" w:lineRule="exact"/>
              <w:rPr>
                <w:sz w:val="20"/>
                <w:szCs w:val="20"/>
                <w:color w:val="auto"/>
              </w:rPr>
            </w:pPr>
            <w:r>
              <w:rPr>
                <w:rFonts w:ascii="Arial" w:cs="Arial" w:eastAsia="Arial" w:hAnsi="Arial"/>
                <w:sz w:val="10"/>
                <w:szCs w:val="10"/>
                <w:color w:val="auto"/>
              </w:rPr>
              <w:t xml:space="preserve">Total approximate revenue dollars (in thousands) </w:t>
            </w:r>
            <w:r>
              <w:rPr>
                <w:rFonts w:ascii="Arial" w:cs="Arial" w:eastAsia="Arial" w:hAnsi="Arial"/>
                <w:sz w:val="16"/>
                <w:szCs w:val="16"/>
                <w:color w:val="auto"/>
                <w:vertAlign w:val="superscript"/>
              </w:rPr>
              <w:t>(1)</w:t>
            </w:r>
          </w:p>
        </w:tc>
        <w:tc>
          <w:tcPr>
            <w:tcW w:w="18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1"/>
                <w:szCs w:val="11"/>
                <w:color w:val="auto"/>
              </w:rPr>
              <w:t>$  93,214</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  33,556</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40" w:type="dxa"/>
            <w:vAlign w:val="bottom"/>
            <w:gridSpan w:val="2"/>
          </w:tcPr>
          <w:p>
            <w:pPr>
              <w:jc w:val="right"/>
              <w:ind w:right="86"/>
              <w:spacing w:after="0"/>
              <w:rPr>
                <w:sz w:val="20"/>
                <w:szCs w:val="20"/>
                <w:color w:val="auto"/>
              </w:rPr>
            </w:pPr>
            <w:r>
              <w:rPr>
                <w:rFonts w:ascii="Arial" w:cs="Arial" w:eastAsia="Arial" w:hAnsi="Arial"/>
                <w:sz w:val="11"/>
                <w:szCs w:val="11"/>
                <w:color w:val="auto"/>
              </w:rPr>
              <w:t>$  59,658</w:t>
            </w: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177.8%</w:t>
            </w:r>
          </w:p>
        </w:tc>
      </w:tr>
      <w:tr>
        <w:trPr>
          <w:trHeight w:val="27"/>
        </w:trPr>
        <w:tc>
          <w:tcPr>
            <w:tcW w:w="48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-1989455</wp:posOffset>
            </wp:positionV>
            <wp:extent cx="5462270" cy="914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62270" cy="91440"/>
                    </a:xfrm>
                    <a:prstGeom prst="rect">
                      <a:avLst/>
                    </a:prstGeom>
                    <a:noFill/>
                  </pic:spPr>
                </pic:pic>
              </a:graphicData>
            </a:graphic>
          </wp:anchor>
        </w:drawing>
      </w:r>
    </w:p>
    <w:p>
      <w:pPr>
        <w:spacing w:after="0" w:line="37" w:lineRule="exact"/>
        <w:rPr>
          <w:sz w:val="20"/>
          <w:szCs w:val="20"/>
          <w:color w:val="auto"/>
        </w:rPr>
      </w:pPr>
    </w:p>
    <w:p>
      <w:pPr>
        <w:ind w:left="68" w:hanging="68"/>
        <w:spacing w:after="0"/>
        <w:tabs>
          <w:tab w:leader="none" w:pos="68" w:val="left"/>
        </w:tabs>
        <w:numPr>
          <w:ilvl w:val="0"/>
          <w:numId w:val="5"/>
        </w:numPr>
        <w:rPr>
          <w:rFonts w:ascii="Arial" w:cs="Arial" w:eastAsia="Arial" w:hAnsi="Arial"/>
          <w:sz w:val="10"/>
          <w:szCs w:val="10"/>
          <w:color w:val="auto"/>
        </w:rPr>
      </w:pPr>
      <w:r>
        <w:rPr>
          <w:rFonts w:ascii="Arial" w:cs="Arial" w:eastAsia="Arial" w:hAnsi="Arial"/>
          <w:sz w:val="10"/>
          <w:szCs w:val="10"/>
          <w:color w:val="auto"/>
        </w:rPr>
        <w:t>Percentages may not add due to rounding differences.</w:t>
      </w:r>
    </w:p>
    <w:p>
      <w:pPr>
        <w:spacing w:after="0" w:line="101" w:lineRule="exact"/>
        <w:rPr>
          <w:rFonts w:ascii="Arial" w:cs="Arial" w:eastAsia="Arial" w:hAnsi="Arial"/>
          <w:sz w:val="10"/>
          <w:szCs w:val="10"/>
          <w:color w:val="auto"/>
        </w:rPr>
      </w:pPr>
    </w:p>
    <w:p>
      <w:pPr>
        <w:ind w:left="288" w:right="80" w:hanging="203"/>
        <w:spacing w:after="0" w:line="232" w:lineRule="auto"/>
        <w:tabs>
          <w:tab w:leader="none" w:pos="288" w:val="left"/>
        </w:tabs>
        <w:numPr>
          <w:ilvl w:val="1"/>
          <w:numId w:val="5"/>
        </w:numPr>
        <w:rPr>
          <w:rFonts w:ascii="Arial" w:cs="Arial" w:eastAsia="Arial" w:hAnsi="Arial"/>
          <w:sz w:val="10"/>
          <w:szCs w:val="10"/>
          <w:color w:val="auto"/>
        </w:rPr>
      </w:pPr>
      <w:r>
        <w:rPr>
          <w:rFonts w:ascii="Arial" w:cs="Arial" w:eastAsia="Arial" w:hAnsi="Arial"/>
          <w:sz w:val="10"/>
          <w:szCs w:val="10"/>
          <w:color w:val="auto"/>
        </w:rPr>
        <w:t>We include in our backlog all accepted purchase orders from dealers to be shipped within the next six months. Orders in backlog can be canceled or postponed at the optio n of the purchaser at any time without penalty and, therefore, backlog may not necessarily be an accurate measure of future sales.</w:t>
      </w:r>
    </w:p>
    <w:p>
      <w:pPr>
        <w:spacing w:after="0" w:line="27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26035</wp:posOffset>
            </wp:positionV>
            <wp:extent cx="73177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01" w:lineRule="exact"/>
        <w:rPr>
          <w:sz w:val="20"/>
          <w:szCs w:val="20"/>
          <w:color w:val="auto"/>
        </w:rPr>
      </w:pPr>
    </w:p>
    <w:tbl>
      <w:tblPr>
        <w:tblLayout w:type="fixed"/>
        <w:tblInd w:w="8" w:type="dxa"/>
        <w:tblCellMar>
          <w:top w:w="0" w:type="dxa"/>
          <w:left w:w="0" w:type="dxa"/>
          <w:bottom w:w="0" w:type="dxa"/>
          <w:right w:w="0" w:type="dxa"/>
        </w:tblCellMar>
      </w:tblPr>
      <w:tr>
        <w:trPr>
          <w:trHeight w:val="138"/>
        </w:trPr>
        <w:tc>
          <w:tcPr>
            <w:tcW w:w="5840" w:type="dxa"/>
            <w:vAlign w:val="bottom"/>
            <w:gridSpan w:val="4"/>
          </w:tcPr>
          <w:p>
            <w:pPr>
              <w:ind w:left="600"/>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840" w:type="dxa"/>
            <w:vAlign w:val="bottom"/>
            <w:gridSpan w:val="4"/>
          </w:tcPr>
          <w:p>
            <w:pPr>
              <w:spacing w:after="0"/>
              <w:rPr>
                <w:sz w:val="20"/>
                <w:szCs w:val="20"/>
                <w:color w:val="auto"/>
              </w:rPr>
            </w:pPr>
            <w:r>
              <w:rPr>
                <w:rFonts w:ascii="Arial" w:cs="Arial" w:eastAsia="Arial" w:hAnsi="Arial"/>
                <w:sz w:val="12"/>
                <w:szCs w:val="12"/>
                <w:b w:val="1"/>
                <w:bCs w:val="1"/>
                <w:color w:val="auto"/>
              </w:rPr>
              <w:t>Results of Operations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5840" w:type="dxa"/>
            <w:vAlign w:val="bottom"/>
            <w:gridSpan w:val="4"/>
          </w:tcPr>
          <w:p>
            <w:pPr>
              <w:spacing w:after="0"/>
              <w:rPr>
                <w:sz w:val="20"/>
                <w:szCs w:val="20"/>
                <w:color w:val="auto"/>
              </w:rPr>
            </w:pPr>
            <w:r>
              <w:rPr>
                <w:rFonts w:ascii="Arial" w:cs="Arial" w:eastAsia="Arial" w:hAnsi="Arial"/>
                <w:sz w:val="12"/>
                <w:szCs w:val="12"/>
                <w:b w:val="1"/>
                <w:bCs w:val="1"/>
                <w:color w:val="auto"/>
              </w:rPr>
              <w:t>Current Quarter Compared to the Comparable Quarter Last Year</w:t>
            </w: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40" w:type="dxa"/>
            <w:vAlign w:val="bottom"/>
            <w:gridSpan w:val="3"/>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5840" w:type="dxa"/>
            <w:vAlign w:val="bottom"/>
            <w:gridSpan w:val="4"/>
          </w:tcPr>
          <w:p>
            <w:pPr>
              <w:spacing w:after="0"/>
              <w:rPr>
                <w:sz w:val="20"/>
                <w:szCs w:val="20"/>
                <w:color w:val="auto"/>
              </w:rPr>
            </w:pPr>
            <w:r>
              <w:rPr>
                <w:rFonts w:ascii="Arial" w:cs="Arial" w:eastAsia="Arial" w:hAnsi="Arial"/>
                <w:sz w:val="12"/>
                <w:szCs w:val="12"/>
                <w:color w:val="auto"/>
              </w:rPr>
              <w:t>The following is an analysis of changes in key items included in the statements of operations:</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584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(In thousands, except percent</w:t>
            </w:r>
          </w:p>
        </w:tc>
        <w:tc>
          <w:tcPr>
            <w:tcW w:w="1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Quarter Ended</w:t>
            </w: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0"/>
        </w:trPr>
        <w:tc>
          <w:tcPr>
            <w:tcW w:w="5840" w:type="dxa"/>
            <w:vAlign w:val="bottom"/>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160" w:type="dxa"/>
            <w:vAlign w:val="bottom"/>
          </w:tcPr>
          <w:p>
            <w:pPr>
              <w:jc w:val="right"/>
              <w:ind w:right="540"/>
              <w:spacing w:after="0" w:line="110" w:lineRule="exact"/>
              <w:rPr>
                <w:sz w:val="20"/>
                <w:szCs w:val="20"/>
                <w:color w:val="auto"/>
              </w:rPr>
            </w:pPr>
            <w:r>
              <w:rPr>
                <w:rFonts w:ascii="Arial" w:cs="Arial" w:eastAsia="Arial" w:hAnsi="Arial"/>
                <w:sz w:val="12"/>
                <w:szCs w:val="12"/>
                <w:b w:val="1"/>
                <w:bCs w:val="1"/>
                <w:color w:val="auto"/>
              </w:rPr>
              <w:t>May 29,</w:t>
            </w:r>
          </w:p>
        </w:tc>
        <w:tc>
          <w:tcPr>
            <w:tcW w:w="160" w:type="dxa"/>
            <w:vAlign w:val="bottom"/>
          </w:tcPr>
          <w:p>
            <w:pPr>
              <w:spacing w:after="0"/>
              <w:rPr>
                <w:sz w:val="9"/>
                <w:szCs w:val="9"/>
                <w:color w:val="auto"/>
              </w:rPr>
            </w:pPr>
          </w:p>
        </w:tc>
        <w:tc>
          <w:tcPr>
            <w:tcW w:w="740" w:type="dxa"/>
            <w:vAlign w:val="bottom"/>
          </w:tcPr>
          <w:p>
            <w:pPr>
              <w:jc w:val="right"/>
              <w:ind w:right="180"/>
              <w:spacing w:after="0" w:line="110" w:lineRule="exact"/>
              <w:rPr>
                <w:sz w:val="20"/>
                <w:szCs w:val="20"/>
                <w:color w:val="auto"/>
              </w:rPr>
            </w:pPr>
            <w:r>
              <w:rPr>
                <w:rFonts w:ascii="Arial" w:cs="Arial" w:eastAsia="Arial" w:hAnsi="Arial"/>
                <w:sz w:val="12"/>
                <w:szCs w:val="12"/>
                <w:b w:val="1"/>
                <w:bCs w:val="1"/>
                <w:color w:val="auto"/>
              </w:rPr>
              <w:t>% of</w:t>
            </w:r>
          </w:p>
        </w:tc>
        <w:tc>
          <w:tcPr>
            <w:tcW w:w="120" w:type="dxa"/>
            <w:vAlign w:val="bottom"/>
          </w:tcPr>
          <w:p>
            <w:pPr>
              <w:spacing w:after="0"/>
              <w:rPr>
                <w:sz w:val="9"/>
                <w:szCs w:val="9"/>
                <w:color w:val="auto"/>
              </w:rPr>
            </w:pPr>
          </w:p>
        </w:tc>
        <w:tc>
          <w:tcPr>
            <w:tcW w:w="700" w:type="dxa"/>
            <w:vAlign w:val="bottom"/>
            <w:gridSpan w:val="3"/>
          </w:tcPr>
          <w:p>
            <w:pPr>
              <w:ind w:left="60"/>
              <w:spacing w:after="0" w:line="110" w:lineRule="exact"/>
              <w:rPr>
                <w:sz w:val="20"/>
                <w:szCs w:val="20"/>
                <w:color w:val="auto"/>
              </w:rPr>
            </w:pPr>
            <w:r>
              <w:rPr>
                <w:rFonts w:ascii="Arial" w:cs="Arial" w:eastAsia="Arial" w:hAnsi="Arial"/>
                <w:sz w:val="12"/>
                <w:szCs w:val="12"/>
                <w:b w:val="1"/>
                <w:bCs w:val="1"/>
                <w:color w:val="auto"/>
              </w:rPr>
              <w:t>May 30,</w:t>
            </w:r>
          </w:p>
        </w:tc>
        <w:tc>
          <w:tcPr>
            <w:tcW w:w="74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rPr>
              <w:t>% of</w:t>
            </w: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tcPr>
          <w:p>
            <w:pPr>
              <w:jc w:val="right"/>
              <w:ind w:right="60"/>
              <w:spacing w:after="0" w:line="110" w:lineRule="exact"/>
              <w:rPr>
                <w:sz w:val="20"/>
                <w:szCs w:val="20"/>
                <w:color w:val="auto"/>
              </w:rPr>
            </w:pPr>
            <w:r>
              <w:rPr>
                <w:rFonts w:ascii="Arial" w:cs="Arial" w:eastAsia="Arial" w:hAnsi="Arial"/>
                <w:sz w:val="12"/>
                <w:szCs w:val="12"/>
                <w:b w:val="1"/>
                <w:bCs w:val="1"/>
                <w:color w:val="auto"/>
              </w:rPr>
              <w:t>Increase</w:t>
            </w:r>
          </w:p>
        </w:tc>
        <w:tc>
          <w:tcPr>
            <w:tcW w:w="44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w:t>
            </w: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5840" w:type="dxa"/>
            <w:vAlign w:val="bottom"/>
            <w:tcBorders>
              <w:bottom w:val="single" w:sz="8" w:color="auto"/>
            </w:tcBorders>
            <w:gridSpan w:val="4"/>
          </w:tcPr>
          <w:p>
            <w:pPr>
              <w:spacing w:after="0"/>
              <w:rPr>
                <w:sz w:val="20"/>
                <w:szCs w:val="20"/>
                <w:color w:val="auto"/>
              </w:rPr>
            </w:pPr>
            <w:r>
              <w:rPr>
                <w:rFonts w:ascii="Arial" w:cs="Arial" w:eastAsia="Arial" w:hAnsi="Arial"/>
                <w:sz w:val="12"/>
                <w:szCs w:val="12"/>
                <w:b w:val="1"/>
                <w:bCs w:val="1"/>
                <w:color w:val="auto"/>
              </w:rPr>
              <w:t>and per share data)</w:t>
            </w: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600"/>
              <w:spacing w:after="0"/>
              <w:rPr>
                <w:sz w:val="20"/>
                <w:szCs w:val="20"/>
                <w:color w:val="auto"/>
              </w:rPr>
            </w:pPr>
            <w:r>
              <w:rPr>
                <w:rFonts w:ascii="Arial" w:cs="Arial" w:eastAsia="Arial" w:hAnsi="Arial"/>
                <w:sz w:val="12"/>
                <w:szCs w:val="12"/>
                <w:b w:val="1"/>
                <w:bCs w:val="1"/>
                <w:color w:val="auto"/>
              </w:rPr>
              <w:t>2010</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b w:val="1"/>
                <w:bCs w:val="1"/>
                <w:color w:val="auto"/>
              </w:rPr>
              <w:t>Revenues*</w:t>
            </w:r>
          </w:p>
        </w:tc>
        <w:tc>
          <w:tcPr>
            <w:tcW w:w="12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rPr>
              <w:t>Revenues*</w:t>
            </w: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(Decrease)</w:t>
            </w: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42"/>
        </w:trPr>
        <w:tc>
          <w:tcPr>
            <w:tcW w:w="58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134,813</w:t>
            </w:r>
          </w:p>
        </w:tc>
        <w:tc>
          <w:tcPr>
            <w:tcW w:w="1160" w:type="dxa"/>
            <w:vAlign w:val="bottom"/>
            <w:tcBorders>
              <w:lef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100.0%</w:t>
            </w: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50,848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100.0%</w:t>
            </w:r>
          </w:p>
        </w:tc>
        <w:tc>
          <w:tcPr>
            <w:tcW w:w="100" w:type="dxa"/>
            <w:vAlign w:val="bottom"/>
          </w:tcPr>
          <w:p>
            <w:pPr>
              <w:spacing w:after="0"/>
              <w:rPr>
                <w:sz w:val="12"/>
                <w:szCs w:val="12"/>
                <w:color w:val="auto"/>
              </w:rPr>
            </w:pP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83,965</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165.1%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Cost of goods sold</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125,058</w:t>
            </w:r>
          </w:p>
        </w:tc>
        <w:tc>
          <w:tcPr>
            <w:tcW w:w="1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92.8%</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59,133</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116.3%</w:t>
            </w: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2"/>
                <w:szCs w:val="12"/>
                <w:color w:val="auto"/>
              </w:rPr>
              <w:t>65,925</w:t>
            </w:r>
          </w:p>
        </w:tc>
        <w:tc>
          <w:tcPr>
            <w:tcW w:w="6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111.5%</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4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Gross profit (deficit)</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9,755</w:t>
            </w:r>
          </w:p>
        </w:tc>
        <w:tc>
          <w:tcPr>
            <w:tcW w:w="1160" w:type="dxa"/>
            <w:vAlign w:val="bottom"/>
            <w:tcBorders>
              <w:left w:val="single" w:sz="8" w:color="CCEEFF"/>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tcBorders>
              <w:right w:val="single" w:sz="8" w:color="CCEEFF"/>
            </w:tcBorders>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7.2%</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(8,285)</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(16.3)%</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18,040</w:t>
            </w:r>
          </w:p>
        </w:tc>
        <w:tc>
          <w:tcPr>
            <w:tcW w:w="6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217.7%</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2"/>
                <w:szCs w:val="12"/>
                <w:color w:val="auto"/>
              </w:rPr>
              <w:t>Selling</w:t>
            </w: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3,107</w:t>
            </w:r>
          </w:p>
        </w:tc>
        <w:tc>
          <w:tcPr>
            <w:tcW w:w="11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Borders>
              <w:top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2.3%</w:t>
            </w: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3,083</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2"/>
                <w:szCs w:val="12"/>
                <w:color w:val="auto"/>
              </w:rPr>
              <w:t>6.1</w:t>
            </w:r>
          </w:p>
        </w:tc>
        <w:tc>
          <w:tcPr>
            <w:tcW w:w="160" w:type="dxa"/>
            <w:vAlign w:val="bottom"/>
          </w:tcPr>
          <w:p>
            <w:pPr>
              <w:jc w:val="right"/>
              <w:spacing w:after="0" w:line="133"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120"/>
              <w:spacing w:after="0" w:line="133" w:lineRule="exact"/>
              <w:rPr>
                <w:sz w:val="20"/>
                <w:szCs w:val="20"/>
                <w:color w:val="auto"/>
              </w:rPr>
            </w:pPr>
            <w:r>
              <w:rPr>
                <w:rFonts w:ascii="Arial" w:cs="Arial" w:eastAsia="Arial" w:hAnsi="Arial"/>
                <w:sz w:val="12"/>
                <w:szCs w:val="12"/>
                <w:color w:val="auto"/>
              </w:rPr>
              <w:t>24</w:t>
            </w:r>
          </w:p>
        </w:tc>
        <w:tc>
          <w:tcPr>
            <w:tcW w:w="600" w:type="dxa"/>
            <w:vAlign w:val="bottom"/>
            <w:tcBorders>
              <w:top w:val="single" w:sz="8" w:color="auto"/>
            </w:tcBorders>
            <w:gridSpan w:val="2"/>
          </w:tcPr>
          <w:p>
            <w:pPr>
              <w:jc w:val="right"/>
              <w:ind w:right="60"/>
              <w:spacing w:after="0" w:line="133" w:lineRule="exact"/>
              <w:rPr>
                <w:sz w:val="20"/>
                <w:szCs w:val="20"/>
                <w:color w:val="auto"/>
              </w:rPr>
            </w:pPr>
            <w:r>
              <w:rPr>
                <w:rFonts w:ascii="Arial" w:cs="Arial" w:eastAsia="Arial" w:hAnsi="Arial"/>
                <w:sz w:val="12"/>
                <w:szCs w:val="12"/>
                <w:color w:val="auto"/>
              </w:rPr>
              <w:t>0.8%</w:t>
            </w:r>
          </w:p>
        </w:tc>
        <w:tc>
          <w:tcPr>
            <w:tcW w:w="8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3,244</w:t>
            </w:r>
          </w:p>
        </w:tc>
        <w:tc>
          <w:tcPr>
            <w:tcW w:w="1160" w:type="dxa"/>
            <w:vAlign w:val="bottom"/>
            <w:tcBorders>
              <w:lef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3,414</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(170)</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vMerge w:val="restart"/>
          </w:tcPr>
          <w:p>
            <w:pPr>
              <w:jc w:val="right"/>
              <w:spacing w:after="0"/>
              <w:rPr>
                <w:sz w:val="20"/>
                <w:szCs w:val="20"/>
                <w:color w:val="auto"/>
              </w:rPr>
            </w:pPr>
            <w:r>
              <w:rPr>
                <w:rFonts w:ascii="Arial" w:cs="Arial" w:eastAsia="Arial" w:hAnsi="Arial"/>
                <w:sz w:val="12"/>
                <w:szCs w:val="12"/>
                <w:color w:val="auto"/>
              </w:rPr>
              <w:t>6,497</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jc w:val="right"/>
              <w:ind w:right="160"/>
              <w:spacing w:after="0" w:line="115" w:lineRule="exact"/>
              <w:rPr>
                <w:sz w:val="20"/>
                <w:szCs w:val="20"/>
                <w:color w:val="auto"/>
              </w:rPr>
            </w:pPr>
            <w:r>
              <w:rPr>
                <w:rFonts w:ascii="Arial" w:cs="Arial" w:eastAsia="Arial" w:hAnsi="Arial"/>
                <w:sz w:val="12"/>
                <w:szCs w:val="12"/>
                <w:color w:val="auto"/>
              </w:rPr>
              <w:t>(2.2</w:t>
            </w:r>
          </w:p>
        </w:tc>
        <w:tc>
          <w:tcPr>
            <w:tcW w:w="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5840" w:type="dxa"/>
            <w:vAlign w:val="bottom"/>
            <w:gridSpan w:val="4"/>
            <w:vMerge w:val="restart"/>
          </w:tcPr>
          <w:p>
            <w:pPr>
              <w:spacing w:after="0"/>
              <w:rPr>
                <w:sz w:val="20"/>
                <w:szCs w:val="20"/>
                <w:color w:val="auto"/>
              </w:rPr>
            </w:pPr>
            <w:r>
              <w:rPr>
                <w:rFonts w:ascii="Arial" w:cs="Arial" w:eastAsia="Arial" w:hAnsi="Arial"/>
                <w:sz w:val="12"/>
                <w:szCs w:val="12"/>
                <w:color w:val="auto"/>
              </w:rPr>
              <w:t>Total operating expenses</w:t>
            </w:r>
          </w:p>
        </w:tc>
        <w:tc>
          <w:tcPr>
            <w:tcW w:w="100" w:type="dxa"/>
            <w:vAlign w:val="bottom"/>
          </w:tcPr>
          <w:p>
            <w:pPr>
              <w:spacing w:after="0"/>
              <w:rPr>
                <w:sz w:val="7"/>
                <w:szCs w:val="7"/>
                <w:color w:val="auto"/>
              </w:rPr>
            </w:pPr>
          </w:p>
        </w:tc>
        <w:tc>
          <w:tcPr>
            <w:tcW w:w="500" w:type="dxa"/>
            <w:vAlign w:val="bottom"/>
            <w:vMerge w:val="restart"/>
          </w:tcPr>
          <w:p>
            <w:pPr>
              <w:jc w:val="right"/>
              <w:spacing w:after="0"/>
              <w:rPr>
                <w:sz w:val="20"/>
                <w:szCs w:val="20"/>
                <w:color w:val="auto"/>
              </w:rPr>
            </w:pPr>
            <w:r>
              <w:rPr>
                <w:rFonts w:ascii="Arial" w:cs="Arial" w:eastAsia="Arial" w:hAnsi="Arial"/>
                <w:sz w:val="12"/>
                <w:szCs w:val="12"/>
                <w:color w:val="auto"/>
              </w:rPr>
              <w:t>6,351</w:t>
            </w:r>
          </w:p>
        </w:tc>
        <w:tc>
          <w:tcPr>
            <w:tcW w:w="1160" w:type="dxa"/>
            <w:vAlign w:val="bottom"/>
          </w:tcPr>
          <w:p>
            <w:pPr>
              <w:spacing w:after="0"/>
              <w:rPr>
                <w:sz w:val="7"/>
                <w:szCs w:val="7"/>
                <w:color w:val="auto"/>
              </w:rPr>
            </w:pPr>
          </w:p>
        </w:tc>
        <w:tc>
          <w:tcPr>
            <w:tcW w:w="900" w:type="dxa"/>
            <w:vAlign w:val="bottom"/>
            <w:gridSpan w:val="2"/>
            <w:vMerge w:val="restart"/>
          </w:tcPr>
          <w:p>
            <w:pPr>
              <w:jc w:val="right"/>
              <w:ind w:right="100"/>
              <w:spacing w:after="0"/>
              <w:rPr>
                <w:sz w:val="20"/>
                <w:szCs w:val="20"/>
                <w:color w:val="auto"/>
              </w:rPr>
            </w:pPr>
            <w:r>
              <w:rPr>
                <w:rFonts w:ascii="Arial" w:cs="Arial" w:eastAsia="Arial" w:hAnsi="Arial"/>
                <w:sz w:val="12"/>
                <w:szCs w:val="12"/>
                <w:color w:val="auto"/>
              </w:rPr>
              <w:t>4.7%</w:t>
            </w:r>
          </w:p>
        </w:tc>
        <w:tc>
          <w:tcPr>
            <w:tcW w:w="1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restart"/>
          </w:tcPr>
          <w:p>
            <w:pPr>
              <w:jc w:val="right"/>
              <w:spacing w:after="0"/>
              <w:rPr>
                <w:sz w:val="20"/>
                <w:szCs w:val="20"/>
                <w:color w:val="auto"/>
              </w:rPr>
            </w:pPr>
            <w:r>
              <w:rPr>
                <w:rFonts w:ascii="Arial" w:cs="Arial" w:eastAsia="Arial" w:hAnsi="Arial"/>
                <w:sz w:val="12"/>
                <w:szCs w:val="12"/>
                <w:color w:val="auto"/>
              </w:rPr>
              <w:t>12.8%</w:t>
            </w: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2"/>
                <w:szCs w:val="12"/>
                <w:color w:val="auto"/>
              </w:rPr>
              <w:t>(146)</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color w:val="auto"/>
              </w:rPr>
              <w:t>&lt; /td&gt;  )%</w:t>
            </w:r>
          </w:p>
        </w:tc>
        <w:tc>
          <w:tcPr>
            <w:tcW w:w="0" w:type="dxa"/>
            <w:vAlign w:val="bottom"/>
          </w:tcPr>
          <w:p>
            <w:pPr>
              <w:spacing w:after="0"/>
              <w:rPr>
                <w:sz w:val="1"/>
                <w:szCs w:val="1"/>
                <w:color w:val="auto"/>
              </w:rPr>
            </w:pPr>
          </w:p>
        </w:tc>
      </w:tr>
      <w:tr>
        <w:trPr>
          <w:trHeight w:val="63"/>
        </w:trPr>
        <w:tc>
          <w:tcPr>
            <w:tcW w:w="584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1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840" w:type="dxa"/>
            <w:vAlign w:val="bottom"/>
            <w:gridSpan w:val="4"/>
          </w:tcPr>
          <w:p>
            <w:pPr>
              <w:spacing w:after="0" w:line="133" w:lineRule="exact"/>
              <w:rPr>
                <w:sz w:val="20"/>
                <w:szCs w:val="20"/>
                <w:color w:val="auto"/>
              </w:rPr>
            </w:pPr>
            <w:r>
              <w:rPr>
                <w:rFonts w:ascii="Arial" w:cs="Arial" w:eastAsia="Arial" w:hAnsi="Arial"/>
                <w:sz w:val="12"/>
                <w:szCs w:val="12"/>
                <w:color w:val="auto"/>
              </w:rPr>
              <w:t>Operating income (loss)</w:t>
            </w:r>
          </w:p>
        </w:tc>
        <w:tc>
          <w:tcPr>
            <w:tcW w:w="100" w:type="dxa"/>
            <w:vAlign w:val="bottom"/>
          </w:tcPr>
          <w:p>
            <w:pPr>
              <w:spacing w:after="0"/>
              <w:rPr>
                <w:sz w:val="11"/>
                <w:szCs w:val="11"/>
                <w:color w:val="auto"/>
              </w:rPr>
            </w:pP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3,404</w:t>
            </w:r>
          </w:p>
        </w:tc>
        <w:tc>
          <w:tcPr>
            <w:tcW w:w="1160" w:type="dxa"/>
            <w:vAlign w:val="bottom"/>
          </w:tcPr>
          <w:p>
            <w:pPr>
              <w:spacing w:after="0"/>
              <w:rPr>
                <w:sz w:val="11"/>
                <w:szCs w:val="11"/>
                <w:color w:val="auto"/>
              </w:rPr>
            </w:pPr>
          </w:p>
        </w:tc>
        <w:tc>
          <w:tcPr>
            <w:tcW w:w="900" w:type="dxa"/>
            <w:vAlign w:val="bottom"/>
            <w:gridSpan w:val="2"/>
          </w:tcPr>
          <w:p>
            <w:pPr>
              <w:jc w:val="right"/>
              <w:ind w:right="100"/>
              <w:spacing w:after="0" w:line="133" w:lineRule="exact"/>
              <w:rPr>
                <w:sz w:val="20"/>
                <w:szCs w:val="20"/>
                <w:color w:val="auto"/>
              </w:rPr>
            </w:pPr>
            <w:r>
              <w:rPr>
                <w:rFonts w:ascii="Arial" w:cs="Arial" w:eastAsia="Arial" w:hAnsi="Arial"/>
                <w:sz w:val="12"/>
                <w:szCs w:val="12"/>
                <w:color w:val="auto"/>
              </w:rPr>
              <w:t>2.5%</w:t>
            </w:r>
          </w:p>
        </w:tc>
        <w:tc>
          <w:tcPr>
            <w:tcW w:w="600" w:type="dxa"/>
            <w:vAlign w:val="bottom"/>
            <w:gridSpan w:val="2"/>
          </w:tcPr>
          <w:p>
            <w:pPr>
              <w:spacing w:after="0" w:line="133" w:lineRule="exact"/>
              <w:rPr>
                <w:sz w:val="20"/>
                <w:szCs w:val="20"/>
                <w:color w:val="auto"/>
              </w:rPr>
            </w:pPr>
            <w:r>
              <w:rPr>
                <w:rFonts w:ascii="Arial" w:cs="Arial" w:eastAsia="Arial" w:hAnsi="Arial"/>
                <w:sz w:val="12"/>
                <w:szCs w:val="12"/>
                <w:color w:val="auto"/>
              </w:rPr>
              <w:t>(14,782</w:t>
            </w:r>
          </w:p>
        </w:tc>
        <w:tc>
          <w:tcPr>
            <w:tcW w:w="60" w:type="dxa"/>
            <w:vAlign w:val="bottom"/>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(29.1)%</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jc w:val="right"/>
              <w:ind w:right="120"/>
              <w:spacing w:after="0" w:line="133" w:lineRule="exact"/>
              <w:rPr>
                <w:sz w:val="20"/>
                <w:szCs w:val="20"/>
                <w:color w:val="auto"/>
              </w:rPr>
            </w:pPr>
            <w:r>
              <w:rPr>
                <w:rFonts w:ascii="Arial" w:cs="Arial" w:eastAsia="Arial" w:hAnsi="Arial"/>
                <w:sz w:val="12"/>
                <w:szCs w:val="12"/>
                <w:color w:val="auto"/>
              </w:rPr>
              <w:t>18,186</w:t>
            </w:r>
          </w:p>
        </w:tc>
        <w:tc>
          <w:tcPr>
            <w:tcW w:w="600" w:type="dxa"/>
            <w:vAlign w:val="bottom"/>
            <w:gridSpan w:val="2"/>
          </w:tcPr>
          <w:p>
            <w:pPr>
              <w:jc w:val="right"/>
              <w:ind w:right="40"/>
              <w:spacing w:after="0" w:line="133" w:lineRule="exact"/>
              <w:rPr>
                <w:sz w:val="20"/>
                <w:szCs w:val="20"/>
                <w:color w:val="auto"/>
              </w:rPr>
            </w:pPr>
            <w:r>
              <w:rPr>
                <w:rFonts w:ascii="Arial" w:cs="Arial" w:eastAsia="Arial" w:hAnsi="Arial"/>
                <w:sz w:val="12"/>
                <w:szCs w:val="12"/>
                <w:color w:val="auto"/>
              </w:rPr>
              <w:t>123.0%</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8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Financial income</w:t>
            </w: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158</w:t>
            </w:r>
          </w:p>
        </w:tc>
        <w:tc>
          <w:tcPr>
            <w:tcW w:w="11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color w:val="auto"/>
              </w:rPr>
              <w:t>0.1%</w:t>
            </w: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209</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0.4%</w:t>
            </w:r>
          </w:p>
        </w:tc>
        <w:tc>
          <w:tcPr>
            <w:tcW w:w="10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2"/>
                <w:szCs w:val="12"/>
                <w:color w:val="auto"/>
              </w:rPr>
              <w:t>(51)</w:t>
            </w:r>
          </w:p>
        </w:tc>
        <w:tc>
          <w:tcPr>
            <w:tcW w:w="6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(24.4)%</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84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Income (loss) before income taxes</w:t>
            </w: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3,562</w:t>
            </w:r>
          </w:p>
        </w:tc>
        <w:tc>
          <w:tcPr>
            <w:tcW w:w="1160" w:type="dxa"/>
            <w:vAlign w:val="bottom"/>
            <w:tcBorders>
              <w:left w:val="single" w:sz="8" w:color="CCEEFF"/>
            </w:tcBorders>
            <w:shd w:val="clear" w:color="auto" w:fill="CCEEFF"/>
          </w:tcPr>
          <w:p>
            <w:pPr>
              <w:jc w:val="right"/>
              <w:ind w:right="680"/>
              <w:spacing w:after="0" w:line="133" w:lineRule="exact"/>
              <w:rPr>
                <w:sz w:val="20"/>
                <w:szCs w:val="20"/>
                <w:color w:val="auto"/>
              </w:rPr>
            </w:pPr>
            <w:r>
              <w:rPr>
                <w:rFonts w:ascii="Arial" w:cs="Arial" w:eastAsia="Arial" w:hAnsi="Arial"/>
                <w:sz w:val="12"/>
                <w:szCs w:val="12"/>
                <w:color w:val="auto"/>
                <w:w w:val="98"/>
              </w:rPr>
              <w:t>&lt; /font&gt;</w:t>
            </w:r>
          </w:p>
        </w:tc>
        <w:tc>
          <w:tcPr>
            <w:tcW w:w="900" w:type="dxa"/>
            <w:vAlign w:val="bottom"/>
            <w:tcBorders>
              <w:right w:val="single" w:sz="8" w:color="CCEEFF"/>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2.6%</w:t>
            </w:r>
          </w:p>
        </w:tc>
        <w:tc>
          <w:tcPr>
            <w:tcW w:w="12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(14,573)</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(28.7)%</w:t>
            </w:r>
          </w:p>
        </w:tc>
        <w:tc>
          <w:tcPr>
            <w:tcW w:w="100" w:type="dxa"/>
            <w:vAlign w:val="bottom"/>
            <w:tcBorders>
              <w:right w:val="single" w:sz="8" w:color="CCEEFF"/>
            </w:tcBorders>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18,135</w:t>
            </w:r>
          </w:p>
        </w:tc>
        <w:tc>
          <w:tcPr>
            <w:tcW w:w="6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124.4%</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840" w:type="dxa"/>
            <w:vAlign w:val="bottom"/>
            <w:tcBorders>
              <w:bottom w:val="single" w:sz="8" w:color="CCEEFF"/>
            </w:tcBorders>
            <w:gridSpan w:val="4"/>
          </w:tcPr>
          <w:p>
            <w:pPr>
              <w:spacing w:after="0"/>
              <w:rPr>
                <w:sz w:val="20"/>
                <w:szCs w:val="20"/>
                <w:color w:val="auto"/>
              </w:rPr>
            </w:pPr>
            <w:r>
              <w:rPr>
                <w:rFonts w:ascii="Arial" w:cs="Arial" w:eastAsia="Arial" w:hAnsi="Arial"/>
                <w:sz w:val="12"/>
                <w:szCs w:val="12"/>
                <w:color w:val="auto"/>
              </w:rPr>
              <w:t>Benefit for taxes</w:t>
            </w:r>
          </w:p>
        </w:tc>
        <w:tc>
          <w:tcPr>
            <w:tcW w:w="1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right"/>
              <w:ind w:right="1060"/>
              <w:spacing w:after="0"/>
              <w:rPr>
                <w:sz w:val="20"/>
                <w:szCs w:val="20"/>
                <w:color w:val="auto"/>
              </w:rPr>
            </w:pPr>
            <w:r>
              <w:rPr>
                <w:rFonts w:ascii="Arial" w:cs="Arial" w:eastAsia="Arial" w:hAnsi="Arial"/>
                <w:sz w:val="12"/>
                <w:szCs w:val="12"/>
                <w:color w:val="auto"/>
              </w:rPr>
              <w:t>(2,430)</w:t>
            </w:r>
          </w:p>
        </w:tc>
        <w:tc>
          <w:tcPr>
            <w:tcW w:w="9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(1.8)%</w:t>
            </w: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(6,020</w:t>
            </w: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8"/>
                <w:szCs w:val="8"/>
                <w:color w:val="auto"/>
                <w:w w:val="73"/>
              </w:rPr>
              <w:t>)</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(11.8)%</w:t>
            </w: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3,590</w:t>
            </w:r>
          </w:p>
        </w:tc>
        <w:tc>
          <w:tcPr>
            <w:tcW w:w="6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2"/>
                <w:szCs w:val="12"/>
                <w:color w:val="auto"/>
              </w:rPr>
              <w:t>59.6%</w:t>
            </w: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5840" w:type="dxa"/>
            <w:vAlign w:val="bottom"/>
            <w:gridSpan w:val="4"/>
            <w:shd w:val="clear" w:color="auto" w:fill="CCEEFF"/>
          </w:tcPr>
          <w:p>
            <w:pPr>
              <w:spacing w:after="0" w:line="133" w:lineRule="exact"/>
              <w:rPr>
                <w:sz w:val="20"/>
                <w:szCs w:val="20"/>
                <w:color w:val="auto"/>
              </w:rPr>
            </w:pPr>
            <w:r>
              <w:rPr>
                <w:rFonts w:ascii="Arial" w:cs="Arial" w:eastAsia="Arial" w:hAnsi="Arial"/>
                <w:sz w:val="12"/>
                <w:szCs w:val="12"/>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5,992</w:t>
            </w:r>
          </w:p>
        </w:tc>
        <w:tc>
          <w:tcPr>
            <w:tcW w:w="1160" w:type="dxa"/>
            <w:vAlign w:val="bottom"/>
            <w:tcBorders>
              <w:left w:val="single" w:sz="8" w:color="CCEEFF"/>
            </w:tcBorders>
            <w:shd w:val="clear" w:color="auto" w:fill="CCEEFF"/>
          </w:tcPr>
          <w:p>
            <w:pPr>
              <w:spacing w:after="0"/>
              <w:rPr>
                <w:sz w:val="12"/>
                <w:szCs w:val="12"/>
                <w:color w:val="auto"/>
              </w:rPr>
            </w:pPr>
          </w:p>
        </w:tc>
        <w:tc>
          <w:tcPr>
            <w:tcW w:w="900" w:type="dxa"/>
            <w:vAlign w:val="bottom"/>
            <w:tcBorders>
              <w:right w:val="single" w:sz="8" w:color="CCEEFF"/>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4.4%</w:t>
            </w:r>
          </w:p>
        </w:tc>
        <w:tc>
          <w:tcPr>
            <w:tcW w:w="1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(8,553)</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(16.8)%</w:t>
            </w: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14,545</w:t>
            </w:r>
          </w:p>
        </w:tc>
        <w:tc>
          <w:tcPr>
            <w:tcW w:w="6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170.1%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0" w:type="dxa"/>
            <w:vAlign w:val="bottom"/>
            <w:tcBorders>
              <w:top w:val="single" w:sz="8" w:color="CCEEFF"/>
            </w:tcBorders>
          </w:tcPr>
          <w:p>
            <w:pPr>
              <w:spacing w:after="0"/>
              <w:rPr>
                <w:sz w:val="12"/>
                <w:szCs w:val="12"/>
                <w:color w:val="auto"/>
              </w:rPr>
            </w:pPr>
          </w:p>
        </w:tc>
        <w:tc>
          <w:tcPr>
            <w:tcW w:w="840" w:type="dxa"/>
            <w:vAlign w:val="bottom"/>
            <w:tcBorders>
              <w:top w:val="single" w:sz="8" w:color="CCEEFF"/>
            </w:tcBorders>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2200" w:type="dxa"/>
            <w:vAlign w:val="bottom"/>
            <w:tcBorders>
              <w:top w:val="single" w:sz="8" w:color="CCEEFF"/>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40" w:type="dxa"/>
            <w:vAlign w:val="bottom"/>
            <w:gridSpan w:val="4"/>
            <w:shd w:val="clear" w:color="auto" w:fill="CCEEFF"/>
          </w:tcPr>
          <w:p>
            <w:pPr>
              <w:spacing w:after="0"/>
              <w:rPr>
                <w:sz w:val="20"/>
                <w:szCs w:val="20"/>
                <w:color w:val="auto"/>
              </w:rPr>
            </w:pPr>
            <w:r>
              <w:rPr>
                <w:rFonts w:ascii="Arial" w:cs="Arial" w:eastAsia="Arial" w:hAnsi="Arial"/>
                <w:sz w:val="12"/>
                <w:szCs w:val="12"/>
                <w:color w:val="auto"/>
              </w:rPr>
              <w:t>Diluted income (lose) per share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w:t>
            </w:r>
          </w:p>
        </w:tc>
        <w:tc>
          <w:tcPr>
            <w:tcW w:w="1160" w:type="dxa"/>
            <w:vAlign w:val="bottom"/>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tcBorders>
              <w:right w:val="single" w:sz="8" w:color="CCEEFF"/>
            </w:tcBorders>
            <w:shd w:val="clear" w:color="auto" w:fill="CCEEFF"/>
          </w:tcPr>
          <w:p>
            <w:pPr>
              <w:spacing w:after="0"/>
              <w:rPr>
                <w:sz w:val="12"/>
                <w:szCs w:val="1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(0.29)</w:t>
            </w:r>
          </w:p>
        </w:tc>
        <w:tc>
          <w:tcPr>
            <w:tcW w:w="1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0.50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172.4%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22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160" w:type="dxa"/>
            <w:vAlign w:val="bottom"/>
            <w:tcBorders>
              <w:left w:val="single" w:sz="8" w:color="auto"/>
            </w:tcBorders>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tcBorders>
              <w:right w:val="single" w:sz="8" w:color="CCEEFF"/>
            </w:tcBorders>
            <w:shd w:val="clear" w:color="auto" w:fill="CCEEFF"/>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0" w:type="dxa"/>
            <w:vAlign w:val="bottom"/>
            <w:gridSpan w:val="2"/>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5840" w:type="dxa"/>
            <w:vAlign w:val="bottom"/>
            <w:gridSpan w:val="4"/>
          </w:tcPr>
          <w:p>
            <w:pPr>
              <w:spacing w:after="0"/>
              <w:rPr>
                <w:sz w:val="20"/>
                <w:szCs w:val="20"/>
                <w:color w:val="auto"/>
              </w:rPr>
            </w:pPr>
            <w:r>
              <w:rPr>
                <w:rFonts w:ascii="Arial" w:cs="Arial" w:eastAsia="Arial" w:hAnsi="Arial"/>
                <w:sz w:val="12"/>
                <w:szCs w:val="12"/>
                <w:color w:val="auto"/>
              </w:rPr>
              <w:t>Fully diluted average shares outstanding</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29,107</w:t>
            </w:r>
          </w:p>
        </w:tc>
        <w:tc>
          <w:tcPr>
            <w:tcW w:w="1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0" w:type="dxa"/>
            <w:vAlign w:val="bottom"/>
            <w:gridSpan w:val="2"/>
          </w:tcPr>
          <w:p>
            <w:pPr>
              <w:spacing w:after="0"/>
              <w:rPr>
                <w:sz w:val="20"/>
                <w:szCs w:val="20"/>
                <w:color w:val="auto"/>
              </w:rPr>
            </w:pPr>
            <w:r>
              <w:rPr>
                <w:rFonts w:ascii="Arial" w:cs="Arial" w:eastAsia="Arial" w:hAnsi="Arial"/>
                <w:sz w:val="12"/>
                <w:szCs w:val="12"/>
                <w:color w:val="auto"/>
              </w:rPr>
              <w:t>29,056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2"/>
                <w:szCs w:val="12"/>
                <w:color w:val="auto"/>
              </w:rPr>
              <w:t>51</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0.2%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6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6223000</wp:posOffset>
            </wp:positionH>
            <wp:positionV relativeFrom="paragraph">
              <wp:posOffset>-1455420</wp:posOffset>
            </wp:positionV>
            <wp:extent cx="1069340" cy="1028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69340" cy="1028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-791845</wp:posOffset>
            </wp:positionV>
            <wp:extent cx="7143750" cy="971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3750" cy="97155"/>
                    </a:xfrm>
                    <a:prstGeom prst="rect">
                      <a:avLst/>
                    </a:prstGeom>
                    <a:noFill/>
                  </pic:spPr>
                </pic:pic>
              </a:graphicData>
            </a:graphic>
          </wp:anchor>
        </w:drawing>
      </w:r>
    </w:p>
    <w:p>
      <w:pPr>
        <w:sectPr>
          <w:pgSz w:w="11900" w:h="16900" w:orient="portrait"/>
          <w:cols w:equalWidth="0" w:num="1">
            <w:col w:w="11488"/>
          </w:cols>
          <w:pgMar w:left="212" w:top="140" w:right="199" w:bottom="0" w:gutter="0" w:footer="0" w:header="0"/>
        </w:sectPr>
      </w:pPr>
    </w:p>
    <w:bookmarkStart w:id="7" w:name="page8"/>
    <w:bookmarkEnd w:id="7"/>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6523355</wp:posOffset>
            </wp:positionH>
            <wp:positionV relativeFrom="page">
              <wp:posOffset>88900</wp:posOffset>
            </wp:positionV>
            <wp:extent cx="9036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03605" cy="5715"/>
                    </a:xfrm>
                    <a:prstGeom prst="rect">
                      <a:avLst/>
                    </a:prstGeom>
                    <a:noFill/>
                  </pic:spPr>
                </pic:pic>
              </a:graphicData>
            </a:graphic>
          </wp:anchor>
        </w:drawing>
        <w:drawing>
          <wp:anchor simplePos="0" relativeHeight="251657728" behindDoc="1" locked="0" layoutInCell="0" allowOverlap="1">
            <wp:simplePos x="0" y="0"/>
            <wp:positionH relativeFrom="page">
              <wp:posOffset>5534025</wp:posOffset>
            </wp:positionH>
            <wp:positionV relativeFrom="page">
              <wp:posOffset>88900</wp:posOffset>
            </wp:positionV>
            <wp:extent cx="41783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7830" cy="5715"/>
                    </a:xfrm>
                    <a:prstGeom prst="rect">
                      <a:avLst/>
                    </a:prstGeom>
                    <a:noFill/>
                  </pic:spPr>
                </pic:pic>
              </a:graphicData>
            </a:graphic>
          </wp:anchor>
        </w:drawing>
        <w:drawing>
          <wp:anchor simplePos="0" relativeHeight="251657728" behindDoc="1" locked="0" layoutInCell="0" allowOverlap="1">
            <wp:simplePos x="0" y="0"/>
            <wp:positionH relativeFrom="page">
              <wp:posOffset>3846830</wp:posOffset>
            </wp:positionH>
            <wp:positionV relativeFrom="page">
              <wp:posOffset>88900</wp:posOffset>
            </wp:positionV>
            <wp:extent cx="11150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115060" cy="5715"/>
                    </a:xfrm>
                    <a:prstGeom prst="rect">
                      <a:avLst/>
                    </a:prstGeom>
                    <a:noFill/>
                  </pic:spPr>
                </pic:pic>
              </a:graphicData>
            </a:graphic>
          </wp:anchor>
        </w:drawing>
      </w:r>
    </w:p>
    <w:p>
      <w:pPr>
        <w:spacing w:after="0"/>
        <w:rPr>
          <w:sz w:val="20"/>
          <w:szCs w:val="20"/>
          <w:color w:val="auto"/>
        </w:rPr>
      </w:pPr>
      <w:r>
        <w:rPr>
          <w:rFonts w:ascii="Arial" w:cs="Arial" w:eastAsia="Arial" w:hAnsi="Arial"/>
          <w:sz w:val="10"/>
          <w:szCs w:val="10"/>
          <w:color w:val="auto"/>
        </w:rPr>
        <w:t>* Percentages may not add due to rounding differences.</w:t>
      </w:r>
    </w:p>
    <w:p>
      <w:pPr>
        <w:spacing w:after="0" w:line="170" w:lineRule="exact"/>
        <w:rPr>
          <w:sz w:val="20"/>
          <w:szCs w:val="20"/>
          <w:color w:val="auto"/>
        </w:rPr>
      </w:pPr>
    </w:p>
    <w:p>
      <w:pPr>
        <w:spacing w:after="0"/>
        <w:rPr>
          <w:sz w:val="20"/>
          <w:szCs w:val="20"/>
          <w:color w:val="auto"/>
        </w:rPr>
      </w:pPr>
      <w:r>
        <w:rPr>
          <w:rFonts w:ascii="Arial" w:cs="Arial" w:eastAsia="Arial" w:hAnsi="Arial"/>
          <w:sz w:val="12"/>
          <w:szCs w:val="12"/>
          <w:color w:val="auto"/>
        </w:rPr>
        <w:t>Unit deliveries and average sales price (ASP), net of discounts, consisted of the following:</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110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3360" w:type="dxa"/>
            <w:vAlign w:val="bottom"/>
            <w:tcBorders>
              <w:bottom w:val="single" w:sz="8" w:color="auto"/>
            </w:tcBorders>
          </w:tcPr>
          <w:p>
            <w:pPr>
              <w:jc w:val="right"/>
              <w:ind w:right="1120"/>
              <w:spacing w:after="0"/>
              <w:rPr>
                <w:sz w:val="20"/>
                <w:szCs w:val="20"/>
                <w:color w:val="auto"/>
              </w:rPr>
            </w:pPr>
            <w:r>
              <w:rPr>
                <w:rFonts w:ascii="Arial" w:cs="Arial" w:eastAsia="Arial" w:hAnsi="Arial"/>
                <w:sz w:val="12"/>
                <w:szCs w:val="12"/>
                <w:b w:val="1"/>
                <w:bCs w:val="1"/>
                <w:color w:val="auto"/>
              </w:rPr>
              <w:t>Quarter Ended</w:t>
            </w: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tcPr>
          <w:p>
            <w:pPr>
              <w:spacing w:after="0"/>
              <w:rPr>
                <w:sz w:val="9"/>
                <w:szCs w:val="9"/>
                <w:color w:val="auto"/>
              </w:rPr>
            </w:pPr>
          </w:p>
        </w:tc>
        <w:tc>
          <w:tcPr>
            <w:tcW w:w="2620" w:type="dxa"/>
            <w:vAlign w:val="bottom"/>
          </w:tcPr>
          <w:p>
            <w:pPr>
              <w:jc w:val="center"/>
              <w:ind w:right="740"/>
              <w:spacing w:after="0" w:line="110" w:lineRule="exact"/>
              <w:rPr>
                <w:sz w:val="20"/>
                <w:szCs w:val="20"/>
                <w:color w:val="auto"/>
              </w:rPr>
            </w:pPr>
            <w:r>
              <w:rPr>
                <w:rFonts w:ascii="Arial" w:cs="Arial" w:eastAsia="Arial" w:hAnsi="Arial"/>
                <w:sz w:val="12"/>
                <w:szCs w:val="12"/>
                <w:b w:val="1"/>
                <w:bCs w:val="1"/>
                <w:color w:val="auto"/>
                <w:w w:val="96"/>
              </w:rPr>
              <w:t>May 29,</w:t>
            </w:r>
          </w:p>
        </w:tc>
        <w:tc>
          <w:tcPr>
            <w:tcW w:w="3360" w:type="dxa"/>
            <w:vAlign w:val="bottom"/>
          </w:tcPr>
          <w:p>
            <w:pPr>
              <w:jc w:val="right"/>
              <w:ind w:right="1440"/>
              <w:spacing w:after="0" w:line="110" w:lineRule="exact"/>
              <w:rPr>
                <w:sz w:val="20"/>
                <w:szCs w:val="20"/>
                <w:color w:val="auto"/>
              </w:rPr>
            </w:pPr>
            <w:r>
              <w:rPr>
                <w:rFonts w:ascii="Arial" w:cs="Arial" w:eastAsia="Arial" w:hAnsi="Arial"/>
                <w:sz w:val="12"/>
                <w:szCs w:val="12"/>
                <w:b w:val="1"/>
                <w:bCs w:val="1"/>
                <w:color w:val="auto"/>
              </w:rPr>
              <w:t>Product</w:t>
            </w:r>
          </w:p>
        </w:tc>
        <w:tc>
          <w:tcPr>
            <w:tcW w:w="680" w:type="dxa"/>
            <w:vAlign w:val="bottom"/>
          </w:tcPr>
          <w:p>
            <w:pPr>
              <w:jc w:val="right"/>
              <w:ind w:right="120"/>
              <w:spacing w:after="0" w:line="110" w:lineRule="exact"/>
              <w:rPr>
                <w:sz w:val="20"/>
                <w:szCs w:val="20"/>
                <w:color w:val="auto"/>
              </w:rPr>
            </w:pPr>
            <w:r>
              <w:rPr>
                <w:rFonts w:ascii="Arial" w:cs="Arial" w:eastAsia="Arial" w:hAnsi="Arial"/>
                <w:sz w:val="12"/>
                <w:szCs w:val="12"/>
                <w:b w:val="1"/>
                <w:bCs w:val="1"/>
                <w:color w:val="auto"/>
              </w:rPr>
              <w:t>May 30,</w:t>
            </w:r>
          </w:p>
        </w:tc>
        <w:tc>
          <w:tcPr>
            <w:tcW w:w="980" w:type="dxa"/>
            <w:vAlign w:val="bottom"/>
          </w:tcPr>
          <w:p>
            <w:pPr>
              <w:jc w:val="right"/>
              <w:ind w:right="180"/>
              <w:spacing w:after="0" w:line="110" w:lineRule="exact"/>
              <w:rPr>
                <w:sz w:val="20"/>
                <w:szCs w:val="20"/>
                <w:color w:val="auto"/>
              </w:rPr>
            </w:pPr>
            <w:r>
              <w:rPr>
                <w:rFonts w:ascii="Arial" w:cs="Arial" w:eastAsia="Arial" w:hAnsi="Arial"/>
                <w:sz w:val="12"/>
                <w:szCs w:val="12"/>
                <w:b w:val="1"/>
                <w:bCs w:val="1"/>
                <w:color w:val="auto"/>
              </w:rPr>
              <w:t>Product</w:t>
            </w:r>
          </w:p>
        </w:tc>
        <w:tc>
          <w:tcPr>
            <w:tcW w:w="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gridSpan w:val="2"/>
          </w:tcPr>
          <w:p>
            <w:pPr>
              <w:jc w:val="center"/>
              <w:spacing w:after="0" w:line="110" w:lineRule="exact"/>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50"/>
        </w:trPr>
        <w:tc>
          <w:tcPr>
            <w:tcW w:w="11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units)</w:t>
            </w:r>
          </w:p>
        </w:tc>
        <w:tc>
          <w:tcPr>
            <w:tcW w:w="3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620" w:type="dxa"/>
            <w:vAlign w:val="bottom"/>
            <w:tcBorders>
              <w:bottom w:val="single" w:sz="8" w:color="auto"/>
            </w:tcBorders>
          </w:tcPr>
          <w:p>
            <w:pPr>
              <w:jc w:val="right"/>
              <w:ind w:right="1500"/>
              <w:spacing w:after="0"/>
              <w:rPr>
                <w:sz w:val="20"/>
                <w:szCs w:val="20"/>
                <w:color w:val="auto"/>
              </w:rPr>
            </w:pPr>
            <w:r>
              <w:rPr>
                <w:rFonts w:ascii="Arial" w:cs="Arial" w:eastAsia="Arial" w:hAnsi="Arial"/>
                <w:sz w:val="12"/>
                <w:szCs w:val="12"/>
                <w:b w:val="1"/>
                <w:bCs w:val="1"/>
                <w:color w:val="auto"/>
              </w:rPr>
              <w:t>2010</w:t>
            </w:r>
          </w:p>
        </w:tc>
        <w:tc>
          <w:tcPr>
            <w:tcW w:w="3360" w:type="dxa"/>
            <w:vAlign w:val="bottom"/>
            <w:tcBorders>
              <w:bottom w:val="single" w:sz="8" w:color="auto"/>
            </w:tcBorders>
          </w:tcPr>
          <w:p>
            <w:pPr>
              <w:jc w:val="right"/>
              <w:ind w:right="1540"/>
              <w:spacing w:after="0"/>
              <w:rPr>
                <w:sz w:val="20"/>
                <w:szCs w:val="20"/>
                <w:color w:val="auto"/>
              </w:rPr>
            </w:pPr>
            <w:r>
              <w:rPr>
                <w:rFonts w:ascii="Arial" w:cs="Arial" w:eastAsia="Arial" w:hAnsi="Arial"/>
                <w:sz w:val="12"/>
                <w:szCs w:val="12"/>
                <w:b w:val="1"/>
                <w:bCs w:val="1"/>
                <w:color w:val="auto"/>
              </w:rPr>
              <w:t>Mix*</w:t>
            </w:r>
          </w:p>
        </w:tc>
        <w:tc>
          <w:tcPr>
            <w:tcW w:w="68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2009</w:t>
            </w: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Mix*</w:t>
            </w: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Increase</w:t>
            </w:r>
          </w:p>
        </w:tc>
        <w:tc>
          <w:tcPr>
            <w:tcW w:w="108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9"/>
              </w:rPr>
              <w:t>Change</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417</w:t>
            </w:r>
          </w:p>
        </w:tc>
        <w:tc>
          <w:tcPr>
            <w:tcW w:w="2620" w:type="dxa"/>
            <w:vAlign w:val="bottom"/>
            <w:shd w:val="clear" w:color="auto" w:fill="CCEEFF"/>
          </w:tcPr>
          <w:p>
            <w:pPr>
              <w:spacing w:after="0"/>
              <w:rPr>
                <w:sz w:val="11"/>
                <w:szCs w:val="11"/>
                <w:color w:val="auto"/>
              </w:rPr>
            </w:pPr>
          </w:p>
        </w:tc>
        <w:tc>
          <w:tcPr>
            <w:tcW w:w="3360" w:type="dxa"/>
            <w:vAlign w:val="bottom"/>
            <w:shd w:val="clear" w:color="auto" w:fill="CCEEFF"/>
          </w:tcPr>
          <w:p>
            <w:pPr>
              <w:jc w:val="right"/>
              <w:ind w:right="2720"/>
              <w:spacing w:after="0" w:line="133" w:lineRule="exact"/>
              <w:rPr>
                <w:sz w:val="20"/>
                <w:szCs w:val="20"/>
                <w:color w:val="auto"/>
              </w:rPr>
            </w:pPr>
            <w:r>
              <w:rPr>
                <w:rFonts w:ascii="Arial" w:cs="Arial" w:eastAsia="Arial" w:hAnsi="Arial"/>
                <w:sz w:val="12"/>
                <w:szCs w:val="12"/>
                <w:color w:val="auto"/>
              </w:rPr>
              <w:t>30.5%</w:t>
            </w:r>
          </w:p>
        </w:tc>
        <w:tc>
          <w:tcPr>
            <w:tcW w:w="68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114</w:t>
            </w:r>
          </w:p>
        </w:tc>
        <w:tc>
          <w:tcPr>
            <w:tcW w:w="980" w:type="dxa"/>
            <w:vAlign w:val="bottom"/>
            <w:shd w:val="clear" w:color="auto" w:fill="CCEEFF"/>
          </w:tcPr>
          <w:p>
            <w:pPr>
              <w:jc w:val="right"/>
              <w:ind w:right="340"/>
              <w:spacing w:after="0" w:line="133" w:lineRule="exact"/>
              <w:rPr>
                <w:sz w:val="20"/>
                <w:szCs w:val="20"/>
                <w:color w:val="auto"/>
              </w:rPr>
            </w:pPr>
            <w:r>
              <w:rPr>
                <w:rFonts w:ascii="Arial" w:cs="Arial" w:eastAsia="Arial" w:hAnsi="Arial"/>
                <w:sz w:val="12"/>
                <w:szCs w:val="12"/>
                <w:color w:val="auto"/>
              </w:rPr>
              <w:t>18.4%</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303</w:t>
            </w:r>
          </w:p>
        </w:tc>
        <w:tc>
          <w:tcPr>
            <w:tcW w:w="24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rPr>
              <w:t>265.8%</w:t>
            </w:r>
          </w:p>
        </w:tc>
        <w:tc>
          <w:tcPr>
            <w:tcW w:w="0" w:type="dxa"/>
            <w:vAlign w:val="bottom"/>
          </w:tcPr>
          <w:p>
            <w:pPr>
              <w:spacing w:after="0"/>
              <w:rPr>
                <w:sz w:val="1"/>
                <w:szCs w:val="1"/>
                <w:color w:val="auto"/>
              </w:rPr>
            </w:pPr>
          </w:p>
        </w:tc>
      </w:tr>
      <w:tr>
        <w:trPr>
          <w:trHeight w:val="144"/>
        </w:trPr>
        <w:tc>
          <w:tcPr>
            <w:tcW w:w="110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Class A diesel</w:t>
            </w:r>
          </w:p>
        </w:tc>
        <w:tc>
          <w:tcPr>
            <w:tcW w:w="3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273</w:t>
            </w:r>
          </w:p>
        </w:tc>
        <w:tc>
          <w:tcPr>
            <w:tcW w:w="2620" w:type="dxa"/>
            <w:vAlign w:val="bottom"/>
            <w:tcBorders>
              <w:bottom w:val="single" w:sz="8" w:color="auto"/>
            </w:tcBorders>
          </w:tcPr>
          <w:p>
            <w:pPr>
              <w:spacing w:after="0"/>
              <w:rPr>
                <w:sz w:val="12"/>
                <w:szCs w:val="12"/>
                <w:color w:val="auto"/>
              </w:rPr>
            </w:pPr>
          </w:p>
        </w:tc>
        <w:tc>
          <w:tcPr>
            <w:tcW w:w="336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color w:val="auto"/>
              </w:rPr>
              <w:t>20.0&lt; font style="font-family:Arial;font-size:10pt;"&gt;%</w:t>
            </w:r>
          </w:p>
        </w:tc>
        <w:tc>
          <w:tcPr>
            <w:tcW w:w="6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color w:val="auto"/>
              </w:rPr>
              <w:t>62</w:t>
            </w:r>
          </w:p>
        </w:tc>
        <w:tc>
          <w:tcPr>
            <w:tcW w:w="980" w:type="dxa"/>
            <w:vAlign w:val="bottom"/>
            <w:tcBorders>
              <w:bottom w:val="single" w:sz="8" w:color="auto"/>
            </w:tcBorders>
          </w:tcPr>
          <w:p>
            <w:pPr>
              <w:jc w:val="right"/>
              <w:ind w:right="340"/>
              <w:spacing w:after="0"/>
              <w:rPr>
                <w:sz w:val="20"/>
                <w:szCs w:val="20"/>
                <w:color w:val="auto"/>
              </w:rPr>
            </w:pPr>
            <w:r>
              <w:rPr>
                <w:rFonts w:ascii="Arial" w:cs="Arial" w:eastAsia="Arial" w:hAnsi="Arial"/>
                <w:sz w:val="12"/>
                <w:szCs w:val="12"/>
                <w:color w:val="auto"/>
              </w:rPr>
              <w:t>10.0%</w:t>
            </w: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211</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color w:val="auto"/>
              </w:rPr>
              <w:t>340.3%</w:t>
            </w:r>
          </w:p>
        </w:tc>
        <w:tc>
          <w:tcPr>
            <w:tcW w:w="0" w:type="dxa"/>
            <w:vAlign w:val="bottom"/>
          </w:tcPr>
          <w:p>
            <w:pPr>
              <w:spacing w:after="0"/>
              <w:rPr>
                <w:sz w:val="1"/>
                <w:szCs w:val="1"/>
                <w:color w:val="auto"/>
              </w:rPr>
            </w:pPr>
          </w:p>
        </w:tc>
      </w:tr>
      <w:tr>
        <w:trPr>
          <w:trHeight w:val="133"/>
        </w:trPr>
        <w:tc>
          <w:tcPr>
            <w:tcW w:w="11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3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690</w:t>
            </w:r>
          </w:p>
        </w:tc>
        <w:tc>
          <w:tcPr>
            <w:tcW w:w="2620" w:type="dxa"/>
            <w:vAlign w:val="bottom"/>
            <w:shd w:val="clear" w:color="auto" w:fill="CCEEFF"/>
          </w:tcPr>
          <w:p>
            <w:pPr>
              <w:spacing w:after="0"/>
              <w:rPr>
                <w:sz w:val="11"/>
                <w:szCs w:val="11"/>
                <w:color w:val="auto"/>
              </w:rPr>
            </w:pPr>
          </w:p>
        </w:tc>
        <w:tc>
          <w:tcPr>
            <w:tcW w:w="3360" w:type="dxa"/>
            <w:vAlign w:val="bottom"/>
            <w:shd w:val="clear" w:color="auto" w:fill="CCEEFF"/>
          </w:tcPr>
          <w:p>
            <w:pPr>
              <w:jc w:val="right"/>
              <w:ind w:right="2720"/>
              <w:spacing w:after="0" w:line="133" w:lineRule="exact"/>
              <w:rPr>
                <w:sz w:val="20"/>
                <w:szCs w:val="20"/>
                <w:color w:val="auto"/>
              </w:rPr>
            </w:pPr>
            <w:r>
              <w:rPr>
                <w:rFonts w:ascii="Arial" w:cs="Arial" w:eastAsia="Arial" w:hAnsi="Arial"/>
                <w:sz w:val="12"/>
                <w:szCs w:val="12"/>
                <w:color w:val="auto"/>
              </w:rPr>
              <w:t>50.5%</w:t>
            </w:r>
          </w:p>
        </w:tc>
        <w:tc>
          <w:tcPr>
            <w:tcW w:w="68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176</w:t>
            </w:r>
          </w:p>
        </w:tc>
        <w:tc>
          <w:tcPr>
            <w:tcW w:w="980" w:type="dxa"/>
            <w:vAlign w:val="bottom"/>
            <w:shd w:val="clear" w:color="auto" w:fill="CCEEFF"/>
          </w:tcPr>
          <w:p>
            <w:pPr>
              <w:jc w:val="right"/>
              <w:ind w:right="340"/>
              <w:spacing w:after="0" w:line="133" w:lineRule="exact"/>
              <w:rPr>
                <w:sz w:val="20"/>
                <w:szCs w:val="20"/>
                <w:color w:val="auto"/>
              </w:rPr>
            </w:pPr>
            <w:r>
              <w:rPr>
                <w:rFonts w:ascii="Arial" w:cs="Arial" w:eastAsia="Arial" w:hAnsi="Arial"/>
                <w:sz w:val="12"/>
                <w:szCs w:val="12"/>
                <w:color w:val="auto"/>
              </w:rPr>
              <w:t>28.4%</w:t>
            </w:r>
          </w:p>
        </w:tc>
        <w:tc>
          <w:tcPr>
            <w:tcW w:w="140" w:type="dxa"/>
            <w:vAlign w:val="bottom"/>
            <w:shd w:val="clear" w:color="auto" w:fill="CCEEFF"/>
          </w:tcPr>
          <w:p>
            <w:pPr>
              <w:spacing w:after="0"/>
              <w:rPr>
                <w:sz w:val="11"/>
                <w:szCs w:val="11"/>
                <w:color w:val="auto"/>
              </w:rPr>
            </w:pPr>
          </w:p>
        </w:tc>
        <w:tc>
          <w:tcPr>
            <w:tcW w:w="4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514</w:t>
            </w:r>
          </w:p>
        </w:tc>
        <w:tc>
          <w:tcPr>
            <w:tcW w:w="240" w:type="dxa"/>
            <w:vAlign w:val="bottom"/>
          </w:tcPr>
          <w:p>
            <w:pPr>
              <w:spacing w:after="0"/>
              <w:rPr>
                <w:sz w:val="11"/>
                <w:szCs w:val="11"/>
                <w:color w:val="auto"/>
              </w:rPr>
            </w:pPr>
          </w:p>
        </w:tc>
        <w:tc>
          <w:tcPr>
            <w:tcW w:w="1080" w:type="dxa"/>
            <w:vAlign w:val="bottom"/>
            <w:gridSpan w:val="2"/>
            <w:shd w:val="clear" w:color="auto" w:fill="CCEEFF"/>
          </w:tcPr>
          <w:p>
            <w:pPr>
              <w:jc w:val="right"/>
              <w:ind w:right="540"/>
              <w:spacing w:after="0" w:line="133" w:lineRule="exact"/>
              <w:rPr>
                <w:sz w:val="20"/>
                <w:szCs w:val="20"/>
                <w:color w:val="auto"/>
              </w:rPr>
            </w:pPr>
            <w:r>
              <w:rPr>
                <w:rFonts w:ascii="Arial" w:cs="Arial" w:eastAsia="Arial" w:hAnsi="Arial"/>
                <w:sz w:val="12"/>
                <w:szCs w:val="12"/>
                <w:color w:val="auto"/>
              </w:rPr>
              <w:t>292.0%</w:t>
            </w:r>
          </w:p>
        </w:tc>
        <w:tc>
          <w:tcPr>
            <w:tcW w:w="0" w:type="dxa"/>
            <w:vAlign w:val="bottom"/>
          </w:tcPr>
          <w:p>
            <w:pPr>
              <w:spacing w:after="0"/>
              <w:rPr>
                <w:sz w:val="1"/>
                <w:szCs w:val="1"/>
                <w:color w:val="auto"/>
              </w:rPr>
            </w:pPr>
          </w:p>
        </w:tc>
      </w:tr>
      <w:tr>
        <w:trPr>
          <w:trHeight w:val="135"/>
        </w:trPr>
        <w:tc>
          <w:tcPr>
            <w:tcW w:w="1100" w:type="dxa"/>
            <w:vAlign w:val="bottom"/>
          </w:tcPr>
          <w:p>
            <w:pPr>
              <w:spacing w:after="0"/>
              <w:rPr>
                <w:sz w:val="11"/>
                <w:szCs w:val="11"/>
                <w:color w:val="auto"/>
              </w:rPr>
            </w:pPr>
          </w:p>
        </w:tc>
        <w:tc>
          <w:tcPr>
            <w:tcW w:w="360" w:type="dxa"/>
            <w:vAlign w:val="bottom"/>
          </w:tcPr>
          <w:p>
            <w:pPr>
              <w:spacing w:after="0" w:line="136" w:lineRule="exact"/>
              <w:rPr>
                <w:sz w:val="20"/>
                <w:szCs w:val="20"/>
                <w:color w:val="auto"/>
              </w:rPr>
            </w:pPr>
            <w:r>
              <w:rPr>
                <w:rFonts w:ascii="Arial" w:cs="Arial" w:eastAsia="Arial" w:hAnsi="Arial"/>
                <w:sz w:val="12"/>
                <w:szCs w:val="12"/>
                <w:color w:val="auto"/>
              </w:rPr>
              <w:t>&lt; div</w:t>
            </w:r>
          </w:p>
        </w:tc>
        <w:tc>
          <w:tcPr>
            <w:tcW w:w="4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100" w:type="dxa"/>
            <w:vAlign w:val="bottom"/>
          </w:tcPr>
          <w:p>
            <w:pPr>
              <w:spacing w:after="0"/>
              <w:rPr>
                <w:sz w:val="12"/>
                <w:szCs w:val="12"/>
                <w:color w:val="auto"/>
              </w:rPr>
            </w:pPr>
          </w:p>
        </w:tc>
        <w:tc>
          <w:tcPr>
            <w:tcW w:w="800" w:type="dxa"/>
            <w:vAlign w:val="bottom"/>
            <w:gridSpan w:val="2"/>
          </w:tcPr>
          <w:p>
            <w:pPr>
              <w:spacing w:after="0"/>
              <w:rPr>
                <w:sz w:val="20"/>
                <w:szCs w:val="20"/>
                <w:color w:val="auto"/>
              </w:rPr>
            </w:pPr>
            <w:r>
              <w:rPr>
                <w:rFonts w:ascii="Arial" w:cs="Arial" w:eastAsia="Arial" w:hAnsi="Arial"/>
                <w:sz w:val="12"/>
                <w:szCs w:val="12"/>
                <w:color w:val="auto"/>
              </w:rPr>
              <w:t>style="text-</w:t>
            </w:r>
          </w:p>
        </w:tc>
        <w:tc>
          <w:tcPr>
            <w:tcW w:w="2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80" w:type="dxa"/>
            <w:vAlign w:val="bottom"/>
            <w:vMerge w:val="restart"/>
          </w:tcPr>
          <w:p>
            <w:pPr>
              <w:jc w:val="right"/>
              <w:ind w:right="200"/>
              <w:spacing w:after="0"/>
              <w:rPr>
                <w:sz w:val="20"/>
                <w:szCs w:val="20"/>
                <w:color w:val="auto"/>
              </w:rPr>
            </w:pPr>
            <w:r>
              <w:rPr>
                <w:rFonts w:ascii="Arial" w:cs="Arial" w:eastAsia="Arial" w:hAnsi="Arial"/>
                <w:sz w:val="12"/>
                <w:szCs w:val="12"/>
                <w:color w:val="auto"/>
              </w:rPr>
              <w:t>56</w:t>
            </w: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100" w:type="dxa"/>
            <w:vAlign w:val="bottom"/>
          </w:tcPr>
          <w:p>
            <w:pPr>
              <w:spacing w:after="0"/>
              <w:rPr>
                <w:sz w:val="7"/>
                <w:szCs w:val="7"/>
                <w:color w:val="auto"/>
              </w:rPr>
            </w:pPr>
          </w:p>
        </w:tc>
        <w:tc>
          <w:tcPr>
            <w:tcW w:w="800" w:type="dxa"/>
            <w:vAlign w:val="bottom"/>
            <w:gridSpan w:val="2"/>
            <w:vMerge w:val="restart"/>
          </w:tcPr>
          <w:p>
            <w:pPr>
              <w:spacing w:after="0"/>
              <w:rPr>
                <w:sz w:val="20"/>
                <w:szCs w:val="20"/>
                <w:color w:val="auto"/>
              </w:rPr>
            </w:pPr>
            <w:r>
              <w:rPr>
                <w:rFonts w:ascii="Arial" w:cs="Arial" w:eastAsia="Arial" w:hAnsi="Arial"/>
                <w:sz w:val="12"/>
                <w:szCs w:val="12"/>
                <w:color w:val="auto"/>
                <w:w w:val="98"/>
              </w:rPr>
              <w:t>align:right;font-</w:t>
            </w:r>
          </w:p>
        </w:tc>
        <w:tc>
          <w:tcPr>
            <w:tcW w:w="2620" w:type="dxa"/>
            <w:vAlign w:val="bottom"/>
          </w:tcPr>
          <w:p>
            <w:pPr>
              <w:spacing w:after="0"/>
              <w:rPr>
                <w:sz w:val="7"/>
                <w:szCs w:val="7"/>
                <w:color w:val="auto"/>
              </w:rPr>
            </w:pPr>
          </w:p>
        </w:tc>
        <w:tc>
          <w:tcPr>
            <w:tcW w:w="336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110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2620" w:type="dxa"/>
            <w:vAlign w:val="bottom"/>
          </w:tcPr>
          <w:p>
            <w:pPr>
              <w:spacing w:after="0"/>
              <w:rPr>
                <w:sz w:val="5"/>
                <w:szCs w:val="5"/>
                <w:color w:val="auto"/>
              </w:rPr>
            </w:pPr>
          </w:p>
        </w:tc>
        <w:tc>
          <w:tcPr>
            <w:tcW w:w="3360" w:type="dxa"/>
            <w:vAlign w:val="bottom"/>
          </w:tcPr>
          <w:p>
            <w:pPr>
              <w:spacing w:after="0"/>
              <w:rPr>
                <w:sz w:val="5"/>
                <w:szCs w:val="5"/>
                <w:color w:val="auto"/>
              </w:rPr>
            </w:pPr>
          </w:p>
        </w:tc>
        <w:tc>
          <w:tcPr>
            <w:tcW w:w="6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1100" w:type="dxa"/>
            <w:vAlign w:val="bottom"/>
          </w:tcPr>
          <w:p>
            <w:pPr>
              <w:spacing w:after="0"/>
              <w:rPr>
                <w:sz w:val="20"/>
                <w:szCs w:val="20"/>
                <w:color w:val="auto"/>
              </w:rPr>
            </w:pPr>
            <w:r>
              <w:rPr>
                <w:rFonts w:ascii="Arial" w:cs="Arial" w:eastAsia="Arial" w:hAnsi="Arial"/>
                <w:sz w:val="12"/>
                <w:szCs w:val="12"/>
                <w:color w:val="auto"/>
              </w:rPr>
              <w:t>Class B</w:t>
            </w:r>
          </w:p>
        </w:tc>
        <w:tc>
          <w:tcPr>
            <w:tcW w:w="800" w:type="dxa"/>
            <w:vAlign w:val="bottom"/>
            <w:gridSpan w:val="2"/>
          </w:tcPr>
          <w:p>
            <w:pPr>
              <w:spacing w:after="0"/>
              <w:rPr>
                <w:sz w:val="20"/>
                <w:szCs w:val="20"/>
                <w:color w:val="auto"/>
              </w:rPr>
            </w:pPr>
            <w:r>
              <w:rPr>
                <w:rFonts w:ascii="Arial" w:cs="Arial" w:eastAsia="Arial" w:hAnsi="Arial"/>
                <w:sz w:val="12"/>
                <w:szCs w:val="12"/>
                <w:color w:val="auto"/>
              </w:rPr>
              <w:t>size:10pt;"&gt;76</w:t>
            </w:r>
          </w:p>
        </w:tc>
        <w:tc>
          <w:tcPr>
            <w:tcW w:w="2620" w:type="dxa"/>
            <w:vAlign w:val="bottom"/>
          </w:tcPr>
          <w:p>
            <w:pPr>
              <w:spacing w:after="0"/>
              <w:rPr>
                <w:sz w:val="13"/>
                <w:szCs w:val="13"/>
                <w:color w:val="auto"/>
              </w:rPr>
            </w:pPr>
          </w:p>
        </w:tc>
        <w:tc>
          <w:tcPr>
            <w:tcW w:w="3360" w:type="dxa"/>
            <w:vAlign w:val="bottom"/>
          </w:tcPr>
          <w:p>
            <w:pPr>
              <w:jc w:val="right"/>
              <w:ind w:right="2720"/>
              <w:spacing w:after="0"/>
              <w:rPr>
                <w:sz w:val="20"/>
                <w:szCs w:val="20"/>
                <w:color w:val="auto"/>
              </w:rPr>
            </w:pPr>
            <w:r>
              <w:rPr>
                <w:rFonts w:ascii="Arial" w:cs="Arial" w:eastAsia="Arial" w:hAnsi="Arial"/>
                <w:sz w:val="12"/>
                <w:szCs w:val="12"/>
                <w:color w:val="auto"/>
              </w:rPr>
              <w:t>5.6%</w:t>
            </w:r>
          </w:p>
        </w:tc>
        <w:tc>
          <w:tcPr>
            <w:tcW w:w="680" w:type="dxa"/>
            <w:vAlign w:val="bottom"/>
          </w:tcPr>
          <w:p>
            <w:pPr>
              <w:spacing w:after="0"/>
              <w:rPr>
                <w:sz w:val="13"/>
                <w:szCs w:val="13"/>
                <w:color w:val="auto"/>
              </w:rPr>
            </w:pPr>
          </w:p>
        </w:tc>
        <w:tc>
          <w:tcPr>
            <w:tcW w:w="980" w:type="dxa"/>
            <w:vAlign w:val="bottom"/>
          </w:tcPr>
          <w:p>
            <w:pPr>
              <w:jc w:val="right"/>
              <w:ind w:right="340"/>
              <w:spacing w:after="0"/>
              <w:rPr>
                <w:sz w:val="20"/>
                <w:szCs w:val="20"/>
                <w:color w:val="auto"/>
              </w:rPr>
            </w:pPr>
            <w:r>
              <w:rPr>
                <w:rFonts w:ascii="Arial" w:cs="Arial" w:eastAsia="Arial" w:hAnsi="Arial"/>
                <w:sz w:val="12"/>
                <w:szCs w:val="12"/>
                <w:color w:val="auto"/>
              </w:rPr>
              <w:t>9.0%</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spacing w:after="0"/>
              <w:rPr>
                <w:sz w:val="13"/>
                <w:szCs w:val="13"/>
                <w:color w:val="auto"/>
              </w:rPr>
            </w:pPr>
          </w:p>
        </w:tc>
        <w:tc>
          <w:tcPr>
            <w:tcW w:w="1080" w:type="dxa"/>
            <w:vAlign w:val="bottom"/>
            <w:gridSpan w:val="2"/>
          </w:tcPr>
          <w:p>
            <w:pPr>
              <w:jc w:val="center"/>
              <w:spacing w:after="0"/>
              <w:rPr>
                <w:sz w:val="20"/>
                <w:szCs w:val="20"/>
                <w:color w:val="auto"/>
              </w:rPr>
            </w:pPr>
            <w:r>
              <w:rPr>
                <w:rFonts w:ascii="Arial" w:cs="Arial" w:eastAsia="Arial" w:hAnsi="Arial"/>
                <w:sz w:val="12"/>
                <w:szCs w:val="12"/>
                <w:color w:val="auto"/>
                <w:w w:val="99"/>
              </w:rPr>
              <w:t>35.7%&lt; /div&gt;</w:t>
            </w: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Class C</w:t>
            </w:r>
          </w:p>
        </w:tc>
        <w:tc>
          <w:tcPr>
            <w:tcW w:w="36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600</w:t>
            </w:r>
          </w:p>
        </w:tc>
        <w:tc>
          <w:tcPr>
            <w:tcW w:w="2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&lt; font style="font-family:inherit;font-size:10pt;"&gt;</w:t>
            </w:r>
          </w:p>
        </w:tc>
        <w:tc>
          <w:tcPr>
            <w:tcW w:w="3360" w:type="dxa"/>
            <w:vAlign w:val="bottom"/>
            <w:tcBorders>
              <w:bottom w:val="single" w:sz="8" w:color="auto"/>
            </w:tcBorders>
            <w:shd w:val="clear" w:color="auto" w:fill="CCEEFF"/>
          </w:tcPr>
          <w:p>
            <w:pPr>
              <w:jc w:val="right"/>
              <w:ind w:right="2720"/>
              <w:spacing w:after="0"/>
              <w:rPr>
                <w:sz w:val="20"/>
                <w:szCs w:val="20"/>
                <w:color w:val="auto"/>
              </w:rPr>
            </w:pPr>
            <w:r>
              <w:rPr>
                <w:rFonts w:ascii="Arial" w:cs="Arial" w:eastAsia="Arial" w:hAnsi="Arial"/>
                <w:sz w:val="12"/>
                <w:szCs w:val="12"/>
                <w:color w:val="auto"/>
              </w:rPr>
              <w:t>43.9%</w:t>
            </w:r>
          </w:p>
        </w:tc>
        <w:tc>
          <w:tcPr>
            <w:tcW w:w="680" w:type="dxa"/>
            <w:vAlign w:val="bottom"/>
            <w:tcBorders>
              <w:bottom w:val="single" w:sz="8" w:color="auto"/>
            </w:tcBorders>
            <w:shd w:val="clear" w:color="auto" w:fill="CCEEFF"/>
          </w:tcPr>
          <w:p>
            <w:pPr>
              <w:jc w:val="right"/>
              <w:ind w:right="200"/>
              <w:spacing w:after="0"/>
              <w:rPr>
                <w:sz w:val="20"/>
                <w:szCs w:val="20"/>
                <w:color w:val="auto"/>
              </w:rPr>
            </w:pPr>
            <w:r>
              <w:rPr>
                <w:rFonts w:ascii="Arial" w:cs="Arial" w:eastAsia="Arial" w:hAnsi="Arial"/>
                <w:sz w:val="12"/>
                <w:szCs w:val="12"/>
                <w:color w:val="auto"/>
              </w:rPr>
              <w:t>388</w:t>
            </w:r>
          </w:p>
        </w:tc>
        <w:tc>
          <w:tcPr>
            <w:tcW w:w="98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62.6%</w:t>
            </w:r>
          </w:p>
        </w:tc>
        <w:tc>
          <w:tcPr>
            <w:tcW w:w="1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212</w:t>
            </w:r>
          </w:p>
        </w:tc>
        <w:tc>
          <w:tcPr>
            <w:tcW w:w="24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54.6%</w:t>
            </w:r>
          </w:p>
        </w:tc>
        <w:tc>
          <w:tcPr>
            <w:tcW w:w="0" w:type="dxa"/>
            <w:vAlign w:val="bottom"/>
          </w:tcPr>
          <w:p>
            <w:pPr>
              <w:spacing w:after="0"/>
              <w:rPr>
                <w:sz w:val="1"/>
                <w:szCs w:val="1"/>
                <w:color w:val="auto"/>
              </w:rPr>
            </w:pPr>
          </w:p>
        </w:tc>
      </w:tr>
      <w:tr>
        <w:trPr>
          <w:trHeight w:val="140"/>
        </w:trPr>
        <w:tc>
          <w:tcPr>
            <w:tcW w:w="1100" w:type="dxa"/>
            <w:vAlign w:val="bottom"/>
          </w:tcPr>
          <w:p>
            <w:pPr>
              <w:spacing w:after="0" w:line="133" w:lineRule="exact"/>
              <w:rPr>
                <w:sz w:val="20"/>
                <w:szCs w:val="20"/>
                <w:color w:val="auto"/>
              </w:rPr>
            </w:pPr>
            <w:r>
              <w:rPr>
                <w:rFonts w:ascii="Arial" w:cs="Arial" w:eastAsia="Arial" w:hAnsi="Arial"/>
                <w:sz w:val="12"/>
                <w:szCs w:val="12"/>
                <w:color w:val="auto"/>
              </w:rPr>
              <w:t>Total deliveries</w:t>
            </w:r>
          </w:p>
        </w:tc>
        <w:tc>
          <w:tcPr>
            <w:tcW w:w="360" w:type="dxa"/>
            <w:vAlign w:val="bottom"/>
          </w:tcPr>
          <w:p>
            <w:pPr>
              <w:spacing w:after="0"/>
              <w:rPr>
                <w:sz w:val="12"/>
                <w:szCs w:val="12"/>
                <w:color w:val="auto"/>
              </w:rPr>
            </w:pPr>
          </w:p>
        </w:tc>
        <w:tc>
          <w:tcPr>
            <w:tcW w:w="440" w:type="dxa"/>
            <w:vAlign w:val="bottom"/>
          </w:tcPr>
          <w:p>
            <w:pPr>
              <w:jc w:val="right"/>
              <w:spacing w:after="0" w:line="133" w:lineRule="exact"/>
              <w:rPr>
                <w:sz w:val="20"/>
                <w:szCs w:val="20"/>
                <w:color w:val="auto"/>
              </w:rPr>
            </w:pPr>
            <w:r>
              <w:rPr>
                <w:rFonts w:ascii="Arial" w:cs="Arial" w:eastAsia="Arial" w:hAnsi="Arial"/>
                <w:sz w:val="12"/>
                <w:szCs w:val="12"/>
                <w:color w:val="auto"/>
              </w:rPr>
              <w:t>1,366</w:t>
            </w:r>
          </w:p>
        </w:tc>
        <w:tc>
          <w:tcPr>
            <w:tcW w:w="2620" w:type="dxa"/>
            <w:vAlign w:val="bottom"/>
          </w:tcPr>
          <w:p>
            <w:pPr>
              <w:spacing w:after="0"/>
              <w:rPr>
                <w:sz w:val="12"/>
                <w:szCs w:val="12"/>
                <w:color w:val="auto"/>
              </w:rPr>
            </w:pPr>
          </w:p>
        </w:tc>
        <w:tc>
          <w:tcPr>
            <w:tcW w:w="3360" w:type="dxa"/>
            <w:vAlign w:val="bottom"/>
          </w:tcPr>
          <w:p>
            <w:pPr>
              <w:jc w:val="right"/>
              <w:ind w:right="2720"/>
              <w:spacing w:after="0" w:line="133" w:lineRule="exact"/>
              <w:rPr>
                <w:sz w:val="20"/>
                <w:szCs w:val="20"/>
                <w:color w:val="auto"/>
              </w:rPr>
            </w:pPr>
            <w:r>
              <w:rPr>
                <w:rFonts w:ascii="Arial" w:cs="Arial" w:eastAsia="Arial" w:hAnsi="Arial"/>
                <w:sz w:val="12"/>
                <w:szCs w:val="12"/>
                <w:color w:val="auto"/>
              </w:rPr>
              <w:t>100.0%</w:t>
            </w:r>
          </w:p>
        </w:tc>
        <w:tc>
          <w:tcPr>
            <w:tcW w:w="680" w:type="dxa"/>
            <w:vAlign w:val="bottom"/>
          </w:tcPr>
          <w:p>
            <w:pPr>
              <w:jc w:val="right"/>
              <w:ind w:right="200"/>
              <w:spacing w:after="0" w:line="133" w:lineRule="exact"/>
              <w:rPr>
                <w:sz w:val="20"/>
                <w:szCs w:val="20"/>
                <w:color w:val="auto"/>
              </w:rPr>
            </w:pPr>
            <w:r>
              <w:rPr>
                <w:rFonts w:ascii="Arial" w:cs="Arial" w:eastAsia="Arial" w:hAnsi="Arial"/>
                <w:sz w:val="12"/>
                <w:szCs w:val="12"/>
                <w:color w:val="auto"/>
              </w:rPr>
              <w:t>620</w:t>
            </w:r>
          </w:p>
        </w:tc>
        <w:tc>
          <w:tcPr>
            <w:tcW w:w="980" w:type="dxa"/>
            <w:vAlign w:val="bottom"/>
          </w:tcPr>
          <w:p>
            <w:pPr>
              <w:jc w:val="right"/>
              <w:ind w:right="340"/>
              <w:spacing w:after="0" w:line="133" w:lineRule="exact"/>
              <w:rPr>
                <w:sz w:val="20"/>
                <w:szCs w:val="20"/>
                <w:color w:val="auto"/>
              </w:rPr>
            </w:pPr>
            <w:r>
              <w:rPr>
                <w:rFonts w:ascii="Arial" w:cs="Arial" w:eastAsia="Arial" w:hAnsi="Arial"/>
                <w:sz w:val="12"/>
                <w:szCs w:val="12"/>
                <w:color w:val="auto"/>
              </w:rPr>
              <w:t>100.0%</w:t>
            </w:r>
          </w:p>
        </w:tc>
        <w:tc>
          <w:tcPr>
            <w:tcW w:w="140" w:type="dxa"/>
            <w:vAlign w:val="bottom"/>
          </w:tcPr>
          <w:p>
            <w:pPr>
              <w:spacing w:after="0"/>
              <w:rPr>
                <w:sz w:val="12"/>
                <w:szCs w:val="12"/>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2"/>
                <w:szCs w:val="12"/>
                <w:color w:val="auto"/>
              </w:rPr>
              <w:t>746</w:t>
            </w:r>
          </w:p>
        </w:tc>
        <w:tc>
          <w:tcPr>
            <w:tcW w:w="240" w:type="dxa"/>
            <w:vAlign w:val="bottom"/>
          </w:tcPr>
          <w:p>
            <w:pPr>
              <w:spacing w:after="0"/>
              <w:rPr>
                <w:sz w:val="12"/>
                <w:szCs w:val="12"/>
                <w:color w:val="auto"/>
              </w:rPr>
            </w:pPr>
          </w:p>
        </w:tc>
        <w:tc>
          <w:tcPr>
            <w:tcW w:w="1080" w:type="dxa"/>
            <w:vAlign w:val="bottom"/>
            <w:gridSpan w:val="2"/>
          </w:tcPr>
          <w:p>
            <w:pPr>
              <w:jc w:val="right"/>
              <w:ind w:right="540"/>
              <w:spacing w:after="0" w:line="133" w:lineRule="exact"/>
              <w:rPr>
                <w:sz w:val="20"/>
                <w:szCs w:val="20"/>
                <w:color w:val="auto"/>
              </w:rPr>
            </w:pPr>
            <w:r>
              <w:rPr>
                <w:rFonts w:ascii="Arial" w:cs="Arial" w:eastAsia="Arial" w:hAnsi="Arial"/>
                <w:sz w:val="12"/>
                <w:szCs w:val="12"/>
                <w:color w:val="auto"/>
              </w:rPr>
              <w:t>120.3%</w:t>
            </w:r>
          </w:p>
        </w:tc>
        <w:tc>
          <w:tcPr>
            <w:tcW w:w="0" w:type="dxa"/>
            <w:vAlign w:val="bottom"/>
          </w:tcPr>
          <w:p>
            <w:pPr>
              <w:spacing w:after="0"/>
              <w:rPr>
                <w:sz w:val="1"/>
                <w:szCs w:val="1"/>
                <w:color w:val="auto"/>
              </w:rPr>
            </w:pPr>
          </w:p>
        </w:tc>
      </w:tr>
      <w:tr>
        <w:trPr>
          <w:trHeight w:val="162"/>
        </w:trPr>
        <w:tc>
          <w:tcPr>
            <w:tcW w:w="1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2620" w:type="dxa"/>
            <w:vAlign w:val="bottom"/>
            <w:tcBorders>
              <w:top w:val="single" w:sz="8" w:color="auto"/>
            </w:tcBorders>
          </w:tcPr>
          <w:p>
            <w:pPr>
              <w:spacing w:after="0"/>
              <w:rPr>
                <w:sz w:val="14"/>
                <w:szCs w:val="14"/>
                <w:color w:val="auto"/>
              </w:rPr>
            </w:pPr>
          </w:p>
        </w:tc>
        <w:tc>
          <w:tcPr>
            <w:tcW w:w="33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1100" w:type="dxa"/>
            <w:vAlign w:val="bottom"/>
            <w:shd w:val="clear" w:color="auto" w:fill="CCEEFF"/>
          </w:tcPr>
          <w:p>
            <w:pPr>
              <w:spacing w:after="0"/>
              <w:rPr>
                <w:sz w:val="20"/>
                <w:szCs w:val="20"/>
                <w:color w:val="auto"/>
              </w:rPr>
            </w:pPr>
            <w:r>
              <w:rPr>
                <w:rFonts w:ascii="Arial" w:cs="Arial" w:eastAsia="Arial" w:hAnsi="Arial"/>
                <w:sz w:val="12"/>
                <w:szCs w:val="12"/>
                <w:color w:val="auto"/>
              </w:rPr>
              <w:t>ASP (in thousands)</w:t>
            </w: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2620" w:type="dxa"/>
            <w:vAlign w:val="bottom"/>
            <w:shd w:val="clear" w:color="auto" w:fill="CCEEFF"/>
          </w:tcPr>
          <w:p>
            <w:pPr>
              <w:spacing w:after="0"/>
              <w:rPr>
                <w:sz w:val="12"/>
                <w:szCs w:val="12"/>
                <w:color w:val="auto"/>
              </w:rPr>
            </w:pPr>
          </w:p>
        </w:tc>
        <w:tc>
          <w:tcPr>
            <w:tcW w:w="33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77</w:t>
            </w:r>
          </w:p>
        </w:tc>
        <w:tc>
          <w:tcPr>
            <w:tcW w:w="9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40"/>
              <w:spacing w:after="0"/>
              <w:rPr>
                <w:sz w:val="20"/>
                <w:szCs w:val="20"/>
                <w:color w:val="auto"/>
              </w:rPr>
            </w:pPr>
            <w:r>
              <w:rPr>
                <w:rFonts w:ascii="Arial" w:cs="Arial" w:eastAsia="Arial" w:hAnsi="Arial"/>
                <w:sz w:val="12"/>
                <w:szCs w:val="12"/>
                <w:color w:val="auto"/>
              </w:rPr>
              <w:t>22.0%</w:t>
            </w:r>
          </w:p>
        </w:tc>
        <w:tc>
          <w:tcPr>
            <w:tcW w:w="0" w:type="dxa"/>
            <w:vAlign w:val="bottom"/>
          </w:tcPr>
          <w:p>
            <w:pPr>
              <w:spacing w:after="0"/>
              <w:rPr>
                <w:sz w:val="1"/>
                <w:szCs w:val="1"/>
                <w:color w:val="auto"/>
              </w:rPr>
            </w:pPr>
          </w:p>
        </w:tc>
      </w:tr>
      <w:tr>
        <w:trPr>
          <w:trHeight w:val="154"/>
        </w:trPr>
        <w:tc>
          <w:tcPr>
            <w:tcW w:w="4520" w:type="dxa"/>
            <w:vAlign w:val="bottom"/>
            <w:gridSpan w:val="4"/>
          </w:tcPr>
          <w:p>
            <w:pPr>
              <w:spacing w:after="0"/>
              <w:rPr>
                <w:sz w:val="20"/>
                <w:szCs w:val="20"/>
                <w:color w:val="auto"/>
              </w:rPr>
            </w:pPr>
            <w:r>
              <w:rPr>
                <w:rFonts w:ascii="Arial" w:cs="Arial" w:eastAsia="Arial" w:hAnsi="Arial"/>
                <w:sz w:val="10"/>
                <w:szCs w:val="10"/>
                <w:color w:val="auto"/>
              </w:rPr>
              <w:t>* Percentages may not add due to rounding differences.</w:t>
            </w:r>
          </w:p>
        </w:tc>
        <w:tc>
          <w:tcPr>
            <w:tcW w:w="3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&amp;nbs p;</w:t>
            </w: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Net revenues for the third quarter of Fiscal 2010 increased $84.0 million, or 165.1 percent, compared to the third quarter of Fiscal 2009, due to the following:</w:t>
      </w:r>
    </w:p>
    <w:p>
      <w:pPr>
        <w:spacing w:after="0" w:line="150" w:lineRule="exact"/>
        <w:rPr>
          <w:sz w:val="20"/>
          <w:szCs w:val="20"/>
          <w:color w:val="auto"/>
        </w:rPr>
      </w:pPr>
    </w:p>
    <w:p>
      <w:pPr>
        <w:ind w:left="420" w:hanging="212"/>
        <w:spacing w:after="0"/>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Volume increase: The primary reason for the net revenue increase was due to an increase in unit deliveries of 120.3 percent.</w:t>
      </w:r>
    </w:p>
    <w:p>
      <w:pPr>
        <w:spacing w:after="0" w:line="6" w:lineRule="exact"/>
        <w:rPr>
          <w:rFonts w:ascii="Arial" w:cs="Arial" w:eastAsia="Arial" w:hAnsi="Arial"/>
          <w:sz w:val="12"/>
          <w:szCs w:val="12"/>
          <w:color w:val="auto"/>
        </w:rPr>
      </w:pPr>
    </w:p>
    <w:p>
      <w:pPr>
        <w:ind w:left="420" w:right="340" w:hanging="212"/>
        <w:spacing w:after="0" w:line="250" w:lineRule="auto"/>
        <w:tabs>
          <w:tab w:leader="none" w:pos="420" w:val="left"/>
        </w:tabs>
        <w:numPr>
          <w:ilvl w:val="0"/>
          <w:numId w:val="6"/>
        </w:numPr>
        <w:rPr>
          <w:rFonts w:ascii="Arial" w:cs="Arial" w:eastAsia="Arial" w:hAnsi="Arial"/>
          <w:sz w:val="12"/>
          <w:szCs w:val="12"/>
          <w:color w:val="auto"/>
        </w:rPr>
      </w:pPr>
      <w:r>
        <w:rPr>
          <w:rFonts w:ascii="Arial" w:cs="Arial" w:eastAsia="Arial" w:hAnsi="Arial"/>
          <w:sz w:val="12"/>
          <w:szCs w:val="12"/>
          <w:color w:val="auto"/>
        </w:rPr>
        <w:t>Pricing and mix: Our motor home ASP increased 22.0 percent. This increase was due to a shift to higher-priced product as our sales mix was more heavily weighted to Class A product and a decrease of product discounts offered at the wholesale level as compared to the comparable quarter last year.</w:t>
      </w:r>
    </w:p>
    <w:p>
      <w:pPr>
        <w:ind w:left="380" w:hanging="172"/>
        <w:spacing w:after="0"/>
        <w:tabs>
          <w:tab w:leader="none" w:pos="380" w:val="left"/>
        </w:tabs>
        <w:numPr>
          <w:ilvl w:val="0"/>
          <w:numId w:val="6"/>
        </w:numPr>
        <w:rPr>
          <w:rFonts w:ascii="Arial" w:cs="Arial" w:eastAsia="Arial" w:hAnsi="Arial"/>
          <w:sz w:val="12"/>
          <w:szCs w:val="12"/>
          <w:color w:val="auto"/>
        </w:rPr>
      </w:pPr>
      <w:r>
        <w:rPr>
          <w:rFonts w:ascii="Arial" w:cs="Arial" w:eastAsia="Arial" w:hAnsi="Arial"/>
          <w:sz w:val="12"/>
          <w:szCs w:val="12"/>
          <w:color w:val="auto"/>
        </w:rPr>
        <w:t>&lt;Other/div&gt; revenue: Revenues for motor home parts and services and other manufacturing products increased $2.6 million, or 40.0 percent.</w:t>
      </w:r>
    </w:p>
    <w:p>
      <w:pPr>
        <w:spacing w:after="0" w:line="6" w:lineRule="exact"/>
        <w:rPr>
          <w:sz w:val="20"/>
          <w:szCs w:val="20"/>
          <w:color w:val="auto"/>
        </w:rPr>
      </w:pPr>
    </w:p>
    <w:p>
      <w:pPr>
        <w:ind w:right="260" w:firstLine="649"/>
        <w:spacing w:after="0" w:line="334" w:lineRule="auto"/>
        <w:rPr>
          <w:sz w:val="20"/>
          <w:szCs w:val="20"/>
          <w:color w:val="auto"/>
        </w:rPr>
      </w:pPr>
      <w:r>
        <w:rPr>
          <w:rFonts w:ascii="Arial" w:cs="Arial" w:eastAsia="Arial" w:hAnsi="Arial"/>
          <w:sz w:val="9"/>
          <w:szCs w:val="9"/>
          <w:color w:val="auto"/>
        </w:rPr>
        <w:t>Promotional incentives: Our retail and other incentives, which are deductions from gross revenues, decreased 4.7 percent (as a percent of net revenues). In the prior year, we had more retail incentive Cost of productsprogramssold wasinplace$125to.1helpmillion,stimulateor92.8dealerpercentretailof nd</w:t>
      </w:r>
      <w:r>
        <w:rPr>
          <w:rFonts w:ascii="Arial" w:cs="Arial" w:eastAsia="Arial" w:hAnsi="Arial"/>
          <w:sz w:val="9"/>
          <w:szCs w:val="9"/>
          <w:b w:val="1"/>
          <w:bCs w:val="1"/>
          <w:color w:val="auto"/>
        </w:rPr>
        <w:t>e</w:t>
      </w:r>
      <w:r>
        <w:rPr>
          <w:rFonts w:ascii="Arial" w:cs="Arial" w:eastAsia="Arial" w:hAnsi="Arial"/>
          <w:sz w:val="9"/>
          <w:szCs w:val="9"/>
          <w:color w:val="auto"/>
        </w:rPr>
        <w:t>tmandrevenues.Dealefo</w:t>
      </w:r>
      <w:r>
        <w:rPr>
          <w:rFonts w:ascii="Arial" w:cs="Arial" w:eastAsia="Arial" w:hAnsi="Arial"/>
          <w:sz w:val="9"/>
          <w:szCs w:val="9"/>
          <w:b w:val="1"/>
          <w:bCs w:val="1"/>
          <w:color w:val="auto"/>
        </w:rPr>
        <w:t>r</w:t>
      </w:r>
      <w:r>
        <w:rPr>
          <w:rFonts w:ascii="Arial" w:cs="Arial" w:eastAsia="Arial" w:hAnsi="Arial"/>
          <w:sz w:val="9"/>
          <w:szCs w:val="9"/>
          <w:color w:val="auto"/>
        </w:rPr>
        <w:t xml:space="preserve"> theinventorythirdquarterlevels atof thirdFscalquarter2010 end of Fiscal 2010 were down 13.9 percent (2,000 versus 2,324&lt; /font&gt;) as compared to the end of the</w:t>
      </w:r>
    </w:p>
    <w:p>
      <w:pPr>
        <w:ind w:left="640"/>
        <w:spacing w:after="0"/>
        <w:rPr>
          <w:sz w:val="20"/>
          <w:szCs w:val="20"/>
          <w:color w:val="auto"/>
        </w:rPr>
      </w:pPr>
      <w:r>
        <w:rPr>
          <w:rFonts w:ascii="Arial" w:cs="Arial" w:eastAsia="Arial" w:hAnsi="Arial"/>
          <w:sz w:val="12"/>
          <w:szCs w:val="12"/>
          <w:color w:val="auto"/>
        </w:rPr>
        <w:t>third quarter of Fiscal 2009 and the age of Winnebago product on our dealers lots is much improved. Better retail market conditions are the key reason these types of promotional incentives are lower this</w:t>
      </w:r>
    </w:p>
    <w:p>
      <w:pPr>
        <w:spacing w:after="0" w:line="6" w:lineRule="exact"/>
        <w:rPr>
          <w:sz w:val="20"/>
          <w:szCs w:val="20"/>
          <w:color w:val="auto"/>
        </w:rPr>
      </w:pPr>
    </w:p>
    <w:tbl>
      <w:tblPr>
        <w:tblLayout w:type="fixed"/>
        <w:tblInd w:w="640" w:type="dxa"/>
        <w:tblCellMar>
          <w:top w:w="0" w:type="dxa"/>
          <w:left w:w="0" w:type="dxa"/>
          <w:bottom w:w="0" w:type="dxa"/>
          <w:right w:w="0" w:type="dxa"/>
        </w:tblCellMar>
      </w:tblPr>
      <w:tr>
        <w:trPr>
          <w:trHeight w:val="145"/>
        </w:trPr>
        <w:tc>
          <w:tcPr>
            <w:tcW w:w="2640" w:type="dxa"/>
            <w:vAlign w:val="bottom"/>
          </w:tcPr>
          <w:p>
            <w:pPr>
              <w:spacing w:after="0"/>
              <w:rPr>
                <w:sz w:val="20"/>
                <w:szCs w:val="20"/>
                <w:color w:val="auto"/>
              </w:rPr>
            </w:pPr>
            <w:r>
              <w:rPr>
                <w:rFonts w:ascii="Arial" w:cs="Arial" w:eastAsia="Arial" w:hAnsi="Arial"/>
                <w:sz w:val="12"/>
                <w:szCs w:val="12"/>
                <w:color w:val="auto"/>
              </w:rPr>
              <w:t>year.</w:t>
            </w:r>
          </w:p>
        </w:tc>
        <w:tc>
          <w:tcPr>
            <w:tcW w:w="2520" w:type="dxa"/>
            <w:vAlign w:val="bottom"/>
          </w:tcPr>
          <w:p>
            <w:pPr>
              <w:jc w:val="right"/>
              <w:spacing w:after="0"/>
              <w:rPr>
                <w:sz w:val="20"/>
                <w:szCs w:val="20"/>
                <w:color w:val="auto"/>
              </w:rPr>
            </w:pPr>
            <w:r>
              <w:rPr>
                <w:rFonts w:ascii="Arial" w:cs="Arial" w:eastAsia="Arial" w:hAnsi="Arial"/>
                <w:sz w:val="12"/>
                <w:szCs w:val="12"/>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27305</wp:posOffset>
            </wp:positionV>
            <wp:extent cx="73177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06"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right="200"/>
        <w:spacing w:after="0" w:line="252" w:lineRule="auto"/>
        <w:rPr>
          <w:sz w:val="20"/>
          <w:szCs w:val="20"/>
          <w:color w:val="auto"/>
        </w:rPr>
      </w:pPr>
      <w:r>
        <w:rPr>
          <w:rFonts w:ascii="Arial" w:cs="Arial" w:eastAsia="Arial" w:hAnsi="Arial"/>
          <w:sz w:val="12"/>
          <w:szCs w:val="12"/>
          <w:color w:val="auto"/>
        </w:rPr>
        <w:t>compared to $59.1 million, or 116.3 percent of net revenues for the comparable period a year ago. Variable costs (material, labor, variable overhead, delivery, and warranty) increased $65.1 million as a result of the increased number of motor homes sold. As a percent of net revenues, however, variable costs decreased to 84.2 percent of net revenues for the third quarter of Fiscal 2010 from 95.1 percent for the third quarter of Fiscal 2009. This decrease in percentage is due to reduced material and labor costs and improved labor efficiencies, both resulting from production volume increases. Fixed overhead (manufacturing support labor, depreciation and facility costs) and research and development-related costs increased $804,000 for the third quarter of Fiscal 2010. As a percent of net revenues, however, fixed overhead costs decreased to 8.6 percent for the third quarter of Fiscal 2010 from 21.2 percent of net revenues for the third quarter of Fiscal 2009. The decrease in percentage was due to greater absorption of fixed costs resulting from higher production volume. Due to the significant reduction of inventory levels, there was a positive benefit to cost of goods sold in the third quarters ended May 29, 2010 and May 30, 2009 of $431,000 and $3.6 million, respectively from the liquidation of LIFO inventory values. When all factors described previously are considered, gross profit was 7.2 percent of net revenues for the third quarter of Fiscal 2010 compared to a gross deficit of 16.3 percent during the third quarter of Fiscal 2009.</w:t>
      </w:r>
    </w:p>
    <w:p>
      <w:pPr>
        <w:spacing w:after="0" w:line="138" w:lineRule="exact"/>
        <w:rPr>
          <w:sz w:val="20"/>
          <w:szCs w:val="20"/>
          <w:color w:val="auto"/>
        </w:rPr>
      </w:pPr>
    </w:p>
    <w:p>
      <w:pPr>
        <w:jc w:val="both"/>
        <w:ind w:right="80"/>
        <w:spacing w:after="0" w:line="262" w:lineRule="auto"/>
        <w:rPr>
          <w:sz w:val="20"/>
          <w:szCs w:val="20"/>
          <w:color w:val="auto"/>
        </w:rPr>
      </w:pPr>
      <w:r>
        <w:rPr>
          <w:rFonts w:ascii="Arial" w:cs="Arial" w:eastAsia="Arial" w:hAnsi="Arial"/>
          <w:sz w:val="12"/>
          <w:szCs w:val="12"/>
          <w:color w:val="auto"/>
        </w:rPr>
        <w:t>Selling expenses increased $24,000, or 0.8 percent, during the third quarter of Fiscal 2010. As a percentage of net revenues, selling expenses decreased from 6.1 percent to 2.3 percent for the third quarters of Fiscal 2009 and Fiscal 2010, respectively.</w:t>
      </w:r>
    </w:p>
    <w:p>
      <w:pPr>
        <w:spacing w:after="0" w:line="131" w:lineRule="exact"/>
        <w:rPr>
          <w:sz w:val="20"/>
          <w:szCs w:val="20"/>
          <w:color w:val="auto"/>
        </w:rPr>
      </w:pPr>
    </w:p>
    <w:p>
      <w:pPr>
        <w:jc w:val="both"/>
        <w:ind w:right="60"/>
        <w:spacing w:after="0" w:line="256" w:lineRule="auto"/>
        <w:rPr>
          <w:sz w:val="20"/>
          <w:szCs w:val="20"/>
          <w:color w:val="auto"/>
        </w:rPr>
      </w:pPr>
      <w:r>
        <w:rPr>
          <w:rFonts w:ascii="Arial" w:cs="Arial" w:eastAsia="Arial" w:hAnsi="Arial"/>
          <w:sz w:val="12"/>
          <w:szCs w:val="12"/>
          <w:color w:val="auto"/>
        </w:rPr>
        <w:t>General and administrative expenses decreased $170,000, or 5.0 perc ent, during the third quarter of Fiscal 2010 and, as a percentage of net revenues were 2.4 percent and 6.7 percent for the third quarters of Fiscal 2010&lt; /font&gt; and Fiscal 2009, respectively. The decrease in dollars was due to reductions of $405,000 in legal expenses and $68,000 less expense associated with our idled facilities, partially offset by an increase of $370,000 in product liability expense.</w:t>
      </w:r>
    </w:p>
    <w:p>
      <w:pPr>
        <w:spacing w:after="0" w:line="135"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Financial income decreased $51,000, or 24.4 percent, during the third quarter of Fiscal 2010. This was primarily due to decreased investment earnings (a result of reduction in interest rates and reduction in investment balances) and increased credit facility costs, partially offset by increased company owned life insurance earnings.</w:t>
      </w:r>
    </w:p>
    <w:p>
      <w:pPr>
        <w:spacing w:after="0" w:line="131"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The overall effective income tax rate for the third quarter of Fiscal 2010 was a benefit of 68.2 percent compared to a benefit rate of 41.3 percent for the third quarter of Fiscal 2009. The following table breaks down the two aforementioned tax rates: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84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2"/>
                <w:szCs w:val="12"/>
                <w:b w:val="1"/>
                <w:bCs w:val="1"/>
                <w:color w:val="auto"/>
              </w:rPr>
              <w:t>Quarter Ended</w:t>
            </w:r>
          </w:p>
        </w:tc>
        <w:tc>
          <w:tcPr>
            <w:tcW w:w="840" w:type="dxa"/>
            <w:vAlign w:val="bottom"/>
            <w:tcBorders>
              <w:bottom w:val="single" w:sz="8" w:color="auto"/>
            </w:tcBorders>
          </w:tcPr>
          <w:p>
            <w:pPr>
              <w:spacing w:after="0"/>
              <w:rPr>
                <w:sz w:val="13"/>
                <w:szCs w:val="13"/>
                <w:color w:val="auto"/>
              </w:rPr>
            </w:pPr>
          </w:p>
        </w:tc>
      </w:tr>
      <w:tr>
        <w:trPr>
          <w:trHeight w:val="133"/>
        </w:trPr>
        <w:tc>
          <w:tcPr>
            <w:tcW w:w="84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jc w:val="right"/>
              <w:ind w:right="380"/>
              <w:spacing w:after="0" w:line="133" w:lineRule="exact"/>
              <w:rPr>
                <w:sz w:val="20"/>
                <w:szCs w:val="20"/>
                <w:color w:val="auto"/>
              </w:rPr>
            </w:pPr>
            <w:r>
              <w:rPr>
                <w:rFonts w:ascii="Arial" w:cs="Arial" w:eastAsia="Arial" w:hAnsi="Arial"/>
                <w:sz w:val="12"/>
                <w:szCs w:val="12"/>
                <w:b w:val="1"/>
                <w:bCs w:val="1"/>
                <w:color w:val="auto"/>
              </w:rPr>
              <w:t>May 29, 2010</w:t>
            </w:r>
          </w:p>
        </w:tc>
        <w:tc>
          <w:tcPr>
            <w:tcW w:w="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2"/>
          </w:tcPr>
          <w:p>
            <w:pPr>
              <w:jc w:val="right"/>
              <w:ind w:right="320"/>
              <w:spacing w:after="0" w:line="133" w:lineRule="exact"/>
              <w:rPr>
                <w:sz w:val="20"/>
                <w:szCs w:val="20"/>
                <w:color w:val="auto"/>
              </w:rPr>
            </w:pPr>
            <w:r>
              <w:rPr>
                <w:rFonts w:ascii="Arial" w:cs="Arial" w:eastAsia="Arial" w:hAnsi="Arial"/>
                <w:sz w:val="12"/>
                <w:szCs w:val="12"/>
                <w:b w:val="1"/>
                <w:bCs w:val="1"/>
                <w:color w:val="auto"/>
              </w:rPr>
              <w:t>May 30, 2009</w:t>
            </w:r>
          </w:p>
        </w:tc>
      </w:tr>
      <w:tr>
        <w:trPr>
          <w:trHeight w:val="110"/>
        </w:trPr>
        <w:tc>
          <w:tcPr>
            <w:tcW w:w="8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jc w:val="right"/>
              <w:ind w:right="100"/>
              <w:spacing w:after="0" w:line="110" w:lineRule="exact"/>
              <w:rPr>
                <w:sz w:val="20"/>
                <w:szCs w:val="20"/>
                <w:color w:val="auto"/>
              </w:rPr>
            </w:pPr>
            <w:r>
              <w:rPr>
                <w:rFonts w:ascii="Arial" w:cs="Arial" w:eastAsia="Arial" w:hAnsi="Arial"/>
                <w:sz w:val="12"/>
                <w:szCs w:val="12"/>
                <w:b w:val="1"/>
                <w:bCs w:val="1"/>
                <w:color w:val="auto"/>
              </w:rPr>
              <w:t>Effective</w:t>
            </w: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40" w:type="dxa"/>
            <w:vAlign w:val="bottom"/>
          </w:tcPr>
          <w:p>
            <w:pPr>
              <w:jc w:val="right"/>
              <w:ind w:right="40"/>
              <w:spacing w:after="0" w:line="110" w:lineRule="exact"/>
              <w:rPr>
                <w:sz w:val="20"/>
                <w:szCs w:val="20"/>
                <w:color w:val="auto"/>
              </w:rPr>
            </w:pPr>
            <w:r>
              <w:rPr>
                <w:rFonts w:ascii="Arial" w:cs="Arial" w:eastAsia="Arial" w:hAnsi="Arial"/>
                <w:sz w:val="12"/>
                <w:szCs w:val="12"/>
                <w:b w:val="1"/>
                <w:bCs w:val="1"/>
                <w:color w:val="auto"/>
              </w:rPr>
              <w:t>Effective</w:t>
            </w:r>
          </w:p>
        </w:tc>
      </w:tr>
      <w:tr>
        <w:trPr>
          <w:trHeight w:val="150"/>
        </w:trPr>
        <w:tc>
          <w:tcPr>
            <w:tcW w:w="84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thousands)</w:t>
            </w: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Amount</w:t>
            </w:r>
          </w:p>
        </w:tc>
        <w:tc>
          <w:tcPr>
            <w:tcW w:w="78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Rate*</w:t>
            </w: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60" w:type="dxa"/>
            <w:vAlign w:val="bottom"/>
            <w:tcBorders>
              <w:bottom w:val="single" w:sz="8" w:color="CCEEFF"/>
            </w:tcBorders>
          </w:tcPr>
          <w:p>
            <w:pPr>
              <w:jc w:val="right"/>
              <w:ind w:right="20"/>
              <w:spacing w:after="0"/>
              <w:rPr>
                <w:sz w:val="20"/>
                <w:szCs w:val="20"/>
                <w:color w:val="auto"/>
              </w:rPr>
            </w:pPr>
            <w:r>
              <w:rPr>
                <w:rFonts w:ascii="Arial" w:cs="Arial" w:eastAsia="Arial" w:hAnsi="Arial"/>
                <w:sz w:val="12"/>
                <w:szCs w:val="12"/>
                <w:b w:val="1"/>
                <w:bCs w:val="1"/>
                <w:color w:val="auto"/>
              </w:rPr>
              <w:t>Amount</w:t>
            </w:r>
          </w:p>
        </w:tc>
        <w:tc>
          <w:tcPr>
            <w:tcW w:w="840" w:type="dxa"/>
            <w:vAlign w:val="bottom"/>
            <w:tcBorders>
              <w:bottom w:val="single" w:sz="8" w:color="auto"/>
            </w:tcBorders>
          </w:tcPr>
          <w:p>
            <w:pPr>
              <w:jc w:val="right"/>
              <w:ind w:right="140"/>
              <w:spacing w:after="0"/>
              <w:rPr>
                <w:sz w:val="20"/>
                <w:szCs w:val="20"/>
                <w:color w:val="auto"/>
              </w:rPr>
            </w:pPr>
            <w:r>
              <w:rPr>
                <w:rFonts w:ascii="Arial" w:cs="Arial" w:eastAsia="Arial" w:hAnsi="Arial"/>
                <w:sz w:val="12"/>
                <w:szCs w:val="12"/>
                <w:b w:val="1"/>
                <w:bCs w:val="1"/>
                <w:color w:val="auto"/>
              </w:rPr>
              <w:t>Rate*</w:t>
            </w:r>
          </w:p>
        </w:tc>
      </w:tr>
      <w:tr>
        <w:trPr>
          <w:trHeight w:val="133"/>
        </w:trPr>
        <w:tc>
          <w:tcPr>
            <w:tcW w:w="84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Tax expense (benefit) before discrete items</w:t>
            </w:r>
          </w:p>
        </w:tc>
        <w:tc>
          <w:tcPr>
            <w:tcW w:w="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8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692</w:t>
            </w:r>
          </w:p>
        </w:tc>
        <w:tc>
          <w:tcPr>
            <w:tcW w:w="78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19.4%</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(5,434)</w:t>
            </w:r>
          </w:p>
        </w:tc>
        <w:tc>
          <w:tcPr>
            <w:tcW w:w="8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(37.3)%</w:t>
            </w:r>
          </w:p>
        </w:tc>
      </w:tr>
      <w:tr>
        <w:trPr>
          <w:trHeight w:val="144"/>
        </w:trPr>
        <w:tc>
          <w:tcPr>
            <w:tcW w:w="8400" w:type="dxa"/>
            <w:vAlign w:val="bottom"/>
          </w:tcPr>
          <w:p>
            <w:pPr>
              <w:spacing w:after="0"/>
              <w:rPr>
                <w:sz w:val="20"/>
                <w:szCs w:val="20"/>
                <w:color w:val="auto"/>
              </w:rPr>
            </w:pPr>
            <w:r>
              <w:rPr>
                <w:rFonts w:ascii="Arial" w:cs="Arial" w:eastAsia="Arial" w:hAnsi="Arial"/>
                <w:sz w:val="12"/>
                <w:szCs w:val="12"/>
                <w:color w:val="auto"/>
              </w:rPr>
              <w:t>Discrete items: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4"/>
        </w:trPr>
        <w:tc>
          <w:tcPr>
            <w:tcW w:w="8400" w:type="dxa"/>
            <w:vAlign w:val="bottom"/>
            <w:shd w:val="clear" w:color="auto" w:fill="CCEEFF"/>
          </w:tcPr>
          <w:p>
            <w:pPr>
              <w:spacing w:after="0"/>
              <w:rPr>
                <w:sz w:val="20"/>
                <w:szCs w:val="20"/>
                <w:color w:val="auto"/>
              </w:rPr>
            </w:pPr>
            <w:r>
              <w:rPr>
                <w:rFonts w:ascii="Arial" w:cs="Arial" w:eastAsia="Arial" w:hAnsi="Arial"/>
                <w:sz w:val="12"/>
                <w:szCs w:val="12"/>
                <w:color w:val="auto"/>
              </w:rPr>
              <w:t>Valuation allowance</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r>
      <w:tr>
        <w:trPr>
          <w:trHeight w:val="144"/>
        </w:trPr>
        <w:tc>
          <w:tcPr>
            <w:tcW w:w="8400" w:type="dxa"/>
            <w:vAlign w:val="bottom"/>
          </w:tcPr>
          <w:p>
            <w:pPr>
              <w:ind w:left="320"/>
              <w:spacing w:after="0"/>
              <w:rPr>
                <w:sz w:val="20"/>
                <w:szCs w:val="20"/>
                <w:color w:val="auto"/>
              </w:rPr>
            </w:pPr>
            <w:r>
              <w:rPr>
                <w:rFonts w:ascii="Arial" w:cs="Arial" w:eastAsia="Arial" w:hAnsi="Arial"/>
                <w:sz w:val="12"/>
                <w:szCs w:val="12"/>
                <w:color w:val="auto"/>
              </w:rPr>
              <w:t>Decrease (Fiscal 2009 carryback)</w:t>
            </w:r>
          </w:p>
        </w:tc>
        <w:tc>
          <w:tcPr>
            <w:tcW w:w="80" w:type="dxa"/>
            <w:vAlign w:val="bottom"/>
          </w:tcPr>
          <w:p>
            <w:pPr>
              <w:spacing w:after="0"/>
              <w:rPr>
                <w:sz w:val="12"/>
                <w:szCs w:val="12"/>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(1,00 8)</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(28.3)%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400" w:type="dxa"/>
            <w:vAlign w:val="bottom"/>
            <w:shd w:val="clear" w:color="auto" w:fill="CCEEFF"/>
          </w:tcPr>
          <w:p>
            <w:pPr>
              <w:ind w:left="320"/>
              <w:spacing w:after="0"/>
              <w:rPr>
                <w:sz w:val="20"/>
                <w:szCs w:val="20"/>
                <w:color w:val="auto"/>
              </w:rPr>
            </w:pPr>
            <w:r>
              <w:rPr>
                <w:rFonts w:ascii="Arial" w:cs="Arial" w:eastAsia="Arial" w:hAnsi="Arial"/>
                <w:sz w:val="12"/>
                <w:szCs w:val="12"/>
                <w:color w:val="auto"/>
              </w:rPr>
              <w:t>Other adjustments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(258)</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4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400" w:type="dxa"/>
            <w:vAlign w:val="bottom"/>
          </w:tcPr>
          <w:p>
            <w:pPr>
              <w:ind w:left="180"/>
              <w:spacing w:after="0"/>
              <w:rPr>
                <w:sz w:val="20"/>
                <w:szCs w:val="20"/>
                <w:color w:val="auto"/>
              </w:rPr>
            </w:pPr>
            <w:r>
              <w:rPr>
                <w:rFonts w:ascii="Arial" w:cs="Arial" w:eastAsia="Arial" w:hAnsi="Arial"/>
                <w:sz w:val="12"/>
                <w:szCs w:val="12"/>
                <w:color w:val="auto"/>
              </w:rPr>
              <w:t>Uncertain tax positions settlements and adjustments</w:t>
            </w:r>
          </w:p>
        </w:tc>
        <w:tc>
          <w:tcPr>
            <w:tcW w:w="80" w:type="dxa"/>
            <w:vAlign w:val="bottom"/>
          </w:tcPr>
          <w:p>
            <w:pPr>
              <w:spacing w:after="0"/>
              <w:rPr>
                <w:sz w:val="12"/>
                <w:szCs w:val="12"/>
                <w:color w:val="auto"/>
              </w:rPr>
            </w:pPr>
          </w:p>
        </w:tc>
        <w:tc>
          <w:tcPr>
            <w:tcW w:w="680" w:type="dxa"/>
            <w:vAlign w:val="bottom"/>
          </w:tcPr>
          <w:p>
            <w:pPr>
              <w:jc w:val="right"/>
              <w:ind w:right="60"/>
              <w:spacing w:after="0"/>
              <w:rPr>
                <w:sz w:val="20"/>
                <w:szCs w:val="20"/>
                <w:color w:val="auto"/>
              </w:rPr>
            </w:pPr>
            <w:r>
              <w:rPr>
                <w:rFonts w:ascii="Arial" w:cs="Arial" w:eastAsia="Arial" w:hAnsi="Arial"/>
                <w:sz w:val="12"/>
                <w:szCs w:val="12"/>
                <w:color w:val="auto"/>
              </w:rPr>
              <w:t>(1,683)</w:t>
            </w:r>
          </w:p>
        </w:tc>
        <w:tc>
          <w:tcPr>
            <w:tcW w:w="780" w:type="dxa"/>
            <w:vAlign w:val="bottom"/>
          </w:tcPr>
          <w:p>
            <w:pPr>
              <w:jc w:val="right"/>
              <w:ind w:right="20"/>
              <w:spacing w:after="0"/>
              <w:rPr>
                <w:sz w:val="20"/>
                <w:szCs w:val="20"/>
                <w:color w:val="auto"/>
              </w:rPr>
            </w:pPr>
            <w:r>
              <w:rPr>
                <w:rFonts w:ascii="Arial" w:cs="Arial" w:eastAsia="Arial" w:hAnsi="Arial"/>
                <w:sz w:val="12"/>
                <w:szCs w:val="12"/>
                <w:color w:val="auto"/>
              </w:rPr>
              <w:t>(47.2)%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84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44"/>
        </w:trPr>
        <w:tc>
          <w:tcPr>
            <w:tcW w:w="8400" w:type="dxa"/>
            <w:vAlign w:val="bottom"/>
            <w:shd w:val="clear" w:color="auto" w:fill="CCEEFF"/>
          </w:tcPr>
          <w:p>
            <w:pPr>
              <w:ind w:left="180"/>
              <w:spacing w:after="0"/>
              <w:rPr>
                <w:sz w:val="20"/>
                <w:szCs w:val="20"/>
                <w:color w:val="auto"/>
              </w:rPr>
            </w:pPr>
            <w:r>
              <w:rPr>
                <w:rFonts w:ascii="Arial" w:cs="Arial" w:eastAsia="Arial" w:hAnsi="Arial"/>
                <w:sz w:val="12"/>
                <w:szCs w:val="12"/>
                <w:color w:val="auto"/>
              </w:rPr>
              <w:t>Tax planning initiatives</w:t>
            </w: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(173)</w:t>
            </w:r>
          </w:p>
        </w:tc>
        <w:tc>
          <w:tcPr>
            <w:tcW w:w="78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(4.9)%</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(500)</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w:t>
            </w:r>
          </w:p>
        </w:tc>
      </w:tr>
      <w:tr>
        <w:trPr>
          <w:trHeight w:val="144"/>
        </w:trPr>
        <w:tc>
          <w:tcPr>
            <w:tcW w:w="8400" w:type="dxa"/>
            <w:vAlign w:val="bottom"/>
            <w:tcBorders>
              <w:bottom w:val="single" w:sz="8" w:color="CCEEFF"/>
            </w:tcBorders>
          </w:tcPr>
          <w:p>
            <w:pPr>
              <w:ind w:left="180"/>
              <w:spacing w:after="0"/>
              <w:rPr>
                <w:sz w:val="20"/>
                <w:szCs w:val="20"/>
                <w:color w:val="auto"/>
              </w:rPr>
            </w:pPr>
            <w:r>
              <w:rPr>
                <w:rFonts w:ascii="Arial" w:cs="Arial" w:eastAsia="Arial" w:hAnsi="Arial"/>
                <w:sz w:val="12"/>
                <w:szCs w:val="12"/>
                <w:color w:val="auto"/>
              </w:rPr>
              <w:t>Other</w:t>
            </w: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c>
          <w:tcPr>
            <w:tcW w:w="78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(0.6)%</w:t>
            </w:r>
          </w:p>
        </w:tc>
      </w:tr>
      <w:tr>
        <w:trPr>
          <w:trHeight w:val="140"/>
        </w:trPr>
        <w:tc>
          <w:tcPr>
            <w:tcW w:w="8400" w:type="dxa"/>
            <w:vAlign w:val="bottom"/>
            <w:tcBorders>
              <w:bottom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benefit for taxes</w:t>
            </w:r>
          </w:p>
        </w:tc>
        <w:tc>
          <w:tcPr>
            <w:tcW w:w="8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w w:val="89"/>
              </w:rPr>
              <w:t>$</w:t>
            </w:r>
          </w:p>
        </w:tc>
        <w:tc>
          <w:tcPr>
            <w:tcW w:w="68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(2,430)</w:t>
            </w:r>
          </w:p>
        </w:tc>
        <w:tc>
          <w:tcPr>
            <w:tcW w:w="780" w:type="dxa"/>
            <w:vAlign w:val="bottom"/>
            <w:tcBorders>
              <w:bottom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(68.2)%</w:t>
            </w:r>
          </w:p>
        </w:tc>
        <w:tc>
          <w:tcPr>
            <w:tcW w:w="140" w:type="dxa"/>
            <w:vAlign w:val="bottom"/>
            <w:tcBorders>
              <w:bottom w:val="single" w:sz="8" w:color="auto"/>
            </w:tcBorders>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(6,020)</w:t>
            </w:r>
          </w:p>
        </w:tc>
        <w:tc>
          <w:tcPr>
            <w:tcW w:w="84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(41.3)%</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*Percentages may not add due to rounding differences.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benefit before discrete items</w:t>
      </w:r>
    </w:p>
    <w:p>
      <w:pPr>
        <w:spacing w:after="0" w:line="18"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The overall effective income tax rate for the third quarter ended May 29, 2010 was 19.4 percent compared to the effective tax benefit rate of 37.3 percent for the third quarter ended May 30, 2009. The primary reason for the difference in the overall effective rate for the third quarter ended May 29, 2010 as compared to the third quarter ended May 30, 2009 is the relationship between our small pre-tax income compared to a larger pre-tax loss relative to the permanent financial accounting to taxable income (loss) adjustments. Our significant permanent adjustments are tax-free income from company-owned life insurance and ARS.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decrease</w:t>
      </w:r>
    </w:p>
    <w:p>
      <w:pPr>
        <w:spacing w:after="0" w:line="18" w:lineRule="exact"/>
        <w:rPr>
          <w:sz w:val="20"/>
          <w:szCs w:val="20"/>
          <w:color w:val="auto"/>
        </w:rPr>
      </w:pPr>
    </w:p>
    <w:p>
      <w:pPr>
        <w:ind w:right="300"/>
        <w:spacing w:after="0" w:line="262" w:lineRule="auto"/>
        <w:rPr>
          <w:sz w:val="20"/>
          <w:szCs w:val="20"/>
          <w:color w:val="auto"/>
        </w:rPr>
      </w:pPr>
      <w:r>
        <w:rPr>
          <w:rFonts w:ascii="Arial" w:cs="Arial" w:eastAsia="Arial" w:hAnsi="Arial"/>
          <w:sz w:val="12"/>
          <w:szCs w:val="12"/>
          <w:color w:val="auto"/>
        </w:rPr>
        <w:t>The valuation allowance established in our third quarter of Fiscal 2010 on the deferred tax assets was decreased by $1.0 million primarily due to filing a superseding Fiscal 2009 federal tax return. Durin g our first quarter of Fiscal</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22"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right="280"/>
        <w:spacing w:after="0" w:line="256" w:lineRule="auto"/>
        <w:rPr>
          <w:sz w:val="20"/>
          <w:szCs w:val="20"/>
          <w:color w:val="auto"/>
        </w:rPr>
      </w:pPr>
      <w:r>
        <w:rPr>
          <w:rFonts w:ascii="Arial" w:cs="Arial" w:eastAsia="Arial" w:hAnsi="Arial"/>
          <w:sz w:val="12"/>
          <w:szCs w:val="12"/>
          <w:color w:val="auto"/>
        </w:rPr>
        <w:t>2010, the President of the United States signed into law the Worker, Homeownership, and Business Assistance Act of 2009, which expands the carryback period from two to five years, allowing us to carryback all Fiscal 2009 NOL. During the third quarter of Fiscal 2010, we filed a superseding federal tax return to accelerate certain tax deductions and amended our original carryback request. This resulted in a benefit of approximately $1.0 million, which we anticipate receiving during the fourth quarter of Fiscal 2010. For further discussion of income taxes, see Note 11.</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positions settlements and adjustments</w:t>
      </w:r>
    </w:p>
    <w:p>
      <w:pPr>
        <w:spacing w:after="0" w:line="18" w:lineRule="exact"/>
        <w:rPr>
          <w:sz w:val="20"/>
          <w:szCs w:val="20"/>
          <w:color w:val="auto"/>
        </w:rPr>
      </w:pPr>
    </w:p>
    <w:p>
      <w:pPr>
        <w:ind w:right="460"/>
        <w:spacing w:after="0" w:line="262" w:lineRule="auto"/>
        <w:rPr>
          <w:sz w:val="20"/>
          <w:szCs w:val="20"/>
          <w:color w:val="auto"/>
        </w:rPr>
      </w:pPr>
      <w:r>
        <w:rPr>
          <w:rFonts w:ascii="Arial" w:cs="Arial" w:eastAsia="Arial" w:hAnsi="Arial"/>
          <w:sz w:val="12"/>
          <w:szCs w:val="12"/>
          <w:color w:val="auto"/>
        </w:rPr>
        <w:t>Benefits of $1.7 million were recorde d during the third quarter of Fiscal 2010 primarily as a result of positive resolution of federal tax IRS audits which resulted in a reduction of the reserve for unrecognized tax benefits. For further discussion of income taxes, see Note 11.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planning initiatives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Benefits of $173,000 and $500,000 were recorded during the third quarters of Fiscal 2010 and Fiscal 2009, respectively as a result of tax planning initiatives.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Net income was $6.0 million, or $.21 per diluted share, for the third quarter of Fiscal 2010 compared to a net loss of $8.6 million, or $.29 per diluted share, for the third quarter of Fiscal 2009. See Note 12.</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First Nine Months of Fiscal 2010 Compared to the First Nine Months of Fiscal 2009</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is an analysis of changes in key items included in the statements of operations f or the nine months ended May 29, 2010 compared to May 30, 2009: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5520" w:type="dxa"/>
            <w:vAlign w:val="bottom"/>
            <w:vMerge w:val="restart"/>
          </w:tcPr>
          <w:p>
            <w:pPr>
              <w:spacing w:after="0"/>
              <w:rPr>
                <w:sz w:val="20"/>
                <w:szCs w:val="20"/>
                <w:color w:val="auto"/>
              </w:rPr>
            </w:pPr>
            <w:r>
              <w:rPr>
                <w:rFonts w:ascii="Arial" w:cs="Arial" w:eastAsia="Arial" w:hAnsi="Arial"/>
                <w:sz w:val="12"/>
                <w:szCs w:val="12"/>
                <w:b w:val="1"/>
                <w:bCs w:val="1"/>
                <w:color w:val="auto"/>
              </w:rPr>
              <w:t>(In thousands, except percent</w:t>
            </w:r>
          </w:p>
        </w:tc>
        <w:tc>
          <w:tcPr>
            <w:tcW w:w="6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gridSpan w:val="4"/>
          </w:tcPr>
          <w:p>
            <w:pPr>
              <w:ind w:left="680"/>
              <w:spacing w:after="0"/>
              <w:rPr>
                <w:sz w:val="20"/>
                <w:szCs w:val="20"/>
                <w:color w:val="auto"/>
              </w:rPr>
            </w:pPr>
            <w:r>
              <w:rPr>
                <w:rFonts w:ascii="Arial" w:cs="Arial" w:eastAsia="Arial" w:hAnsi="Arial"/>
                <w:sz w:val="12"/>
                <w:szCs w:val="12"/>
                <w:b w:val="1"/>
                <w:bCs w:val="1"/>
                <w:color w:val="auto"/>
              </w:rPr>
              <w:t>Nine Months Ended</w:t>
            </w: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5520" w:type="dxa"/>
            <w:vAlign w:val="bottom"/>
            <w:vMerge w:val="continue"/>
          </w:tcPr>
          <w:p>
            <w:pPr>
              <w:spacing w:after="0"/>
              <w:rPr>
                <w:sz w:val="9"/>
                <w:szCs w:val="9"/>
                <w:color w:val="auto"/>
              </w:rPr>
            </w:pPr>
          </w:p>
        </w:tc>
        <w:tc>
          <w:tcPr>
            <w:tcW w:w="720" w:type="dxa"/>
            <w:vAlign w:val="bottom"/>
            <w:gridSpan w:val="2"/>
          </w:tcPr>
          <w:p>
            <w:pPr>
              <w:jc w:val="right"/>
              <w:ind w:right="140"/>
              <w:spacing w:after="0" w:line="110" w:lineRule="exact"/>
              <w:rPr>
                <w:sz w:val="20"/>
                <w:szCs w:val="20"/>
                <w:color w:val="auto"/>
              </w:rPr>
            </w:pPr>
            <w:r>
              <w:rPr>
                <w:rFonts w:ascii="Arial" w:cs="Arial" w:eastAsia="Arial" w:hAnsi="Arial"/>
                <w:sz w:val="12"/>
                <w:szCs w:val="12"/>
                <w:b w:val="1"/>
                <w:bCs w:val="1"/>
                <w:color w:val="auto"/>
              </w:rPr>
              <w:t>May 29,</w:t>
            </w:r>
          </w:p>
        </w:tc>
        <w:tc>
          <w:tcPr>
            <w:tcW w:w="720" w:type="dxa"/>
            <w:vAlign w:val="bottom"/>
          </w:tcPr>
          <w:p>
            <w:pPr>
              <w:jc w:val="right"/>
              <w:ind w:right="140"/>
              <w:spacing w:after="0" w:line="110"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9"/>
                <w:szCs w:val="9"/>
                <w:color w:val="auto"/>
              </w:rPr>
            </w:pPr>
          </w:p>
        </w:tc>
        <w:tc>
          <w:tcPr>
            <w:tcW w:w="1160" w:type="dxa"/>
            <w:vAlign w:val="bottom"/>
          </w:tcPr>
          <w:p>
            <w:pPr>
              <w:jc w:val="right"/>
              <w:ind w:right="460"/>
              <w:spacing w:after="0" w:line="110" w:lineRule="exact"/>
              <w:rPr>
                <w:sz w:val="20"/>
                <w:szCs w:val="20"/>
                <w:color w:val="auto"/>
              </w:rPr>
            </w:pPr>
            <w:r>
              <w:rPr>
                <w:rFonts w:ascii="Arial" w:cs="Arial" w:eastAsia="Arial" w:hAnsi="Arial"/>
                <w:sz w:val="12"/>
                <w:szCs w:val="12"/>
                <w:b w:val="1"/>
                <w:bCs w:val="1"/>
                <w:color w:val="auto"/>
              </w:rPr>
              <w:t>May 30,</w:t>
            </w:r>
          </w:p>
        </w:tc>
        <w:tc>
          <w:tcPr>
            <w:tcW w:w="740" w:type="dxa"/>
            <w:vAlign w:val="bottom"/>
            <w:gridSpan w:val="3"/>
          </w:tcPr>
          <w:p>
            <w:pPr>
              <w:jc w:val="center"/>
              <w:ind w:right="20"/>
              <w:spacing w:after="0" w:line="110" w:lineRule="exact"/>
              <w:rPr>
                <w:sz w:val="20"/>
                <w:szCs w:val="20"/>
                <w:color w:val="auto"/>
              </w:rPr>
            </w:pPr>
            <w:r>
              <w:rPr>
                <w:rFonts w:ascii="Arial" w:cs="Arial" w:eastAsia="Arial" w:hAnsi="Arial"/>
                <w:sz w:val="12"/>
                <w:szCs w:val="12"/>
                <w:b w:val="1"/>
                <w:bCs w:val="1"/>
                <w:color w:val="auto"/>
                <w:w w:val="94"/>
              </w:rPr>
              <w:t>% of</w:t>
            </w:r>
          </w:p>
        </w:tc>
        <w:tc>
          <w:tcPr>
            <w:tcW w:w="1680" w:type="dxa"/>
            <w:vAlign w:val="bottom"/>
            <w:gridSpan w:val="3"/>
          </w:tcPr>
          <w:p>
            <w:pPr>
              <w:jc w:val="center"/>
              <w:spacing w:after="0" w:line="110" w:lineRule="exact"/>
              <w:rPr>
                <w:sz w:val="20"/>
                <w:szCs w:val="20"/>
                <w:color w:val="auto"/>
              </w:rPr>
            </w:pPr>
            <w:r>
              <w:rPr>
                <w:rFonts w:ascii="Arial" w:cs="Arial" w:eastAsia="Arial" w:hAnsi="Arial"/>
                <w:sz w:val="12"/>
                <w:szCs w:val="12"/>
                <w:b w:val="1"/>
                <w:bCs w:val="1"/>
                <w:color w:val="auto"/>
                <w:w w:val="98"/>
              </w:rPr>
              <w:t>Increase</w:t>
            </w:r>
          </w:p>
        </w:tc>
        <w:tc>
          <w:tcPr>
            <w:tcW w:w="560" w:type="dxa"/>
            <w:vAlign w:val="bottom"/>
          </w:tcPr>
          <w:p>
            <w:pPr>
              <w:jc w:val="right"/>
              <w:ind w:right="80"/>
              <w:spacing w:after="0" w:line="110" w:lineRule="exact"/>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55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and per share data)</w:t>
            </w:r>
          </w:p>
        </w:tc>
        <w:tc>
          <w:tcPr>
            <w:tcW w:w="6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Revenues*</w:t>
            </w:r>
          </w:p>
        </w:tc>
        <w:tc>
          <w:tcPr>
            <w:tcW w:w="3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20"/>
              <w:spacing w:after="0"/>
              <w:rPr>
                <w:sz w:val="20"/>
                <w:szCs w:val="20"/>
                <w:color w:val="auto"/>
              </w:rPr>
            </w:pPr>
            <w:r>
              <w:rPr>
                <w:rFonts w:ascii="Arial" w:cs="Arial" w:eastAsia="Arial" w:hAnsi="Arial"/>
                <w:sz w:val="12"/>
                <w:szCs w:val="12"/>
                <w:b w:val="1"/>
                <w:bCs w:val="1"/>
                <w:color w:val="auto"/>
              </w:rPr>
              <w:t>2009</w:t>
            </w:r>
          </w:p>
        </w:tc>
        <w:tc>
          <w:tcPr>
            <w:tcW w:w="7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w w:val="97"/>
              </w:rPr>
              <w:t>Revenues*</w:t>
            </w:r>
          </w:p>
        </w:tc>
        <w:tc>
          <w:tcPr>
            <w:tcW w:w="168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2"/>
                <w:szCs w:val="12"/>
                <w:b w:val="1"/>
                <w:bCs w:val="1"/>
                <w:color w:val="auto"/>
              </w:rPr>
              <w:t>(Decrease)</w:t>
            </w:r>
          </w:p>
        </w:tc>
        <w:tc>
          <w:tcPr>
            <w:tcW w:w="640" w:type="dxa"/>
            <w:vAlign w:val="bottom"/>
            <w:tcBorders>
              <w:bottom w:val="single" w:sz="8" w:color="auto"/>
            </w:tcBorders>
            <w:gridSpan w:val="2"/>
          </w:tcPr>
          <w:p>
            <w:pPr>
              <w:ind w:left="16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5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Net revenues</w:t>
            </w:r>
          </w:p>
        </w:tc>
        <w:tc>
          <w:tcPr>
            <w:tcW w:w="6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w w:val="99"/>
              </w:rPr>
              <w:t>$   326,359</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100.0%</w:t>
            </w:r>
          </w:p>
        </w:tc>
        <w:tc>
          <w:tcPr>
            <w:tcW w:w="300" w:type="dxa"/>
            <w:vAlign w:val="bottom"/>
            <w:shd w:val="clear" w:color="auto" w:fill="CCEEFF"/>
          </w:tcPr>
          <w:p>
            <w:pPr>
              <w:jc w:val="right"/>
              <w:ind w:right="140"/>
              <w:spacing w:after="0" w:line="133" w:lineRule="exact"/>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152,054</w:t>
            </w:r>
          </w:p>
        </w:tc>
        <w:tc>
          <w:tcPr>
            <w:tcW w:w="64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100.0%</w:t>
            </w: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  174,305</w:t>
            </w:r>
          </w:p>
        </w:tc>
        <w:tc>
          <w:tcPr>
            <w:tcW w:w="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114.6%</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2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goods sold</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311,296</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color w:val="auto"/>
              </w:rPr>
              <w:t>95.4%</w:t>
            </w: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181,025</w:t>
            </w:r>
          </w:p>
        </w:tc>
        <w:tc>
          <w:tcPr>
            <w:tcW w:w="6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2"/>
                <w:szCs w:val="12"/>
                <w:color w:val="auto"/>
              </w:rPr>
              <w:t>119.1%</w:t>
            </w: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130,271</w:t>
            </w: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72.0%</w:t>
            </w:r>
          </w:p>
        </w:tc>
        <w:tc>
          <w:tcPr>
            <w:tcW w:w="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Gross profit (deficit)</w:t>
            </w:r>
          </w:p>
        </w:tc>
        <w:tc>
          <w:tcPr>
            <w:tcW w:w="720" w:type="dxa"/>
            <w:vAlign w:val="bottom"/>
            <w:tcBorders>
              <w:bottom w:val="single" w:sz="8" w:color="auto"/>
            </w:tcBorders>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15,063</w:t>
            </w:r>
          </w:p>
        </w:tc>
        <w:tc>
          <w:tcPr>
            <w:tcW w:w="72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4.6%</w:t>
            </w:r>
          </w:p>
        </w:tc>
        <w:tc>
          <w:tcPr>
            <w:tcW w:w="300" w:type="dxa"/>
            <w:vAlign w:val="bottom"/>
            <w:tcBorders>
              <w:bottom w:val="single" w:sz="8" w:color="auto"/>
            </w:tcBorders>
            <w:shd w:val="clear" w:color="auto" w:fill="CCEEFF"/>
          </w:tcPr>
          <w:p>
            <w:pPr>
              <w:spacing w:after="0"/>
              <w:rPr>
                <w:sz w:val="11"/>
                <w:szCs w:val="11"/>
                <w:color w:val="auto"/>
              </w:rPr>
            </w:pPr>
          </w:p>
        </w:tc>
        <w:tc>
          <w:tcPr>
            <w:tcW w:w="1160" w:type="dxa"/>
            <w:vAlign w:val="bottom"/>
            <w:tcBorders>
              <w:bottom w:val="single" w:sz="8" w:color="auto"/>
            </w:tcBorders>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(28,971)</w:t>
            </w:r>
          </w:p>
        </w:tc>
        <w:tc>
          <w:tcPr>
            <w:tcW w:w="640" w:type="dxa"/>
            <w:vAlign w:val="bottom"/>
            <w:tcBorders>
              <w:bottom w:val="single" w:sz="8" w:color="auto"/>
            </w:tcBorders>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(19.1)%</w:t>
            </w:r>
          </w:p>
        </w:tc>
        <w:tc>
          <w:tcPr>
            <w:tcW w:w="100" w:type="dxa"/>
            <w:vAlign w:val="bottom"/>
            <w:shd w:val="clear" w:color="auto" w:fill="CCEEFF"/>
          </w:tcPr>
          <w:p>
            <w:pPr>
              <w:spacing w:after="0"/>
              <w:rPr>
                <w:sz w:val="11"/>
                <w:szCs w:val="11"/>
                <w:color w:val="auto"/>
              </w:rPr>
            </w:pPr>
          </w:p>
        </w:tc>
        <w:tc>
          <w:tcPr>
            <w:tcW w:w="640" w:type="dxa"/>
            <w:vAlign w:val="bottom"/>
            <w:tcBorders>
              <w:bottom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44,034</w:t>
            </w:r>
          </w:p>
        </w:tc>
        <w:tc>
          <w:tcPr>
            <w:tcW w:w="104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152.0%</w:t>
            </w:r>
          </w:p>
        </w:tc>
        <w:tc>
          <w:tcPr>
            <w:tcW w:w="8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20" w:type="dxa"/>
            <w:vAlign w:val="bottom"/>
          </w:tcPr>
          <w:p>
            <w:pPr>
              <w:spacing w:after="0" w:line="133" w:lineRule="exact"/>
              <w:rPr>
                <w:sz w:val="20"/>
                <w:szCs w:val="20"/>
                <w:color w:val="auto"/>
              </w:rPr>
            </w:pPr>
            <w:r>
              <w:rPr>
                <w:rFonts w:ascii="Arial" w:cs="Arial" w:eastAsia="Arial" w:hAnsi="Arial"/>
                <w:sz w:val="12"/>
                <w:szCs w:val="12"/>
                <w:color w:val="auto"/>
              </w:rPr>
              <w:t>Selling</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9,438</w:t>
            </w:r>
          </w:p>
        </w:tc>
        <w:tc>
          <w:tcPr>
            <w:tcW w:w="100" w:type="dxa"/>
            <w:vAlign w:val="bottom"/>
          </w:tcPr>
          <w:p>
            <w:pPr>
              <w:spacing w:after="0"/>
              <w:rPr>
                <w:sz w:val="11"/>
                <w:szCs w:val="11"/>
                <w:color w:val="auto"/>
              </w:rPr>
            </w:pPr>
          </w:p>
        </w:tc>
        <w:tc>
          <w:tcPr>
            <w:tcW w:w="720" w:type="dxa"/>
            <w:vAlign w:val="bottom"/>
          </w:tcPr>
          <w:p>
            <w:pPr>
              <w:jc w:val="right"/>
              <w:ind w:right="60"/>
              <w:spacing w:after="0" w:line="133" w:lineRule="exact"/>
              <w:rPr>
                <w:sz w:val="20"/>
                <w:szCs w:val="20"/>
                <w:color w:val="auto"/>
              </w:rPr>
            </w:pPr>
            <w:r>
              <w:rPr>
                <w:rFonts w:ascii="Arial" w:cs="Arial" w:eastAsia="Arial" w:hAnsi="Arial"/>
                <w:sz w:val="12"/>
                <w:szCs w:val="12"/>
                <w:color w:val="auto"/>
              </w:rPr>
              <w:t>2.9%</w:t>
            </w:r>
          </w:p>
        </w:tc>
        <w:tc>
          <w:tcPr>
            <w:tcW w:w="300" w:type="dxa"/>
            <w:vAlign w:val="bottom"/>
          </w:tcPr>
          <w:p>
            <w:pPr>
              <w:spacing w:after="0"/>
              <w:rPr>
                <w:sz w:val="11"/>
                <w:szCs w:val="11"/>
                <w:color w:val="auto"/>
              </w:rPr>
            </w:pPr>
          </w:p>
        </w:tc>
        <w:tc>
          <w:tcPr>
            <w:tcW w:w="1160" w:type="dxa"/>
            <w:vAlign w:val="bottom"/>
          </w:tcPr>
          <w:p>
            <w:pPr>
              <w:jc w:val="right"/>
              <w:ind w:right="100"/>
              <w:spacing w:after="0" w:line="133" w:lineRule="exact"/>
              <w:rPr>
                <w:sz w:val="20"/>
                <w:szCs w:val="20"/>
                <w:color w:val="auto"/>
              </w:rPr>
            </w:pPr>
            <w:r>
              <w:rPr>
                <w:rFonts w:ascii="Arial" w:cs="Arial" w:eastAsia="Arial" w:hAnsi="Arial"/>
                <w:sz w:val="12"/>
                <w:szCs w:val="12"/>
                <w:color w:val="auto"/>
              </w:rPr>
              <w:t>9,564</w:t>
            </w:r>
          </w:p>
        </w:tc>
        <w:tc>
          <w:tcPr>
            <w:tcW w:w="640" w:type="dxa"/>
            <w:vAlign w:val="bottom"/>
            <w:gridSpan w:val="2"/>
          </w:tcPr>
          <w:p>
            <w:pPr>
              <w:jc w:val="right"/>
              <w:ind w:right="60"/>
              <w:spacing w:after="0" w:line="133" w:lineRule="exact"/>
              <w:rPr>
                <w:sz w:val="20"/>
                <w:szCs w:val="20"/>
                <w:color w:val="auto"/>
              </w:rPr>
            </w:pPr>
            <w:r>
              <w:rPr>
                <w:rFonts w:ascii="Arial" w:cs="Arial" w:eastAsia="Arial" w:hAnsi="Arial"/>
                <w:sz w:val="12"/>
                <w:szCs w:val="12"/>
                <w:color w:val="auto"/>
              </w:rPr>
              <w:t>6.3%</w:t>
            </w:r>
          </w:p>
        </w:tc>
        <w:tc>
          <w:tcPr>
            <w:tcW w:w="100" w:type="dxa"/>
            <w:vAlign w:val="bottom"/>
          </w:tcPr>
          <w:p>
            <w:pPr>
              <w:spacing w:after="0"/>
              <w:rPr>
                <w:sz w:val="11"/>
                <w:szCs w:val="11"/>
                <w:color w:val="auto"/>
              </w:rPr>
            </w:pPr>
          </w:p>
        </w:tc>
        <w:tc>
          <w:tcPr>
            <w:tcW w:w="640" w:type="dxa"/>
            <w:vAlign w:val="bottom"/>
            <w:gridSpan w:val="2"/>
          </w:tcPr>
          <w:p>
            <w:pPr>
              <w:jc w:val="right"/>
              <w:spacing w:after="0" w:line="133" w:lineRule="exact"/>
              <w:rPr>
                <w:sz w:val="20"/>
                <w:szCs w:val="20"/>
                <w:color w:val="auto"/>
              </w:rPr>
            </w:pPr>
            <w:r>
              <w:rPr>
                <w:rFonts w:ascii="Arial" w:cs="Arial" w:eastAsia="Arial" w:hAnsi="Arial"/>
                <w:sz w:val="12"/>
                <w:szCs w:val="12"/>
                <w:color w:val="auto"/>
              </w:rPr>
              <w:t>(126)</w:t>
            </w:r>
          </w:p>
        </w:tc>
        <w:tc>
          <w:tcPr>
            <w:tcW w:w="1040" w:type="dxa"/>
            <w:vAlign w:val="bottom"/>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(1.3)%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w:t>
            </w:r>
          </w:p>
        </w:tc>
        <w:tc>
          <w:tcPr>
            <w:tcW w:w="7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10,056</w:t>
            </w:r>
          </w:p>
        </w:tc>
        <w:tc>
          <w:tcPr>
            <w:tcW w:w="72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3.1%</w:t>
            </w:r>
          </w:p>
        </w:tc>
        <w:tc>
          <w:tcPr>
            <w:tcW w:w="300" w:type="dxa"/>
            <w:vAlign w:val="bottom"/>
            <w:tcBorders>
              <w:bottom w:val="single" w:sz="8" w:color="auto"/>
            </w:tcBorders>
            <w:shd w:val="clear" w:color="auto" w:fill="CCEEFF"/>
          </w:tcPr>
          <w:p>
            <w:pPr>
              <w:spacing w:after="0"/>
              <w:rPr>
                <w:sz w:val="12"/>
                <w:szCs w:val="12"/>
                <w:color w:val="auto"/>
              </w:rPr>
            </w:pPr>
          </w:p>
        </w:tc>
        <w:tc>
          <w:tcPr>
            <w:tcW w:w="1160" w:type="dxa"/>
            <w:vAlign w:val="bottom"/>
            <w:tcBorders>
              <w:bottom w:val="single" w:sz="8" w:color="auto"/>
            </w:tcBorders>
            <w:shd w:val="clear" w:color="auto" w:fill="CCEEFF"/>
          </w:tcPr>
          <w:p>
            <w:pPr>
              <w:jc w:val="right"/>
              <w:ind w:right="100"/>
              <w:spacing w:after="0"/>
              <w:rPr>
                <w:sz w:val="20"/>
                <w:szCs w:val="20"/>
                <w:color w:val="auto"/>
              </w:rPr>
            </w:pPr>
            <w:r>
              <w:rPr>
                <w:rFonts w:ascii="Arial" w:cs="Arial" w:eastAsia="Arial" w:hAnsi="Arial"/>
                <w:sz w:val="12"/>
                <w:szCs w:val="12"/>
                <w:color w:val="auto"/>
              </w:rPr>
              <w:t>11,748</w:t>
            </w:r>
          </w:p>
        </w:tc>
        <w:tc>
          <w:tcPr>
            <w:tcW w:w="6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7.7%</w:t>
            </w:r>
          </w:p>
        </w:tc>
        <w:tc>
          <w:tcPr>
            <w:tcW w:w="10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(1,692)</w:t>
            </w:r>
          </w:p>
        </w:tc>
        <w:tc>
          <w:tcPr>
            <w:tcW w:w="104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(14.4)%</w:t>
            </w:r>
          </w:p>
        </w:tc>
        <w:tc>
          <w:tcPr>
            <w:tcW w:w="8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552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operating expenses</w:t>
            </w:r>
          </w:p>
        </w:tc>
        <w:tc>
          <w:tcPr>
            <w:tcW w:w="720" w:type="dxa"/>
            <w:vAlign w:val="bottom"/>
            <w:tcBorders>
              <w:bottom w:val="single" w:sz="8" w:color="auto"/>
            </w:tcBorders>
            <w:gridSpan w:val="2"/>
          </w:tcPr>
          <w:p>
            <w:pPr>
              <w:jc w:val="right"/>
              <w:ind w:right="100"/>
              <w:spacing w:after="0" w:line="133" w:lineRule="exact"/>
              <w:rPr>
                <w:sz w:val="20"/>
                <w:szCs w:val="20"/>
                <w:color w:val="auto"/>
              </w:rPr>
            </w:pPr>
            <w:r>
              <w:rPr>
                <w:rFonts w:ascii="Arial" w:cs="Arial" w:eastAsia="Arial" w:hAnsi="Arial"/>
                <w:sz w:val="12"/>
                <w:szCs w:val="12"/>
                <w:color w:val="auto"/>
              </w:rPr>
              <w:t>19,494</w:t>
            </w:r>
          </w:p>
        </w:tc>
        <w:tc>
          <w:tcPr>
            <w:tcW w:w="720" w:type="dxa"/>
            <w:vAlign w:val="bottom"/>
            <w:tcBorders>
              <w:bottom w:val="single" w:sz="8" w:color="auto"/>
            </w:tcBorders>
          </w:tcPr>
          <w:p>
            <w:pPr>
              <w:jc w:val="right"/>
              <w:ind w:right="60"/>
              <w:spacing w:after="0" w:line="133" w:lineRule="exact"/>
              <w:rPr>
                <w:sz w:val="20"/>
                <w:szCs w:val="20"/>
                <w:color w:val="auto"/>
              </w:rPr>
            </w:pPr>
            <w:r>
              <w:rPr>
                <w:rFonts w:ascii="Arial" w:cs="Arial" w:eastAsia="Arial" w:hAnsi="Arial"/>
                <w:sz w:val="12"/>
                <w:szCs w:val="12"/>
                <w:color w:val="auto"/>
              </w:rPr>
              <w:t>6.0%</w:t>
            </w:r>
          </w:p>
        </w:tc>
        <w:tc>
          <w:tcPr>
            <w:tcW w:w="3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jc w:val="right"/>
              <w:ind w:right="100"/>
              <w:spacing w:after="0" w:line="133" w:lineRule="exact"/>
              <w:rPr>
                <w:sz w:val="20"/>
                <w:szCs w:val="20"/>
                <w:color w:val="auto"/>
              </w:rPr>
            </w:pPr>
            <w:r>
              <w:rPr>
                <w:rFonts w:ascii="Arial" w:cs="Arial" w:eastAsia="Arial" w:hAnsi="Arial"/>
                <w:sz w:val="12"/>
                <w:szCs w:val="12"/>
                <w:color w:val="auto"/>
              </w:rPr>
              <w:t>21,312</w:t>
            </w:r>
          </w:p>
        </w:tc>
        <w:tc>
          <w:tcPr>
            <w:tcW w:w="640" w:type="dxa"/>
            <w:vAlign w:val="bottom"/>
            <w:tcBorders>
              <w:bottom w:val="single" w:sz="8" w:color="auto"/>
            </w:tcBorders>
            <w:gridSpan w:val="2"/>
          </w:tcPr>
          <w:p>
            <w:pPr>
              <w:jc w:val="right"/>
              <w:ind w:right="60"/>
              <w:spacing w:after="0" w:line="133" w:lineRule="exact"/>
              <w:rPr>
                <w:sz w:val="20"/>
                <w:szCs w:val="20"/>
                <w:color w:val="auto"/>
              </w:rPr>
            </w:pPr>
            <w:r>
              <w:rPr>
                <w:rFonts w:ascii="Arial" w:cs="Arial" w:eastAsia="Arial" w:hAnsi="Arial"/>
                <w:sz w:val="12"/>
                <w:szCs w:val="12"/>
                <w:color w:val="auto"/>
              </w:rPr>
              <w:t>14.0%</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(1,818)</w:t>
            </w:r>
          </w:p>
        </w:tc>
        <w:tc>
          <w:tcPr>
            <w:tcW w:w="10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(8.5)%</w:t>
            </w:r>
          </w:p>
        </w:tc>
        <w:tc>
          <w:tcPr>
            <w:tcW w:w="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5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Operating loss</w:t>
            </w:r>
          </w:p>
        </w:tc>
        <w:tc>
          <w:tcPr>
            <w:tcW w:w="620" w:type="dxa"/>
            <w:vAlign w:val="bottom"/>
          </w:tcPr>
          <w:p>
            <w:pPr>
              <w:jc w:val="right"/>
              <w:spacing w:after="0" w:line="133" w:lineRule="exact"/>
              <w:rPr>
                <w:sz w:val="20"/>
                <w:szCs w:val="20"/>
                <w:color w:val="auto"/>
              </w:rPr>
            </w:pPr>
            <w:r>
              <w:rPr>
                <w:rFonts w:ascii="Arial" w:cs="Arial" w:eastAsia="Arial" w:hAnsi="Arial"/>
                <w:sz w:val="12"/>
                <w:szCs w:val="12"/>
                <w:color w:val="auto"/>
              </w:rPr>
              <w:t>(4,431)</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(1.4)%</w:t>
            </w: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(50,283)</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(33.1)%</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45,852</w:t>
            </w:r>
          </w:p>
        </w:tc>
        <w:tc>
          <w:tcPr>
            <w:tcW w:w="1040" w:type="dxa"/>
            <w:vAlign w:val="bottom"/>
            <w:shd w:val="clear" w:color="auto" w:fill="CCEEFF"/>
          </w:tcPr>
          <w:p>
            <w:pPr>
              <w:spacing w:after="0"/>
              <w:rPr>
                <w:sz w:val="11"/>
                <w:szCs w:val="11"/>
                <w:color w:val="auto"/>
              </w:rPr>
            </w:pPr>
          </w:p>
        </w:tc>
        <w:tc>
          <w:tcPr>
            <w:tcW w:w="560" w:type="dxa"/>
            <w:vAlign w:val="bottom"/>
          </w:tcPr>
          <w:p>
            <w:pPr>
              <w:jc w:val="right"/>
              <w:spacing w:after="0" w:line="133" w:lineRule="exact"/>
              <w:rPr>
                <w:sz w:val="20"/>
                <w:szCs w:val="20"/>
                <w:color w:val="auto"/>
              </w:rPr>
            </w:pPr>
            <w:r>
              <w:rPr>
                <w:rFonts w:ascii="Arial" w:cs="Arial" w:eastAsia="Arial" w:hAnsi="Arial"/>
                <w:sz w:val="12"/>
                <w:szCs w:val="12"/>
                <w:color w:val="auto"/>
              </w:rPr>
              <w:t>91.2%</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5520" w:type="dxa"/>
            <w:vAlign w:val="bottom"/>
          </w:tcPr>
          <w:p>
            <w:pPr>
              <w:spacing w:after="0"/>
              <w:rPr>
                <w:sz w:val="20"/>
                <w:szCs w:val="20"/>
                <w:color w:val="auto"/>
              </w:rPr>
            </w:pPr>
            <w:r>
              <w:rPr>
                <w:rFonts w:ascii="Arial" w:cs="Arial" w:eastAsia="Arial" w:hAnsi="Arial"/>
                <w:sz w:val="12"/>
                <w:szCs w:val="12"/>
                <w:color w:val="auto"/>
              </w:rPr>
              <w:t>Financial income</w:t>
            </w:r>
          </w:p>
        </w:tc>
        <w:tc>
          <w:tcPr>
            <w:tcW w:w="620" w:type="dxa"/>
            <w:vAlign w:val="bottom"/>
          </w:tcPr>
          <w:p>
            <w:pPr>
              <w:jc w:val="right"/>
              <w:spacing w:after="0"/>
              <w:rPr>
                <w:sz w:val="20"/>
                <w:szCs w:val="20"/>
                <w:color w:val="auto"/>
              </w:rPr>
            </w:pPr>
            <w:r>
              <w:rPr>
                <w:rFonts w:ascii="Arial" w:cs="Arial" w:eastAsia="Arial" w:hAnsi="Arial"/>
                <w:sz w:val="12"/>
                <w:szCs w:val="12"/>
                <w:color w:val="auto"/>
              </w:rPr>
              <w:t>289</w:t>
            </w:r>
          </w:p>
        </w:tc>
        <w:tc>
          <w:tcPr>
            <w:tcW w:w="100" w:type="dxa"/>
            <w:vAlign w:val="bottom"/>
          </w:tcPr>
          <w:p>
            <w:pPr>
              <w:spacing w:after="0"/>
              <w:rPr>
                <w:sz w:val="13"/>
                <w:szCs w:val="13"/>
                <w:color w:val="auto"/>
              </w:rPr>
            </w:pPr>
          </w:p>
        </w:tc>
        <w:tc>
          <w:tcPr>
            <w:tcW w:w="720" w:type="dxa"/>
            <w:vAlign w:val="bottom"/>
          </w:tcPr>
          <w:p>
            <w:pPr>
              <w:jc w:val="right"/>
              <w:ind w:right="60"/>
              <w:spacing w:after="0"/>
              <w:rPr>
                <w:sz w:val="20"/>
                <w:szCs w:val="20"/>
                <w:color w:val="auto"/>
              </w:rPr>
            </w:pPr>
            <w:r>
              <w:rPr>
                <w:rFonts w:ascii="Arial" w:cs="Arial" w:eastAsia="Arial" w:hAnsi="Arial"/>
                <w:sz w:val="12"/>
                <w:szCs w:val="12"/>
                <w:color w:val="auto"/>
              </w:rPr>
              <w:t>0.1%</w:t>
            </w:r>
          </w:p>
        </w:tc>
        <w:tc>
          <w:tcPr>
            <w:tcW w:w="300" w:type="dxa"/>
            <w:vAlign w:val="bottom"/>
          </w:tcPr>
          <w:p>
            <w:pPr>
              <w:spacing w:after="0"/>
              <w:rPr>
                <w:sz w:val="13"/>
                <w:szCs w:val="13"/>
                <w:color w:val="auto"/>
              </w:rPr>
            </w:pPr>
          </w:p>
        </w:tc>
        <w:tc>
          <w:tcPr>
            <w:tcW w:w="1160" w:type="dxa"/>
            <w:vAlign w:val="bottom"/>
          </w:tcPr>
          <w:p>
            <w:pPr>
              <w:jc w:val="right"/>
              <w:ind w:right="100"/>
              <w:spacing w:after="0"/>
              <w:rPr>
                <w:sz w:val="20"/>
                <w:szCs w:val="20"/>
                <w:color w:val="auto"/>
              </w:rPr>
            </w:pPr>
            <w:r>
              <w:rPr>
                <w:rFonts w:ascii="Arial" w:cs="Arial" w:eastAsia="Arial" w:hAnsi="Arial"/>
                <w:sz w:val="12"/>
                <w:szCs w:val="12"/>
                <w:color w:val="auto"/>
              </w:rPr>
              <w:t>1,366</w:t>
            </w:r>
          </w:p>
        </w:tc>
        <w:tc>
          <w:tcPr>
            <w:tcW w:w="640" w:type="dxa"/>
            <w:vAlign w:val="bottom"/>
            <w:gridSpan w:val="2"/>
          </w:tcPr>
          <w:p>
            <w:pPr>
              <w:jc w:val="right"/>
              <w:ind w:right="60"/>
              <w:spacing w:after="0"/>
              <w:rPr>
                <w:sz w:val="20"/>
                <w:szCs w:val="20"/>
                <w:color w:val="auto"/>
              </w:rPr>
            </w:pPr>
            <w:r>
              <w:rPr>
                <w:rFonts w:ascii="Arial" w:cs="Arial" w:eastAsia="Arial" w:hAnsi="Arial"/>
                <w:sz w:val="12"/>
                <w:szCs w:val="12"/>
                <w:color w:val="auto"/>
              </w:rPr>
              <w:t>0.9%</w:t>
            </w:r>
          </w:p>
        </w:tc>
        <w:tc>
          <w:tcPr>
            <w:tcW w:w="100" w:type="dxa"/>
            <w:vAlign w:val="bottom"/>
          </w:tcPr>
          <w:p>
            <w:pPr>
              <w:spacing w:after="0"/>
              <w:rPr>
                <w:sz w:val="13"/>
                <w:szCs w:val="13"/>
                <w:color w:val="auto"/>
              </w:rPr>
            </w:pPr>
          </w:p>
        </w:tc>
        <w:tc>
          <w:tcPr>
            <w:tcW w:w="1680" w:type="dxa"/>
            <w:vAlign w:val="bottom"/>
            <w:gridSpan w:val="3"/>
          </w:tcPr>
          <w:p>
            <w:pPr>
              <w:ind w:left="260"/>
              <w:spacing w:after="0"/>
              <w:rPr>
                <w:sz w:val="20"/>
                <w:szCs w:val="20"/>
                <w:color w:val="auto"/>
              </w:rPr>
            </w:pPr>
            <w:r>
              <w:rPr>
                <w:rFonts w:ascii="Arial" w:cs="Arial" w:eastAsia="Arial" w:hAnsi="Arial"/>
                <w:sz w:val="12"/>
                <w:szCs w:val="12"/>
                <w:color w:val="auto"/>
              </w:rPr>
              <w:t>(1,077) &amp;n bsp;</w:t>
            </w:r>
          </w:p>
        </w:tc>
        <w:tc>
          <w:tcPr>
            <w:tcW w:w="560" w:type="dxa"/>
            <w:vAlign w:val="bottom"/>
          </w:tcPr>
          <w:p>
            <w:pPr>
              <w:jc w:val="right"/>
              <w:spacing w:after="0"/>
              <w:rPr>
                <w:sz w:val="20"/>
                <w:szCs w:val="20"/>
                <w:color w:val="auto"/>
              </w:rPr>
            </w:pPr>
            <w:r>
              <w:rPr>
                <w:rFonts w:ascii="Arial" w:cs="Arial" w:eastAsia="Arial" w:hAnsi="Arial"/>
                <w:sz w:val="12"/>
                <w:szCs w:val="12"/>
                <w:color w:val="auto"/>
              </w:rPr>
              <w:t>(78.8)%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552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Loss before income taxes</w:t>
            </w:r>
          </w:p>
        </w:tc>
        <w:tc>
          <w:tcPr>
            <w:tcW w:w="72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(4,142)</w:t>
            </w:r>
          </w:p>
        </w:tc>
        <w:tc>
          <w:tcPr>
            <w:tcW w:w="7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(1.3)%</w:t>
            </w:r>
          </w:p>
        </w:tc>
        <w:tc>
          <w:tcPr>
            <w:tcW w:w="300" w:type="dxa"/>
            <w:vAlign w:val="bottom"/>
            <w:shd w:val="clear" w:color="auto" w:fill="CCEEFF"/>
          </w:tcPr>
          <w:p>
            <w:pPr>
              <w:spacing w:after="0"/>
              <w:rPr>
                <w:sz w:val="11"/>
                <w:szCs w:val="11"/>
                <w:color w:val="auto"/>
              </w:rPr>
            </w:pPr>
          </w:p>
        </w:tc>
        <w:tc>
          <w:tcPr>
            <w:tcW w:w="116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(48,917)</w:t>
            </w:r>
          </w:p>
        </w:tc>
        <w:tc>
          <w:tcPr>
            <w:tcW w:w="64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(32.2)%</w:t>
            </w:r>
          </w:p>
        </w:tc>
        <w:tc>
          <w:tcPr>
            <w:tcW w:w="10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44,775</w:t>
            </w:r>
          </w:p>
        </w:tc>
        <w:tc>
          <w:tcPr>
            <w:tcW w:w="10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91.5%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5520" w:type="dxa"/>
            <w:vAlign w:val="bottom"/>
          </w:tcPr>
          <w:p>
            <w:pPr>
              <w:spacing w:after="0"/>
              <w:rPr>
                <w:sz w:val="20"/>
                <w:szCs w:val="20"/>
                <w:color w:val="auto"/>
              </w:rPr>
            </w:pPr>
            <w:r>
              <w:rPr>
                <w:rFonts w:ascii="Arial" w:cs="Arial" w:eastAsia="Arial" w:hAnsi="Arial"/>
                <w:sz w:val="12"/>
                <w:szCs w:val="12"/>
                <w:color w:val="auto"/>
              </w:rPr>
              <w:t>Benefit for taxes</w:t>
            </w:r>
          </w:p>
        </w:tc>
        <w:tc>
          <w:tcPr>
            <w:tcW w:w="720" w:type="dxa"/>
            <w:vAlign w:val="bottom"/>
            <w:gridSpan w:val="2"/>
          </w:tcPr>
          <w:p>
            <w:pPr>
              <w:jc w:val="right"/>
              <w:ind w:right="60"/>
              <w:spacing w:after="0"/>
              <w:rPr>
                <w:sz w:val="20"/>
                <w:szCs w:val="20"/>
                <w:color w:val="auto"/>
              </w:rPr>
            </w:pPr>
            <w:r>
              <w:rPr>
                <w:rFonts w:ascii="Arial" w:cs="Arial" w:eastAsia="Arial" w:hAnsi="Arial"/>
                <w:sz w:val="12"/>
                <w:szCs w:val="12"/>
                <w:color w:val="auto"/>
              </w:rPr>
              <w:t>(9,496)</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(2.9)%</w:t>
            </w:r>
          </w:p>
        </w:tc>
        <w:tc>
          <w:tcPr>
            <w:tcW w:w="300" w:type="dxa"/>
            <w:vAlign w:val="bottom"/>
          </w:tcPr>
          <w:p>
            <w:pPr>
              <w:spacing w:after="0"/>
              <w:rPr>
                <w:sz w:val="12"/>
                <w:szCs w:val="12"/>
                <w:color w:val="auto"/>
              </w:rPr>
            </w:pPr>
          </w:p>
        </w:tc>
        <w:tc>
          <w:tcPr>
            <w:tcW w:w="1160" w:type="dxa"/>
            <w:vAlign w:val="bottom"/>
          </w:tcPr>
          <w:p>
            <w:pPr>
              <w:jc w:val="right"/>
              <w:ind w:right="60"/>
              <w:spacing w:after="0"/>
              <w:rPr>
                <w:sz w:val="20"/>
                <w:szCs w:val="20"/>
                <w:color w:val="auto"/>
              </w:rPr>
            </w:pPr>
            <w:r>
              <w:rPr>
                <w:rFonts w:ascii="Arial" w:cs="Arial" w:eastAsia="Arial" w:hAnsi="Arial"/>
                <w:sz w:val="12"/>
                <w:szCs w:val="12"/>
                <w:color w:val="auto"/>
              </w:rPr>
              <w:t>(20,387)</w:t>
            </w:r>
          </w:p>
        </w:tc>
        <w:tc>
          <w:tcPr>
            <w:tcW w:w="640" w:type="dxa"/>
            <w:vAlign w:val="bottom"/>
            <w:gridSpan w:val="2"/>
          </w:tcPr>
          <w:p>
            <w:pPr>
              <w:jc w:val="right"/>
              <w:ind w:right="20"/>
              <w:spacing w:after="0"/>
              <w:rPr>
                <w:sz w:val="20"/>
                <w:szCs w:val="20"/>
                <w:color w:val="auto"/>
              </w:rPr>
            </w:pPr>
            <w:r>
              <w:rPr>
                <w:rFonts w:ascii="Arial" w:cs="Arial" w:eastAsia="Arial" w:hAnsi="Arial"/>
                <w:sz w:val="12"/>
                <w:szCs w:val="12"/>
                <w:color w:val="auto"/>
              </w:rPr>
              <w:t>(13.4)%</w:t>
            </w: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10,891</w:t>
            </w:r>
          </w:p>
        </w:tc>
        <w:tc>
          <w:tcPr>
            <w:tcW w:w="10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53.4%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4"/>
        </w:trPr>
        <w:tc>
          <w:tcPr>
            <w:tcW w:w="5520" w:type="dxa"/>
            <w:vAlign w:val="bottom"/>
            <w:tcBorders>
              <w:top w:val="single" w:sz="8" w:color="CCEEFF"/>
            </w:tcBorders>
            <w:shd w:val="clear" w:color="auto" w:fill="CCEEFF"/>
          </w:tcPr>
          <w:p>
            <w:pPr>
              <w:spacing w:after="0"/>
              <w:rPr>
                <w:sz w:val="7"/>
                <w:szCs w:val="7"/>
                <w:color w:val="auto"/>
              </w:rPr>
            </w:pPr>
          </w:p>
        </w:tc>
        <w:tc>
          <w:tcPr>
            <w:tcW w:w="62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72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1160" w:type="dxa"/>
            <w:vAlign w:val="bottom"/>
            <w:tcBorders>
              <w:top w:val="single" w:sz="8" w:color="auto"/>
            </w:tcBorders>
            <w:shd w:val="clear" w:color="auto" w:fill="CCEEFF"/>
          </w:tcPr>
          <w:p>
            <w:pPr>
              <w:spacing w:after="0"/>
              <w:rPr>
                <w:sz w:val="7"/>
                <w:szCs w:val="7"/>
                <w:color w:val="auto"/>
              </w:rPr>
            </w:pPr>
          </w:p>
        </w:tc>
        <w:tc>
          <w:tcPr>
            <w:tcW w:w="4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rPr>
                <w:sz w:val="7"/>
                <w:szCs w:val="7"/>
                <w:color w:val="auto"/>
              </w:rPr>
            </w:pPr>
          </w:p>
        </w:tc>
        <w:tc>
          <w:tcPr>
            <w:tcW w:w="600" w:type="dxa"/>
            <w:vAlign w:val="bottom"/>
            <w:tcBorders>
              <w:top w:val="single" w:sz="8" w:color="auto"/>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7"/>
                <w:szCs w:val="7"/>
                <w:color w:val="auto"/>
              </w:rPr>
            </w:pPr>
          </w:p>
        </w:tc>
        <w:tc>
          <w:tcPr>
            <w:tcW w:w="1040" w:type="dxa"/>
            <w:vAlign w:val="bottom"/>
            <w:tcBorders>
              <w:top w:val="single" w:sz="8" w:color="auto"/>
            </w:tcBorders>
            <w:shd w:val="clear" w:color="auto" w:fill="CCEEFF"/>
          </w:tcPr>
          <w:p>
            <w:pPr>
              <w:spacing w:after="0"/>
              <w:rPr>
                <w:sz w:val="7"/>
                <w:szCs w:val="7"/>
                <w:color w:val="auto"/>
              </w:rPr>
            </w:pPr>
          </w:p>
        </w:tc>
        <w:tc>
          <w:tcPr>
            <w:tcW w:w="560" w:type="dxa"/>
            <w:vAlign w:val="bottom"/>
            <w:tcBorders>
              <w:top w:val="single" w:sz="8" w:color="auto"/>
            </w:tcBorders>
            <w:shd w:val="clear" w:color="auto" w:fill="CCEEFF"/>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7138670</wp:posOffset>
            </wp:positionH>
            <wp:positionV relativeFrom="paragraph">
              <wp:posOffset>-448945</wp:posOffset>
            </wp:positionV>
            <wp:extent cx="148590" cy="97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8590" cy="97155"/>
                    </a:xfrm>
                    <a:prstGeom prst="rect">
                      <a:avLst/>
                    </a:prstGeom>
                    <a:noFill/>
                  </pic:spPr>
                </pic:pic>
              </a:graphicData>
            </a:graphic>
          </wp:anchor>
        </w:drawing>
      </w:r>
    </w:p>
    <w:p>
      <w:pPr>
        <w:sectPr>
          <w:pgSz w:w="11900" w:h="16900" w:orient="portrait"/>
          <w:cols w:equalWidth="0" w:num="1">
            <w:col w:w="11480"/>
          </w:cols>
          <w:pgMar w:left="220" w:top="143" w:right="199" w:bottom="0" w:gutter="0" w:footer="0" w:header="0"/>
        </w:sectPr>
      </w:pPr>
    </w:p>
    <w:bookmarkStart w:id="8" w:name="page9"/>
    <w:bookmarkEnd w:id="8"/>
    <w:p>
      <w:pPr>
        <w:spacing w:after="0" w:line="2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5482590</wp:posOffset>
            </wp:positionH>
            <wp:positionV relativeFrom="page">
              <wp:posOffset>88900</wp:posOffset>
            </wp:positionV>
            <wp:extent cx="302895" cy="1257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02895" cy="12573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3"/>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5,354</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(28,530)</w:t>
            </w:r>
          </w:p>
        </w:tc>
        <w:tc>
          <w:tcPr>
            <w:tcW w:w="100" w:type="dxa"/>
            <w:vAlign w:val="bottom"/>
            <w:shd w:val="clear" w:color="auto" w:fill="CCEEFF"/>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(18.8)%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shd w:val="clear" w:color="auto" w:fill="CCEEFF"/>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shd w:val="clear" w:color="auto" w:fill="CCEEFF"/>
              </w:rPr>
              <w:t>33,884</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118.8%</w:t>
            </w:r>
          </w:p>
        </w:tc>
        <w:tc>
          <w:tcPr>
            <w:tcW w:w="80" w:type="dxa"/>
            <w:vAlign w:val="bottom"/>
          </w:tcPr>
          <w:p>
            <w:pPr>
              <w:spacing w:after="0"/>
              <w:rPr>
                <w:sz w:val="13"/>
                <w:szCs w:val="13"/>
                <w:color w:val="auto"/>
              </w:rPr>
            </w:pPr>
          </w:p>
        </w:tc>
      </w:tr>
      <w:tr>
        <w:trPr>
          <w:trHeight w:val="63"/>
        </w:trPr>
        <w:tc>
          <w:tcPr>
            <w:tcW w:w="5520" w:type="dxa"/>
            <w:vAlign w:val="bottom"/>
            <w:shd w:val="clear" w:color="auto" w:fill="CCEEFF"/>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7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22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500" w:type="dxa"/>
            <w:vAlign w:val="bottom"/>
            <w:shd w:val="clear" w:color="auto" w:fill="000000"/>
          </w:tcPr>
          <w:p>
            <w:pPr>
              <w:spacing w:after="0"/>
              <w:rPr>
                <w:sz w:val="5"/>
                <w:szCs w:val="5"/>
                <w:color w:val="auto"/>
              </w:rPr>
            </w:pPr>
          </w:p>
        </w:tc>
        <w:tc>
          <w:tcPr>
            <w:tcW w:w="1080" w:type="dxa"/>
            <w:vAlign w:val="bottom"/>
            <w:shd w:val="clear" w:color="auto" w:fill="000000"/>
          </w:tcPr>
          <w:p>
            <w:pPr>
              <w:spacing w:after="0"/>
              <w:rPr>
                <w:sz w:val="5"/>
                <w:szCs w:val="5"/>
                <w:color w:val="auto"/>
              </w:rPr>
            </w:pPr>
          </w:p>
        </w:tc>
        <w:tc>
          <w:tcPr>
            <w:tcW w:w="560" w:type="dxa"/>
            <w:vAlign w:val="bottom"/>
            <w:shd w:val="clear" w:color="auto" w:fill="000000"/>
          </w:tcPr>
          <w:p>
            <w:pPr>
              <w:spacing w:after="0"/>
              <w:rPr>
                <w:sz w:val="5"/>
                <w:szCs w:val="5"/>
                <w:color w:val="auto"/>
              </w:rPr>
            </w:pPr>
          </w:p>
        </w:tc>
        <w:tc>
          <w:tcPr>
            <w:tcW w:w="80" w:type="dxa"/>
            <w:vAlign w:val="bottom"/>
          </w:tcPr>
          <w:p>
            <w:pPr>
              <w:spacing w:after="0"/>
              <w:rPr>
                <w:sz w:val="5"/>
                <w:szCs w:val="5"/>
                <w:color w:val="auto"/>
              </w:rPr>
            </w:pPr>
          </w:p>
        </w:tc>
      </w:tr>
      <w:tr>
        <w:trPr>
          <w:trHeight w:val="108"/>
        </w:trPr>
        <w:tc>
          <w:tcPr>
            <w:tcW w:w="5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151"/>
        </w:trPr>
        <w:tc>
          <w:tcPr>
            <w:tcW w:w="5520" w:type="dxa"/>
            <w:vAlign w:val="bottom"/>
            <w:shd w:val="clear" w:color="auto" w:fill="CCEEFF"/>
          </w:tcPr>
          <w:p>
            <w:pPr>
              <w:spacing w:after="0"/>
              <w:rPr>
                <w:sz w:val="20"/>
                <w:szCs w:val="20"/>
                <w:color w:val="auto"/>
              </w:rPr>
            </w:pPr>
            <w:r>
              <w:rPr>
                <w:rFonts w:ascii="Arial" w:cs="Arial" w:eastAsia="Arial" w:hAnsi="Arial"/>
                <w:sz w:val="12"/>
                <w:szCs w:val="12"/>
                <w:color w:val="auto"/>
              </w:rPr>
              <w:t>Diluted income (loss) per share</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0.18</w:t>
            </w:r>
          </w:p>
        </w:tc>
        <w:tc>
          <w:tcPr>
            <w:tcW w:w="92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(0.98)</w:t>
            </w: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1.16</w:t>
            </w:r>
          </w:p>
        </w:tc>
        <w:tc>
          <w:tcPr>
            <w:tcW w:w="1080" w:type="dxa"/>
            <w:vAlign w:val="bottom"/>
            <w:shd w:val="clear" w:color="auto" w:fill="CCEEFF"/>
          </w:tcPr>
          <w:p>
            <w:pPr>
              <w:spacing w:after="0"/>
              <w:rPr>
                <w:sz w:val="13"/>
                <w:szCs w:val="13"/>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w:t>
            </w:r>
          </w:p>
        </w:tc>
        <w:tc>
          <w:tcPr>
            <w:tcW w:w="80" w:type="dxa"/>
            <w:vAlign w:val="bottom"/>
            <w:shd w:val="clear" w:color="auto" w:fill="CCEEFF"/>
          </w:tcPr>
          <w:p>
            <w:pPr>
              <w:spacing w:after="0"/>
              <w:rPr>
                <w:sz w:val="13"/>
                <w:szCs w:val="13"/>
                <w:color w:val="auto"/>
              </w:rPr>
            </w:pPr>
          </w:p>
        </w:tc>
      </w:tr>
      <w:tr>
        <w:trPr>
          <w:trHeight w:val="151"/>
        </w:trPr>
        <w:tc>
          <w:tcPr>
            <w:tcW w:w="552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Fully diluted average share outstanding</w:t>
            </w:r>
          </w:p>
        </w:tc>
        <w:tc>
          <w:tcPr>
            <w:tcW w:w="16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29,097</w:t>
            </w:r>
          </w:p>
        </w:tc>
        <w:tc>
          <w:tcPr>
            <w:tcW w:w="72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29,046</w:t>
            </w:r>
          </w:p>
        </w:tc>
        <w:tc>
          <w:tcPr>
            <w:tcW w:w="100" w:type="dxa"/>
            <w:vAlign w:val="bottom"/>
            <w:tcBorders>
              <w:top w:val="single" w:sz="8" w:color="CCEEFF"/>
            </w:tcBorders>
          </w:tcPr>
          <w:p>
            <w:pPr>
              <w:spacing w:after="0"/>
              <w:rPr>
                <w:sz w:val="13"/>
                <w:szCs w:val="13"/>
                <w:color w:val="auto"/>
              </w:rPr>
            </w:pPr>
          </w:p>
        </w:tc>
        <w:tc>
          <w:tcPr>
            <w:tcW w:w="640" w:type="dxa"/>
            <w:vAlign w:val="bottom"/>
            <w:tcBorders>
              <w:top w:val="single" w:sz="8" w:color="CCEEFF"/>
            </w:tcBorders>
          </w:tcPr>
          <w:p>
            <w:pPr>
              <w:spacing w:after="0"/>
              <w:rPr>
                <w:sz w:val="13"/>
                <w:szCs w:val="13"/>
                <w:color w:val="auto"/>
              </w:rPr>
            </w:pPr>
          </w:p>
        </w:tc>
        <w:tc>
          <w:tcPr>
            <w:tcW w:w="100" w:type="dxa"/>
            <w:vAlign w:val="bottom"/>
            <w:tcBorders>
              <w:top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gridSpan w:val="2"/>
          </w:tcPr>
          <w:p>
            <w:pPr>
              <w:jc w:val="right"/>
              <w:ind w:right="1080"/>
              <w:spacing w:after="0"/>
              <w:rPr>
                <w:sz w:val="20"/>
                <w:szCs w:val="20"/>
                <w:color w:val="auto"/>
              </w:rPr>
            </w:pPr>
            <w:r>
              <w:rPr>
                <w:rFonts w:ascii="Arial" w:cs="Arial" w:eastAsia="Arial" w:hAnsi="Arial"/>
                <w:sz w:val="12"/>
                <w:szCs w:val="12"/>
                <w:color w:val="auto"/>
              </w:rPr>
              <w:t>51</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0.2%</w:t>
            </w:r>
          </w:p>
        </w:tc>
        <w:tc>
          <w:tcPr>
            <w:tcW w:w="80" w:type="dxa"/>
            <w:vAlign w:val="bottom"/>
            <w:tcBorders>
              <w:top w:val="single" w:sz="8" w:color="auto"/>
              <w:bottom w:val="single" w:sz="8" w:color="auto"/>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5245100</wp:posOffset>
            </wp:positionH>
            <wp:positionV relativeFrom="paragraph">
              <wp:posOffset>-307975</wp:posOffset>
            </wp:positionV>
            <wp:extent cx="3429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5245100</wp:posOffset>
            </wp:positionH>
            <wp:positionV relativeFrom="paragraph">
              <wp:posOffset>-296545</wp:posOffset>
            </wp:positionV>
            <wp:extent cx="3429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 Percentages may not add due to rounding differences.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Unit deliveries and ASP, net of discounts, consisted of the following: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2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4"/>
          </w:tcPr>
          <w:p>
            <w:pPr>
              <w:jc w:val="right"/>
              <w:ind w:right="1140"/>
              <w:spacing w:after="0"/>
              <w:rPr>
                <w:sz w:val="20"/>
                <w:szCs w:val="20"/>
                <w:color w:val="auto"/>
              </w:rPr>
            </w:pPr>
            <w:r>
              <w:rPr>
                <w:rFonts w:ascii="Arial" w:cs="Arial" w:eastAsia="Arial" w:hAnsi="Arial"/>
                <w:sz w:val="12"/>
                <w:szCs w:val="12"/>
                <w:b w:val="1"/>
                <w:bCs w:val="1"/>
                <w:color w:val="auto"/>
              </w:rPr>
              <w:t>Nine Months Ended</w:t>
            </w:r>
          </w:p>
        </w:tc>
        <w:tc>
          <w:tcPr>
            <w:tcW w:w="36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9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3"/>
          </w:tcPr>
          <w:p>
            <w:pPr>
              <w:ind w:left="60"/>
              <w:spacing w:after="0" w:line="119" w:lineRule="exact"/>
              <w:rPr>
                <w:sz w:val="20"/>
                <w:szCs w:val="20"/>
                <w:color w:val="auto"/>
              </w:rPr>
            </w:pPr>
            <w:r>
              <w:rPr>
                <w:rFonts w:ascii="Arial" w:cs="Arial" w:eastAsia="Arial" w:hAnsi="Arial"/>
                <w:sz w:val="12"/>
                <w:szCs w:val="12"/>
                <w:b w:val="1"/>
                <w:bCs w:val="1"/>
                <w:color w:val="auto"/>
              </w:rPr>
              <w:t>May 29,</w:t>
            </w:r>
          </w:p>
        </w:tc>
        <w:tc>
          <w:tcPr>
            <w:tcW w:w="840" w:type="dxa"/>
            <w:vAlign w:val="bottom"/>
          </w:tcPr>
          <w:p>
            <w:pPr>
              <w:jc w:val="right"/>
              <w:ind w:right="220"/>
              <w:spacing w:after="0" w:line="119" w:lineRule="exact"/>
              <w:rPr>
                <w:sz w:val="20"/>
                <w:szCs w:val="20"/>
                <w:color w:val="auto"/>
              </w:rPr>
            </w:pPr>
            <w:r>
              <w:rPr>
                <w:rFonts w:ascii="Arial" w:cs="Arial" w:eastAsia="Arial" w:hAnsi="Arial"/>
                <w:sz w:val="12"/>
                <w:szCs w:val="12"/>
                <w:b w:val="1"/>
                <w:bCs w:val="1"/>
                <w:color w:val="auto"/>
              </w:rPr>
              <w:t>Product</w:t>
            </w:r>
          </w:p>
        </w:tc>
        <w:tc>
          <w:tcPr>
            <w:tcW w:w="440" w:type="dxa"/>
            <w:vAlign w:val="bottom"/>
          </w:tcPr>
          <w:p>
            <w:pPr>
              <w:spacing w:after="0"/>
              <w:rPr>
                <w:sz w:val="10"/>
                <w:szCs w:val="10"/>
                <w:color w:val="auto"/>
              </w:rPr>
            </w:pPr>
          </w:p>
        </w:tc>
        <w:tc>
          <w:tcPr>
            <w:tcW w:w="2040" w:type="dxa"/>
            <w:vAlign w:val="bottom"/>
            <w:gridSpan w:val="3"/>
          </w:tcPr>
          <w:p>
            <w:pPr>
              <w:jc w:val="right"/>
              <w:ind w:right="1400"/>
              <w:spacing w:after="0" w:line="119" w:lineRule="exact"/>
              <w:rPr>
                <w:sz w:val="20"/>
                <w:szCs w:val="20"/>
                <w:color w:val="auto"/>
              </w:rPr>
            </w:pPr>
            <w:r>
              <w:rPr>
                <w:rFonts w:ascii="Arial" w:cs="Arial" w:eastAsia="Arial" w:hAnsi="Arial"/>
                <w:sz w:val="12"/>
                <w:szCs w:val="12"/>
                <w:b w:val="1"/>
                <w:bCs w:val="1"/>
                <w:color w:val="auto"/>
              </w:rPr>
              <w:t>May 30,</w:t>
            </w:r>
          </w:p>
        </w:tc>
        <w:tc>
          <w:tcPr>
            <w:tcW w:w="1540" w:type="dxa"/>
            <w:vAlign w:val="bottom"/>
          </w:tcPr>
          <w:p>
            <w:pPr>
              <w:jc w:val="center"/>
              <w:ind w:right="660"/>
              <w:spacing w:after="0" w:line="119" w:lineRule="exact"/>
              <w:rPr>
                <w:sz w:val="20"/>
                <w:szCs w:val="20"/>
                <w:color w:val="auto"/>
              </w:rPr>
            </w:pPr>
            <w:r>
              <w:rPr>
                <w:rFonts w:ascii="Arial" w:cs="Arial" w:eastAsia="Arial" w:hAnsi="Arial"/>
                <w:sz w:val="12"/>
                <w:szCs w:val="12"/>
                <w:b w:val="1"/>
                <w:bCs w:val="1"/>
                <w:color w:val="auto"/>
              </w:rPr>
              <w:t>Product</w:t>
            </w: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0" w:type="dxa"/>
            <w:vAlign w:val="bottom"/>
          </w:tcPr>
          <w:p>
            <w:pPr>
              <w:jc w:val="right"/>
              <w:ind w:right="100"/>
              <w:spacing w:after="0" w:line="119" w:lineRule="exact"/>
              <w:rPr>
                <w:sz w:val="20"/>
                <w:szCs w:val="20"/>
                <w:color w:val="auto"/>
              </w:rPr>
            </w:pPr>
            <w:r>
              <w:rPr>
                <w:rFonts w:ascii="Arial" w:cs="Arial" w:eastAsia="Arial" w:hAnsi="Arial"/>
                <w:sz w:val="12"/>
                <w:szCs w:val="12"/>
                <w:b w:val="1"/>
                <w:bCs w:val="1"/>
                <w:color w:val="auto"/>
              </w:rPr>
              <w:t>%</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298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(In units)</w:t>
            </w:r>
          </w:p>
        </w:tc>
        <w:tc>
          <w:tcPr>
            <w:tcW w:w="6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Mix %*</w:t>
            </w:r>
          </w:p>
        </w:tc>
        <w:tc>
          <w:tcPr>
            <w:tcW w:w="44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ind w:right="860"/>
              <w:spacing w:after="0"/>
              <w:rPr>
                <w:sz w:val="20"/>
                <w:szCs w:val="20"/>
                <w:color w:val="auto"/>
              </w:rPr>
            </w:pPr>
            <w:r>
              <w:rPr>
                <w:rFonts w:ascii="Arial" w:cs="Arial" w:eastAsia="Arial" w:hAnsi="Arial"/>
                <w:sz w:val="12"/>
                <w:szCs w:val="12"/>
                <w:b w:val="1"/>
                <w:bCs w:val="1"/>
                <w:color w:val="auto"/>
              </w:rPr>
              <w:t>2009</w:t>
            </w:r>
          </w:p>
        </w:tc>
        <w:tc>
          <w:tcPr>
            <w:tcW w:w="4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center"/>
              <w:ind w:right="660"/>
              <w:spacing w:after="0"/>
              <w:rPr>
                <w:sz w:val="20"/>
                <w:szCs w:val="20"/>
                <w:color w:val="auto"/>
              </w:rPr>
            </w:pPr>
            <w:r>
              <w:rPr>
                <w:rFonts w:ascii="Arial" w:cs="Arial" w:eastAsia="Arial" w:hAnsi="Arial"/>
                <w:sz w:val="12"/>
                <w:szCs w:val="12"/>
                <w:b w:val="1"/>
                <w:bCs w:val="1"/>
                <w:color w:val="auto"/>
                <w:w w:val="98"/>
              </w:rPr>
              <w:t>Mix %*</w:t>
            </w: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Increase</w:t>
            </w:r>
          </w:p>
        </w:tc>
        <w:tc>
          <w:tcPr>
            <w:tcW w:w="1140" w:type="dxa"/>
            <w:vAlign w:val="bottom"/>
            <w:tcBorders>
              <w:bottom w:val="single" w:sz="8" w:color="auto"/>
            </w:tcBorders>
            <w:gridSpan w:val="2"/>
          </w:tcPr>
          <w:p>
            <w:pPr>
              <w:ind w:left="580"/>
              <w:spacing w:after="0"/>
              <w:rPr>
                <w:sz w:val="20"/>
                <w:szCs w:val="20"/>
                <w:color w:val="auto"/>
              </w:rPr>
            </w:pPr>
            <w:r>
              <w:rPr>
                <w:rFonts w:ascii="Arial" w:cs="Arial" w:eastAsia="Arial" w:hAnsi="Arial"/>
                <w:sz w:val="12"/>
                <w:szCs w:val="12"/>
                <w:b w:val="1"/>
                <w:bCs w:val="1"/>
                <w:color w:val="auto"/>
              </w:rPr>
              <w:t>Change</w:t>
            </w:r>
          </w:p>
        </w:tc>
        <w:tc>
          <w:tcPr>
            <w:tcW w:w="0" w:type="dxa"/>
            <w:vAlign w:val="bottom"/>
          </w:tcPr>
          <w:p>
            <w:pPr>
              <w:spacing w:after="0"/>
              <w:rPr>
                <w:sz w:val="1"/>
                <w:szCs w:val="1"/>
                <w:color w:val="auto"/>
              </w:rPr>
            </w:pPr>
          </w:p>
        </w:tc>
      </w:tr>
      <w:tr>
        <w:trPr>
          <w:trHeight w:val="133"/>
        </w:trPr>
        <w:tc>
          <w:tcPr>
            <w:tcW w:w="29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Class A gas</w:t>
            </w:r>
          </w:p>
        </w:tc>
        <w:tc>
          <w:tcPr>
            <w:tcW w:w="6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1,030</w:t>
            </w: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31.5%</w:t>
            </w:r>
          </w:p>
        </w:tc>
        <w:tc>
          <w:tcPr>
            <w:tcW w:w="4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356</w:t>
            </w:r>
          </w:p>
        </w:tc>
        <w:tc>
          <w:tcPr>
            <w:tcW w:w="2040" w:type="dxa"/>
            <w:vAlign w:val="bottom"/>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22.4%</w:t>
            </w:r>
          </w:p>
        </w:tc>
        <w:tc>
          <w:tcPr>
            <w:tcW w:w="15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674</w:t>
            </w:r>
          </w:p>
        </w:tc>
        <w:tc>
          <w:tcPr>
            <w:tcW w:w="62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189.3%</w:t>
            </w: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2"/>
                <w:szCs w:val="12"/>
                <w:color w:val="auto"/>
              </w:rPr>
              <w:t>Class A diesel</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707</w:t>
            </w:r>
          </w:p>
        </w:tc>
        <w:tc>
          <w:tcPr>
            <w:tcW w:w="220" w:type="dxa"/>
            <w:vAlign w:val="bottom"/>
          </w:tcPr>
          <w:p>
            <w:pPr>
              <w:spacing w:after="0"/>
              <w:rPr>
                <w:sz w:val="12"/>
                <w:szCs w:val="12"/>
                <w:color w:val="auto"/>
              </w:rPr>
            </w:pPr>
          </w:p>
        </w:tc>
        <w:tc>
          <w:tcPr>
            <w:tcW w:w="840" w:type="dxa"/>
            <w:vAlign w:val="bottom"/>
          </w:tcPr>
          <w:p>
            <w:pPr>
              <w:jc w:val="right"/>
              <w:ind w:right="240"/>
              <w:spacing w:after="0"/>
              <w:rPr>
                <w:sz w:val="20"/>
                <w:szCs w:val="20"/>
                <w:color w:val="auto"/>
              </w:rPr>
            </w:pPr>
            <w:r>
              <w:rPr>
                <w:rFonts w:ascii="Arial" w:cs="Arial" w:eastAsia="Arial" w:hAnsi="Arial"/>
                <w:sz w:val="12"/>
                <w:szCs w:val="12"/>
                <w:color w:val="auto"/>
              </w:rPr>
              <w:t>21.6%</w:t>
            </w:r>
          </w:p>
        </w:tc>
        <w:tc>
          <w:tcPr>
            <w:tcW w:w="440" w:type="dxa"/>
            <w:vAlign w:val="bottom"/>
          </w:tcPr>
          <w:p>
            <w:pPr>
              <w:jc w:val="right"/>
              <w:spacing w:after="0"/>
              <w:rPr>
                <w:sz w:val="20"/>
                <w:szCs w:val="20"/>
                <w:color w:val="auto"/>
              </w:rPr>
            </w:pPr>
            <w:r>
              <w:rPr>
                <w:rFonts w:ascii="Arial" w:cs="Arial" w:eastAsia="Arial" w:hAnsi="Arial"/>
                <w:sz w:val="12"/>
                <w:szCs w:val="12"/>
                <w:color w:val="auto"/>
              </w:rPr>
              <w:t>225</w:t>
            </w:r>
          </w:p>
        </w:tc>
        <w:tc>
          <w:tcPr>
            <w:tcW w:w="2040" w:type="dxa"/>
            <w:vAlign w:val="bottom"/>
            <w:gridSpan w:val="3"/>
          </w:tcPr>
          <w:p>
            <w:pPr>
              <w:jc w:val="right"/>
              <w:spacing w:after="0"/>
              <w:rPr>
                <w:sz w:val="20"/>
                <w:szCs w:val="20"/>
                <w:color w:val="auto"/>
              </w:rPr>
            </w:pPr>
            <w:r>
              <w:rPr>
                <w:rFonts w:ascii="Arial" w:cs="Arial" w:eastAsia="Arial" w:hAnsi="Arial"/>
                <w:sz w:val="12"/>
                <w:szCs w:val="12"/>
                <w:color w:val="auto"/>
              </w:rPr>
              <w:t>14.1%</w:t>
            </w:r>
          </w:p>
        </w:tc>
        <w:tc>
          <w:tcPr>
            <w:tcW w:w="1540" w:type="dxa"/>
            <w:vAlign w:val="bottom"/>
          </w:tcPr>
          <w:p>
            <w:pPr>
              <w:spacing w:after="0"/>
              <w:rPr>
                <w:sz w:val="12"/>
                <w:szCs w:val="12"/>
                <w:color w:val="auto"/>
              </w:rPr>
            </w:pP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482</w:t>
            </w:r>
          </w:p>
        </w:tc>
        <w:tc>
          <w:tcPr>
            <w:tcW w:w="6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214.2%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98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Total Class A</w:t>
            </w:r>
          </w:p>
        </w:tc>
        <w:tc>
          <w:tcPr>
            <w:tcW w:w="6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gridSpan w:val="2"/>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1,737</w:t>
            </w: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jc w:val="right"/>
              <w:ind w:right="240"/>
              <w:spacing w:after="0" w:line="133" w:lineRule="exact"/>
              <w:rPr>
                <w:sz w:val="20"/>
                <w:szCs w:val="20"/>
                <w:color w:val="auto"/>
              </w:rPr>
            </w:pPr>
            <w:r>
              <w:rPr>
                <w:rFonts w:ascii="Arial" w:cs="Arial" w:eastAsia="Arial" w:hAnsi="Arial"/>
                <w:sz w:val="12"/>
                <w:szCs w:val="12"/>
                <w:color w:val="auto"/>
              </w:rPr>
              <w:t>53.1%</w:t>
            </w:r>
          </w:p>
        </w:tc>
        <w:tc>
          <w:tcPr>
            <w:tcW w:w="440" w:type="dxa"/>
            <w:vAlign w:val="bottom"/>
            <w:tcBorders>
              <w:top w:val="single" w:sz="8" w:color="auto"/>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581</w:t>
            </w:r>
          </w:p>
        </w:tc>
        <w:tc>
          <w:tcPr>
            <w:tcW w:w="2040" w:type="dxa"/>
            <w:vAlign w:val="bottom"/>
            <w:tcBorders>
              <w:top w:val="single" w:sz="8" w:color="auto"/>
            </w:tcBorders>
            <w:gridSpan w:val="3"/>
            <w:shd w:val="clear" w:color="auto" w:fill="CCEEFF"/>
          </w:tcPr>
          <w:p>
            <w:pPr>
              <w:jc w:val="right"/>
              <w:spacing w:after="0" w:line="133" w:lineRule="exact"/>
              <w:rPr>
                <w:sz w:val="20"/>
                <w:szCs w:val="20"/>
                <w:color w:val="auto"/>
              </w:rPr>
            </w:pPr>
            <w:r>
              <w:rPr>
                <w:rFonts w:ascii="Arial" w:cs="Arial" w:eastAsia="Arial" w:hAnsi="Arial"/>
                <w:sz w:val="12"/>
                <w:szCs w:val="12"/>
                <w:color w:val="auto"/>
              </w:rPr>
              <w:t>36.5%</w:t>
            </w:r>
          </w:p>
        </w:tc>
        <w:tc>
          <w:tcPr>
            <w:tcW w:w="1540" w:type="dxa"/>
            <w:vAlign w:val="bottom"/>
            <w:tcBorders>
              <w:top w:val="single" w:sz="8" w:color="auto"/>
            </w:tcBorders>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1,156</w:t>
            </w:r>
          </w:p>
        </w:tc>
        <w:tc>
          <w:tcPr>
            <w:tcW w:w="36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shd w:val="clear" w:color="auto" w:fill="CCEEFF"/>
          </w:tcPr>
          <w:p>
            <w:pPr>
              <w:jc w:val="right"/>
              <w:ind w:right="380"/>
              <w:spacing w:after="0" w:line="133" w:lineRule="exact"/>
              <w:rPr>
                <w:sz w:val="20"/>
                <w:szCs w:val="20"/>
                <w:color w:val="auto"/>
              </w:rPr>
            </w:pPr>
            <w:r>
              <w:rPr>
                <w:rFonts w:ascii="Arial" w:cs="Arial" w:eastAsia="Arial" w:hAnsi="Arial"/>
                <w:sz w:val="12"/>
                <w:szCs w:val="12"/>
                <w:color w:val="auto"/>
              </w:rPr>
              <w:t>199.0%</w:t>
            </w:r>
          </w:p>
        </w:tc>
        <w:tc>
          <w:tcPr>
            <w:tcW w:w="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2"/>
                <w:szCs w:val="12"/>
                <w:color w:val="auto"/>
              </w:rPr>
              <w:t>Class B</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202</w:t>
            </w:r>
          </w:p>
        </w:tc>
        <w:tc>
          <w:tcPr>
            <w:tcW w:w="220" w:type="dxa"/>
            <w:vAlign w:val="bottom"/>
          </w:tcPr>
          <w:p>
            <w:pPr>
              <w:spacing w:after="0"/>
              <w:rPr>
                <w:sz w:val="12"/>
                <w:szCs w:val="12"/>
                <w:color w:val="auto"/>
              </w:rPr>
            </w:pPr>
          </w:p>
        </w:tc>
        <w:tc>
          <w:tcPr>
            <w:tcW w:w="840" w:type="dxa"/>
            <w:vAlign w:val="bottom"/>
          </w:tcPr>
          <w:p>
            <w:pPr>
              <w:jc w:val="right"/>
              <w:ind w:right="240"/>
              <w:spacing w:after="0"/>
              <w:rPr>
                <w:sz w:val="20"/>
                <w:szCs w:val="20"/>
                <w:color w:val="auto"/>
              </w:rPr>
            </w:pPr>
            <w:r>
              <w:rPr>
                <w:rFonts w:ascii="Arial" w:cs="Arial" w:eastAsia="Arial" w:hAnsi="Arial"/>
                <w:sz w:val="12"/>
                <w:szCs w:val="12"/>
                <w:color w:val="auto"/>
              </w:rPr>
              <w:t>6.2%</w:t>
            </w:r>
          </w:p>
        </w:tc>
        <w:tc>
          <w:tcPr>
            <w:tcW w:w="440" w:type="dxa"/>
            <w:vAlign w:val="bottom"/>
          </w:tcPr>
          <w:p>
            <w:pPr>
              <w:jc w:val="right"/>
              <w:spacing w:after="0"/>
              <w:rPr>
                <w:sz w:val="20"/>
                <w:szCs w:val="20"/>
                <w:color w:val="auto"/>
              </w:rPr>
            </w:pPr>
            <w:r>
              <w:rPr>
                <w:rFonts w:ascii="Arial" w:cs="Arial" w:eastAsia="Arial" w:hAnsi="Arial"/>
                <w:sz w:val="12"/>
                <w:szCs w:val="12"/>
                <w:color w:val="auto"/>
              </w:rPr>
              <w:t>99</w:t>
            </w:r>
          </w:p>
        </w:tc>
        <w:tc>
          <w:tcPr>
            <w:tcW w:w="2040" w:type="dxa"/>
            <w:vAlign w:val="bottom"/>
            <w:gridSpan w:val="3"/>
          </w:tcPr>
          <w:p>
            <w:pPr>
              <w:jc w:val="right"/>
              <w:spacing w:after="0"/>
              <w:rPr>
                <w:sz w:val="20"/>
                <w:szCs w:val="20"/>
                <w:color w:val="auto"/>
              </w:rPr>
            </w:pPr>
            <w:r>
              <w:rPr>
                <w:rFonts w:ascii="Arial" w:cs="Arial" w:eastAsia="Arial" w:hAnsi="Arial"/>
                <w:sz w:val="12"/>
                <w:szCs w:val="12"/>
                <w:color w:val="auto"/>
              </w:rPr>
              <w:t>6.2%</w:t>
            </w:r>
          </w:p>
        </w:tc>
        <w:tc>
          <w:tcPr>
            <w:tcW w:w="1540" w:type="dxa"/>
            <w:vAlign w:val="bottom"/>
          </w:tcPr>
          <w:p>
            <w:pPr>
              <w:spacing w:after="0"/>
              <w:rPr>
                <w:sz w:val="20"/>
                <w:szCs w:val="20"/>
                <w:color w:val="auto"/>
              </w:rPr>
            </w:pPr>
            <w:r>
              <w:rPr>
                <w:rFonts w:ascii="Arial" w:cs="Arial" w:eastAsia="Arial" w:hAnsi="Arial"/>
                <w:sz w:val="12"/>
                <w:szCs w:val="12"/>
                <w:color w:val="auto"/>
              </w:rPr>
              <w:t>&amp;nb sp;</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103</w:t>
            </w:r>
          </w:p>
        </w:tc>
        <w:tc>
          <w:tcPr>
            <w:tcW w:w="62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104.0%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980" w:type="dxa"/>
            <w:vAlign w:val="bottom"/>
            <w:shd w:val="clear" w:color="auto" w:fill="CCEEFF"/>
          </w:tcPr>
          <w:p>
            <w:pPr>
              <w:spacing w:after="0"/>
              <w:rPr>
                <w:sz w:val="20"/>
                <w:szCs w:val="20"/>
                <w:color w:val="auto"/>
              </w:rPr>
            </w:pPr>
            <w:r>
              <w:rPr>
                <w:rFonts w:ascii="Arial" w:cs="Arial" w:eastAsia="Arial" w:hAnsi="Arial"/>
                <w:sz w:val="12"/>
                <w:szCs w:val="12"/>
                <w:color w:val="auto"/>
              </w:rPr>
              <w:t>Class C</w:t>
            </w:r>
          </w:p>
        </w:tc>
        <w:tc>
          <w:tcPr>
            <w:tcW w:w="62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1,330</w:t>
            </w:r>
          </w:p>
        </w:tc>
        <w:tc>
          <w:tcPr>
            <w:tcW w:w="4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color w:val="auto"/>
              </w:rPr>
              <w:t>40.7%</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911</w:t>
            </w: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color w:val="auto"/>
              </w:rPr>
              <w:t>57.3%</w:t>
            </w:r>
          </w:p>
        </w:tc>
        <w:tc>
          <w:tcPr>
            <w:tcW w:w="15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419</w:t>
            </w:r>
          </w:p>
        </w:tc>
        <w:tc>
          <w:tcPr>
            <w:tcW w:w="6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46.0%</w:t>
            </w:r>
          </w:p>
        </w:tc>
        <w:tc>
          <w:tcPr>
            <w:tcW w:w="1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2980" w:type="dxa"/>
            <w:vAlign w:val="bottom"/>
            <w:tcBorders>
              <w:bottom w:val="single" w:sz="8" w:color="CCEEFF"/>
            </w:tcBorders>
          </w:tcPr>
          <w:p>
            <w:pPr>
              <w:spacing w:after="0" w:line="133" w:lineRule="exact"/>
              <w:rPr>
                <w:sz w:val="20"/>
                <w:szCs w:val="20"/>
                <w:color w:val="auto"/>
              </w:rPr>
            </w:pPr>
            <w:r>
              <w:rPr>
                <w:rFonts w:ascii="Arial" w:cs="Arial" w:eastAsia="Arial" w:hAnsi="Arial"/>
                <w:sz w:val="12"/>
                <w:szCs w:val="12"/>
                <w:color w:val="auto"/>
              </w:rPr>
              <w:t>Total deliveries</w:t>
            </w:r>
          </w:p>
        </w:tc>
        <w:tc>
          <w:tcPr>
            <w:tcW w:w="6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color w:val="auto"/>
              </w:rPr>
              <w:t>3,269</w:t>
            </w: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40"/>
              <w:spacing w:after="0" w:line="133" w:lineRule="exact"/>
              <w:rPr>
                <w:sz w:val="20"/>
                <w:szCs w:val="20"/>
                <w:color w:val="auto"/>
              </w:rPr>
            </w:pPr>
            <w:r>
              <w:rPr>
                <w:rFonts w:ascii="Arial" w:cs="Arial" w:eastAsia="Arial" w:hAnsi="Arial"/>
                <w:sz w:val="12"/>
                <w:szCs w:val="12"/>
                <w:color w:val="auto"/>
              </w:rPr>
              <w:t>100.0%</w:t>
            </w:r>
          </w:p>
        </w:tc>
        <w:tc>
          <w:tcPr>
            <w:tcW w:w="44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1,591</w:t>
            </w:r>
          </w:p>
        </w:tc>
        <w:tc>
          <w:tcPr>
            <w:tcW w:w="2040" w:type="dxa"/>
            <w:vAlign w:val="bottom"/>
            <w:tcBorders>
              <w:bottom w:val="single" w:sz="8" w:color="auto"/>
            </w:tcBorders>
            <w:gridSpan w:val="3"/>
          </w:tcPr>
          <w:p>
            <w:pPr>
              <w:jc w:val="right"/>
              <w:spacing w:after="0" w:line="133" w:lineRule="exact"/>
              <w:rPr>
                <w:sz w:val="20"/>
                <w:szCs w:val="20"/>
                <w:color w:val="auto"/>
              </w:rPr>
            </w:pPr>
            <w:r>
              <w:rPr>
                <w:rFonts w:ascii="Arial" w:cs="Arial" w:eastAsia="Arial" w:hAnsi="Arial"/>
                <w:sz w:val="12"/>
                <w:szCs w:val="12"/>
                <w:color w:val="auto"/>
              </w:rPr>
              <w:t>100.0%</w:t>
            </w:r>
          </w:p>
        </w:tc>
        <w:tc>
          <w:tcPr>
            <w:tcW w:w="15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gridSpan w:val="2"/>
          </w:tcPr>
          <w:p>
            <w:pPr>
              <w:jc w:val="right"/>
              <w:spacing w:after="0" w:line="133" w:lineRule="exact"/>
              <w:rPr>
                <w:sz w:val="20"/>
                <w:szCs w:val="20"/>
                <w:color w:val="auto"/>
              </w:rPr>
            </w:pPr>
            <w:r>
              <w:rPr>
                <w:rFonts w:ascii="Arial" w:cs="Arial" w:eastAsia="Arial" w:hAnsi="Arial"/>
                <w:sz w:val="12"/>
                <w:szCs w:val="12"/>
                <w:color w:val="auto"/>
              </w:rPr>
              <w:t>1,678</w:t>
            </w:r>
          </w:p>
        </w:tc>
        <w:tc>
          <w:tcPr>
            <w:tcW w:w="6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spacing w:after="0" w:line="133" w:lineRule="exact"/>
              <w:rPr>
                <w:sz w:val="20"/>
                <w:szCs w:val="20"/>
                <w:color w:val="auto"/>
              </w:rPr>
            </w:pPr>
            <w:r>
              <w:rPr>
                <w:rFonts w:ascii="Arial" w:cs="Arial" w:eastAsia="Arial" w:hAnsi="Arial"/>
                <w:sz w:val="12"/>
                <w:szCs w:val="12"/>
                <w:color w:val="auto"/>
              </w:rPr>
              <w:t>105.5%</w:t>
            </w:r>
          </w:p>
        </w:tc>
        <w:tc>
          <w:tcPr>
            <w:tcW w:w="1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29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0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0"/>
                <w:szCs w:val="20"/>
                <w:color w:val="auto"/>
              </w:rPr>
            </w:pPr>
            <w:r>
              <w:rPr>
                <w:rFonts w:ascii="Arial" w:cs="Arial" w:eastAsia="Arial" w:hAnsi="Arial"/>
                <w:sz w:val="12"/>
                <w:szCs w:val="12"/>
                <w:color w:val="auto"/>
              </w:rPr>
              <w:t>&lt; /td&gt;</w:t>
            </w:r>
          </w:p>
        </w:tc>
        <w:tc>
          <w:tcPr>
            <w:tcW w:w="36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980" w:type="dxa"/>
            <w:vAlign w:val="bottom"/>
          </w:tcPr>
          <w:p>
            <w:pPr>
              <w:spacing w:after="0"/>
              <w:rPr>
                <w:sz w:val="20"/>
                <w:szCs w:val="20"/>
                <w:color w:val="auto"/>
              </w:rPr>
            </w:pPr>
            <w:r>
              <w:rPr>
                <w:rFonts w:ascii="Arial" w:cs="Arial" w:eastAsia="Arial" w:hAnsi="Arial"/>
                <w:sz w:val="12"/>
                <w:szCs w:val="12"/>
                <w:color w:val="auto"/>
              </w:rPr>
              <w:t>ASP (in thousands)</w:t>
            </w:r>
          </w:p>
        </w:tc>
        <w:tc>
          <w:tcPr>
            <w:tcW w:w="7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95</w:t>
            </w:r>
          </w:p>
        </w:tc>
        <w:tc>
          <w:tcPr>
            <w:tcW w:w="220" w:type="dxa"/>
            <w:vAlign w:val="bottom"/>
          </w:tcPr>
          <w:p>
            <w:pPr>
              <w:spacing w:after="0"/>
              <w:rPr>
                <w:sz w:val="13"/>
                <w:szCs w:val="13"/>
                <w:color w:val="auto"/>
              </w:rPr>
            </w:pPr>
          </w:p>
        </w:tc>
        <w:tc>
          <w:tcPr>
            <w:tcW w:w="84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440" w:type="dxa"/>
            <w:vAlign w:val="bottom"/>
          </w:tcPr>
          <w:p>
            <w:pPr>
              <w:jc w:val="right"/>
              <w:spacing w:after="0"/>
              <w:rPr>
                <w:sz w:val="20"/>
                <w:szCs w:val="20"/>
                <w:color w:val="auto"/>
              </w:rPr>
            </w:pPr>
            <w:r>
              <w:rPr>
                <w:rFonts w:ascii="Arial" w:cs="Arial" w:eastAsia="Arial" w:hAnsi="Arial"/>
                <w:sz w:val="12"/>
                <w:szCs w:val="12"/>
                <w:color w:val="auto"/>
              </w:rPr>
              <w:t>86</w:t>
            </w:r>
          </w:p>
        </w:tc>
        <w:tc>
          <w:tcPr>
            <w:tcW w:w="2040" w:type="dxa"/>
            <w:vAlign w:val="bottom"/>
            <w:gridSpan w:val="3"/>
            <w:vMerge w:val="restart"/>
          </w:tcPr>
          <w:p>
            <w:pPr>
              <w:jc w:val="right"/>
              <w:ind w:right="1600"/>
              <w:spacing w:after="0"/>
              <w:rPr>
                <w:sz w:val="20"/>
                <w:szCs w:val="20"/>
                <w:color w:val="auto"/>
              </w:rPr>
            </w:pPr>
            <w:r>
              <w:rPr>
                <w:rFonts w:ascii="Arial" w:cs="Arial" w:eastAsia="Arial" w:hAnsi="Arial"/>
                <w:sz w:val="12"/>
                <w:szCs w:val="12"/>
                <w:color w:val="auto"/>
              </w:rPr>
              <w:t>&lt; /font&gt;</w:t>
            </w:r>
          </w:p>
        </w:tc>
        <w:tc>
          <w:tcPr>
            <w:tcW w:w="154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420" w:type="dxa"/>
            <w:vAlign w:val="bottom"/>
            <w:gridSpan w:val="2"/>
          </w:tcPr>
          <w:p>
            <w:pPr>
              <w:jc w:val="right"/>
              <w:spacing w:after="0"/>
              <w:rPr>
                <w:sz w:val="20"/>
                <w:szCs w:val="20"/>
                <w:color w:val="auto"/>
              </w:rPr>
            </w:pPr>
            <w:r>
              <w:rPr>
                <w:rFonts w:ascii="Arial" w:cs="Arial" w:eastAsia="Arial" w:hAnsi="Arial"/>
                <w:sz w:val="12"/>
                <w:szCs w:val="12"/>
                <w:color w:val="auto"/>
              </w:rPr>
              <w:t>9</w:t>
            </w:r>
          </w:p>
        </w:tc>
        <w:tc>
          <w:tcPr>
            <w:tcW w:w="6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9.7%</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2980" w:type="dxa"/>
            <w:vAlign w:val="bottom"/>
          </w:tcPr>
          <w:p>
            <w:pPr>
              <w:spacing w:after="0"/>
              <w:rPr>
                <w:sz w:val="20"/>
                <w:szCs w:val="20"/>
                <w:color w:val="auto"/>
              </w:rPr>
            </w:pPr>
            <w:r>
              <w:rPr>
                <w:rFonts w:ascii="Arial" w:cs="Arial" w:eastAsia="Arial" w:hAnsi="Arial"/>
                <w:sz w:val="10"/>
                <w:szCs w:val="10"/>
                <w:color w:val="auto"/>
              </w:rPr>
              <w:t>* Percentages may not add due to rounding differences.</w:t>
            </w: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4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3089275</wp:posOffset>
            </wp:positionH>
            <wp:positionV relativeFrom="paragraph">
              <wp:posOffset>-589280</wp:posOffset>
            </wp:positionV>
            <wp:extent cx="4197985"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97985" cy="10287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73177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Net revenues for the nine months ended May 29, 2010 increased $174.3 million, or 114.6 percent, due to the following:</w:t>
      </w:r>
    </w:p>
    <w:p>
      <w:pPr>
        <w:spacing w:after="0" w:line="150" w:lineRule="exact"/>
        <w:rPr>
          <w:sz w:val="20"/>
          <w:szCs w:val="20"/>
          <w:color w:val="auto"/>
        </w:rPr>
      </w:pPr>
    </w:p>
    <w:p>
      <w:pPr>
        <w:ind w:left="420" w:hanging="212"/>
        <w:spacing w:after="0"/>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Volume increase: The primary reason for the net revenue increase was due to an increase in unit deliveries of 105.5 percent.</w:t>
      </w:r>
    </w:p>
    <w:p>
      <w:pPr>
        <w:spacing w:after="0" w:line="6" w:lineRule="exact"/>
        <w:rPr>
          <w:rFonts w:ascii="Arial" w:cs="Arial" w:eastAsia="Arial" w:hAnsi="Arial"/>
          <w:sz w:val="12"/>
          <w:szCs w:val="12"/>
          <w:color w:val="auto"/>
        </w:rPr>
      </w:pPr>
    </w:p>
    <w:p>
      <w:pPr>
        <w:ind w:left="420" w:right="40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Pricing and mix: Our motor home ASP increased 9.7 percent. This increase was due to a shift to higher-priced product as our sales mix was more heavily weighted to Class A product and a decrease of product discounts offered at the wholesale level as compared to the comparable period last year.</w:t>
      </w:r>
    </w:p>
    <w:p>
      <w:pPr>
        <w:ind w:left="420" w:right="320" w:hanging="212"/>
        <w:spacing w:after="0" w:line="250"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Repurchas es: Our repurchase loss provision, which is a deduction from gross revenues, decreased 2.0 percent (as a percentage of net revenues), or $2.7 million. We repurchased four motor homes and resold five motor homes, incurring losses of $44,000. Further discussion of our repurchase activity is included in Note 10.</w:t>
      </w:r>
    </w:p>
    <w:p>
      <w:pPr>
        <w:ind w:left="420" w:right="320" w:hanging="212"/>
        <w:spacing w:after="0" w:line="262" w:lineRule="auto"/>
        <w:tabs>
          <w:tab w:leader="none" w:pos="420" w:val="left"/>
        </w:tabs>
        <w:numPr>
          <w:ilvl w:val="0"/>
          <w:numId w:val="7"/>
        </w:numPr>
        <w:rPr>
          <w:rFonts w:ascii="Arial" w:cs="Arial" w:eastAsia="Arial" w:hAnsi="Arial"/>
          <w:sz w:val="12"/>
          <w:szCs w:val="12"/>
          <w:color w:val="auto"/>
        </w:rPr>
      </w:pPr>
      <w:r>
        <w:rPr>
          <w:rFonts w:ascii="Arial" w:cs="Arial" w:eastAsia="Arial" w:hAnsi="Arial"/>
          <w:sz w:val="12"/>
          <w:szCs w:val="12"/>
          <w:color w:val="auto"/>
        </w:rPr>
        <w:t>&lt; div style="line-height:120%;text-align:left;font-size:10pt;text-indent:0px;"&gt;Promotional incentives: Although retail and other incentives were flat compared to last year, as a percent of net revenues, these incentives decreased 2.3 percent. In the prior year, we had more retail incentive programs in place to help stimulate dealer retail demand.</w:t>
      </w:r>
    </w:p>
    <w:p>
      <w:pPr>
        <w:spacing w:after="0" w:line="131"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Cost of products sold was $311.3 million, or 95.4 percent of net revenues for the first nine months of Fiscal 2010 compared to $181.0 million, or 119.1 percent of net revenues for the comparable period a year ago. Variable costs (material, labor, variable overhead, delivery and warranty) increased $131.0 million as a result of the increased number of motor homes sold. As a percent of revenues, however, variable costs decreased to 85.9 percent for the first nine months of Fiscal 2010 from 98.1 percent for the same period a year ago. This decrease in percentage is due to reduced material and labor costs and improved labor efficiencies as a result of production volume increases. Fixed overhead (manufacturing support labor, depreciation and facility costs) and research and development-related costs decreased $774,000, and were 9.5 percent of net revenues for the first nine months of Fiscal 2010 compared to 21.0 percent of net revenues in the comparable period a year ago. The decrease in percentage was due to greater absorption of fixed costs resulting from higher production volumes. Due to the significant reducti on of inventory levels, there was a positive benefit to cost of goods sold in the nine months ended May 29, 2010 and May 30, 2009 of $ 34,000 and $4.1 million, respectively from the liquidation of LIFO inventory values. When all factors as described above are considered, gross profit was $15.1 million, or 4.6 percent, of net revenues for the first nine months of Fiscal 2010 compared to a gross deficit of $29.0 million, or 19.1 percent, of net revenues during the comparable period a year ago.</w:t>
      </w:r>
    </w:p>
    <w:p>
      <w:pPr>
        <w:spacing w:after="0" w:line="138"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Selling expenses decreased $126,000, or 1.3 percent, for the nine months ended May 29, 2010 and, as a percent of net revenues, were 2.9 percent and 6.3 percent during the nine months of Fiscal 2010 and Fiscal 2009, respectively.</w:t>
      </w:r>
    </w:p>
    <w:p>
      <w:pPr>
        <w:spacing w:after="0" w:line="131" w:lineRule="exact"/>
        <w:rPr>
          <w:sz w:val="20"/>
          <w:szCs w:val="20"/>
          <w:color w:val="auto"/>
        </w:rPr>
      </w:pPr>
    </w:p>
    <w:p>
      <w:pPr>
        <w:ind w:right="140"/>
        <w:spacing w:after="0" w:line="256" w:lineRule="auto"/>
        <w:rPr>
          <w:sz w:val="20"/>
          <w:szCs w:val="20"/>
          <w:color w:val="auto"/>
        </w:rPr>
      </w:pPr>
      <w:r>
        <w:rPr>
          <w:rFonts w:ascii="Arial" w:cs="Arial" w:eastAsia="Arial" w:hAnsi="Arial"/>
          <w:sz w:val="12"/>
          <w:szCs w:val="12"/>
          <w:color w:val="auto"/>
        </w:rPr>
        <w:t>General and administrative expenses decreased $1.7 million, or 14.4 percent, for the first nine months of Fiscal 2010 and, as a p ercent of net revenues, were 3.1 percent and 7.7 percent during the first nine months of Fiscal 2010 and Fiscal 2009, respectively. The decrease in dollars was due to reductions of $1.3 million in legal expenses, $570,000 labor-related expenses, and $535,000 less expense associated with our idled and leased facilities, partially offset by increased product liability expense of $1.2 million.</w:t>
      </w:r>
    </w:p>
    <w:p>
      <w:pPr>
        <w:spacing w:after="0" w:line="135" w:lineRule="exact"/>
        <w:rPr>
          <w:sz w:val="20"/>
          <w:szCs w:val="20"/>
          <w:color w:val="auto"/>
        </w:rPr>
      </w:pPr>
    </w:p>
    <w:p>
      <w:pPr>
        <w:jc w:val="both"/>
        <w:ind w:right="140"/>
        <w:spacing w:after="0" w:line="262" w:lineRule="auto"/>
        <w:rPr>
          <w:sz w:val="20"/>
          <w:szCs w:val="20"/>
          <w:color w:val="auto"/>
        </w:rPr>
      </w:pPr>
      <w:r>
        <w:rPr>
          <w:rFonts w:ascii="Arial" w:cs="Arial" w:eastAsia="Arial" w:hAnsi="Arial"/>
          <w:sz w:val="12"/>
          <w:szCs w:val="12"/>
          <w:color w:val="auto"/>
        </w:rPr>
        <w:t>Financial income decreased $1.1 million, or 78.8 percent, for the nine months ended May 29, 2010. The d ecrease in financial income was due primarily to increased credit facility costs and a reduction in investment interest rates.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The overall effective income tax rate for the nine months ended May 29, 2010 was a benefit of 229.3 percent compared to a benefit of 41.7 percent for the nine months ended May 30, 2009.</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00" w:type="dxa"/>
            <w:vAlign w:val="bottom"/>
          </w:tcPr>
          <w:p>
            <w:pPr>
              <w:spacing w:after="0"/>
              <w:rPr>
                <w:sz w:val="12"/>
                <w:szCs w:val="12"/>
                <w:color w:val="auto"/>
              </w:rPr>
            </w:pPr>
          </w:p>
        </w:tc>
        <w:tc>
          <w:tcPr>
            <w:tcW w:w="5440" w:type="dxa"/>
            <w:vAlign w:val="bottom"/>
            <w:gridSpan w:val="2"/>
          </w:tcPr>
          <w:p>
            <w:pPr>
              <w:spacing w:after="0"/>
              <w:rPr>
                <w:rFonts w:ascii="Arial" w:cs="Arial" w:eastAsia="Arial" w:hAnsi="Arial"/>
                <w:sz w:val="12"/>
                <w:szCs w:val="12"/>
                <w:color w:val="0000FF"/>
              </w:rPr>
            </w:pPr>
            <w:hyperlink w:anchor="page1">
              <w:r>
                <w:rPr>
                  <w:rFonts w:ascii="Arial" w:cs="Arial" w:eastAsia="Arial" w:hAnsi="Arial"/>
                  <w:sz w:val="12"/>
                  <w:szCs w:val="12"/>
                  <w:color w:val="0000FF"/>
                </w:rPr>
                <w:t>Table of Contents</w:t>
              </w:r>
            </w:hyperlink>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0"/>
        </w:trPr>
        <w:tc>
          <w:tcPr>
            <w:tcW w:w="600" w:type="dxa"/>
            <w:vAlign w:val="bottom"/>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95"/>
        </w:trPr>
        <w:tc>
          <w:tcPr>
            <w:tcW w:w="6040" w:type="dxa"/>
            <w:vAlign w:val="bottom"/>
            <w:gridSpan w:val="3"/>
          </w:tcPr>
          <w:p>
            <w:pPr>
              <w:spacing w:after="0"/>
              <w:rPr>
                <w:sz w:val="20"/>
                <w:szCs w:val="20"/>
                <w:color w:val="auto"/>
              </w:rPr>
            </w:pPr>
            <w:r>
              <w:rPr>
                <w:rFonts w:ascii="Arial" w:cs="Arial" w:eastAsia="Arial" w:hAnsi="Arial"/>
                <w:sz w:val="12"/>
                <w:szCs w:val="12"/>
                <w:color w:val="auto"/>
              </w:rPr>
              <w:t>The following table breaks down the two af orementioned tax rates:</w:t>
            </w:r>
          </w:p>
        </w:tc>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2"/>
        </w:trPr>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6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Nine Months Ended</w:t>
            </w:r>
          </w:p>
        </w:tc>
        <w:tc>
          <w:tcPr>
            <w:tcW w:w="680" w:type="dxa"/>
            <w:vAlign w:val="bottom"/>
            <w:tcBorders>
              <w:bottom w:val="single" w:sz="8" w:color="auto"/>
            </w:tcBorders>
          </w:tcPr>
          <w:p>
            <w:pPr>
              <w:spacing w:after="0"/>
              <w:rPr>
                <w:sz w:val="21"/>
                <w:szCs w:val="21"/>
                <w:color w:val="auto"/>
              </w:rPr>
            </w:pPr>
          </w:p>
        </w:tc>
      </w:tr>
      <w:tr>
        <w:trPr>
          <w:trHeight w:val="133"/>
        </w:trPr>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gridSpan w:val="3"/>
          </w:tcPr>
          <w:p>
            <w:pPr>
              <w:jc w:val="right"/>
              <w:ind w:right="340"/>
              <w:spacing w:after="0" w:line="133" w:lineRule="exact"/>
              <w:rPr>
                <w:sz w:val="20"/>
                <w:szCs w:val="20"/>
                <w:color w:val="auto"/>
              </w:rPr>
            </w:pPr>
            <w:r>
              <w:rPr>
                <w:rFonts w:ascii="Arial" w:cs="Arial" w:eastAsia="Arial" w:hAnsi="Arial"/>
                <w:sz w:val="12"/>
                <w:szCs w:val="12"/>
                <w:b w:val="1"/>
                <w:bCs w:val="1"/>
                <w:color w:val="auto"/>
              </w:rPr>
              <w:t>May 29, 2010</w:t>
            </w:r>
          </w:p>
        </w:tc>
        <w:tc>
          <w:tcPr>
            <w:tcW w:w="1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gridSpan w:val="2"/>
          </w:tcPr>
          <w:p>
            <w:pPr>
              <w:jc w:val="right"/>
              <w:ind w:right="280"/>
              <w:spacing w:after="0" w:line="133" w:lineRule="exact"/>
              <w:rPr>
                <w:sz w:val="20"/>
                <w:szCs w:val="20"/>
                <w:color w:val="auto"/>
              </w:rPr>
            </w:pPr>
            <w:r>
              <w:rPr>
                <w:rFonts w:ascii="Arial" w:cs="Arial" w:eastAsia="Arial" w:hAnsi="Arial"/>
                <w:sz w:val="12"/>
                <w:szCs w:val="12"/>
                <w:b w:val="1"/>
                <w:bCs w:val="1"/>
                <w:color w:val="auto"/>
              </w:rPr>
              <w:t>May 30, 2009</w:t>
            </w:r>
          </w:p>
        </w:tc>
      </w:tr>
      <w:tr>
        <w:trPr>
          <w:trHeight w:val="110"/>
        </w:trPr>
        <w:tc>
          <w:tcPr>
            <w:tcW w:w="6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0" w:type="dxa"/>
            <w:vAlign w:val="bottom"/>
          </w:tcPr>
          <w:p>
            <w:pPr>
              <w:spacing w:after="0"/>
              <w:rPr>
                <w:sz w:val="9"/>
                <w:szCs w:val="9"/>
                <w:color w:val="auto"/>
              </w:rPr>
            </w:pPr>
          </w:p>
        </w:tc>
        <w:tc>
          <w:tcPr>
            <w:tcW w:w="250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jc w:val="right"/>
              <w:ind w:right="60"/>
              <w:spacing w:after="0" w:line="110" w:lineRule="exact"/>
              <w:rPr>
                <w:sz w:val="20"/>
                <w:szCs w:val="20"/>
                <w:color w:val="auto"/>
              </w:rPr>
            </w:pPr>
            <w:r>
              <w:rPr>
                <w:rFonts w:ascii="Arial" w:cs="Arial" w:eastAsia="Arial" w:hAnsi="Arial"/>
                <w:sz w:val="12"/>
                <w:szCs w:val="12"/>
                <w:b w:val="1"/>
                <w:bCs w:val="1"/>
                <w:color w:val="auto"/>
              </w:rPr>
              <w:t>Effective</w:t>
            </w: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jc w:val="right"/>
              <w:spacing w:after="0" w:line="110" w:lineRule="exact"/>
              <w:rPr>
                <w:sz w:val="20"/>
                <w:szCs w:val="20"/>
                <w:color w:val="auto"/>
              </w:rPr>
            </w:pPr>
            <w:r>
              <w:rPr>
                <w:rFonts w:ascii="Arial" w:cs="Arial" w:eastAsia="Arial" w:hAnsi="Arial"/>
                <w:sz w:val="12"/>
                <w:szCs w:val="12"/>
                <w:b w:val="1"/>
                <w:bCs w:val="1"/>
                <w:color w:val="auto"/>
              </w:rPr>
              <w:t>Effective</w:t>
            </w:r>
          </w:p>
        </w:tc>
      </w:tr>
      <w:tr>
        <w:trPr>
          <w:trHeight w:val="150"/>
        </w:trPr>
        <w:tc>
          <w:tcPr>
            <w:tcW w:w="6040" w:type="dxa"/>
            <w:vAlign w:val="bottom"/>
            <w:tcBorders>
              <w:bottom w:val="single" w:sz="8" w:color="auto"/>
            </w:tcBorders>
            <w:gridSpan w:val="3"/>
          </w:tcPr>
          <w:p>
            <w:pPr>
              <w:spacing w:after="0"/>
              <w:rPr>
                <w:sz w:val="20"/>
                <w:szCs w:val="20"/>
                <w:color w:val="auto"/>
              </w:rPr>
            </w:pPr>
            <w:r>
              <w:rPr>
                <w:rFonts w:ascii="Arial" w:cs="Arial" w:eastAsia="Arial" w:hAnsi="Arial"/>
                <w:sz w:val="12"/>
                <w:szCs w:val="12"/>
                <w:b w:val="1"/>
                <w:bCs w:val="1"/>
                <w:color w:val="auto"/>
              </w:rPr>
              <w:t>(In thousands)</w:t>
            </w:r>
          </w:p>
        </w:tc>
        <w:tc>
          <w:tcPr>
            <w:tcW w:w="25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2"/>
                <w:szCs w:val="12"/>
                <w:b w:val="1"/>
                <w:bCs w:val="1"/>
                <w:color w:val="auto"/>
                <w:w w:val="96"/>
              </w:rPr>
              <w:t>Amount</w:t>
            </w:r>
          </w:p>
        </w:tc>
        <w:tc>
          <w:tcPr>
            <w:tcW w:w="820" w:type="dxa"/>
            <w:vAlign w:val="bottom"/>
            <w:tcBorders>
              <w:bottom w:val="single" w:sz="8" w:color="auto"/>
            </w:tcBorders>
          </w:tcPr>
          <w:p>
            <w:pPr>
              <w:jc w:val="right"/>
              <w:ind w:right="160"/>
              <w:spacing w:after="0"/>
              <w:rPr>
                <w:sz w:val="20"/>
                <w:szCs w:val="20"/>
                <w:color w:val="auto"/>
              </w:rPr>
            </w:pPr>
            <w:r>
              <w:rPr>
                <w:rFonts w:ascii="Arial" w:cs="Arial" w:eastAsia="Arial" w:hAnsi="Arial"/>
                <w:sz w:val="12"/>
                <w:szCs w:val="12"/>
                <w:b w:val="1"/>
                <w:bCs w:val="1"/>
                <w:color w:val="auto"/>
              </w:rPr>
              <w:t>Rate*</w:t>
            </w: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b w:val="1"/>
                <w:bCs w:val="1"/>
                <w:color w:val="auto"/>
                <w:w w:val="96"/>
              </w:rPr>
              <w:t>Amount</w:t>
            </w: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Rate*</w:t>
            </w:r>
          </w:p>
        </w:tc>
      </w:tr>
      <w:tr>
        <w:trPr>
          <w:trHeight w:val="133"/>
        </w:trPr>
        <w:tc>
          <w:tcPr>
            <w:tcW w:w="60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Tax benefit before discrete items</w:t>
            </w:r>
          </w:p>
        </w:tc>
        <w:tc>
          <w:tcPr>
            <w:tcW w:w="25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(2,775)</w:t>
            </w:r>
          </w:p>
        </w:tc>
        <w:tc>
          <w:tcPr>
            <w:tcW w:w="60" w:type="dxa"/>
            <w:vAlign w:val="bottom"/>
          </w:tcPr>
          <w:p>
            <w:pPr>
              <w:spacing w:after="0"/>
              <w:rPr>
                <w:sz w:val="11"/>
                <w:szCs w:val="11"/>
                <w:color w:val="auto"/>
              </w:rPr>
            </w:pPr>
          </w:p>
        </w:tc>
        <w:tc>
          <w:tcPr>
            <w:tcW w:w="8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(67.0)%</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(19,151)</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(39.1)%</w:t>
            </w:r>
          </w:p>
        </w:tc>
      </w:tr>
      <w:tr>
        <w:trPr>
          <w:trHeight w:val="144"/>
        </w:trPr>
        <w:tc>
          <w:tcPr>
            <w:tcW w:w="6040" w:type="dxa"/>
            <w:vAlign w:val="bottom"/>
            <w:gridSpan w:val="3"/>
          </w:tcPr>
          <w:p>
            <w:pPr>
              <w:spacing w:after="0"/>
              <w:rPr>
                <w:sz w:val="20"/>
                <w:szCs w:val="20"/>
                <w:color w:val="auto"/>
              </w:rPr>
            </w:pPr>
            <w:r>
              <w:rPr>
                <w:rFonts w:ascii="Arial" w:cs="Arial" w:eastAsia="Arial" w:hAnsi="Arial"/>
                <w:sz w:val="12"/>
                <w:szCs w:val="12"/>
                <w:color w:val="auto"/>
              </w:rPr>
              <w:t>Discrete items:</w:t>
            </w: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60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Valuation allowance:</w:t>
            </w: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040" w:type="dxa"/>
            <w:vAlign w:val="bottom"/>
            <w:gridSpan w:val="3"/>
          </w:tcPr>
          <w:p>
            <w:pPr>
              <w:ind w:left="320"/>
              <w:spacing w:after="0"/>
              <w:rPr>
                <w:sz w:val="20"/>
                <w:szCs w:val="20"/>
                <w:color w:val="auto"/>
              </w:rPr>
            </w:pPr>
            <w:r>
              <w:rPr>
                <w:rFonts w:ascii="Arial" w:cs="Arial" w:eastAsia="Arial" w:hAnsi="Arial"/>
                <w:sz w:val="12"/>
                <w:szCs w:val="12"/>
                <w:color w:val="auto"/>
              </w:rPr>
              <w:t>Decrease (Fiscal 2009 carryback)</w:t>
            </w: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(5,792)</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(139.8)%</w:t>
            </w:r>
          </w:p>
        </w:tc>
        <w:tc>
          <w:tcPr>
            <w:tcW w:w="160" w:type="dxa"/>
            <w:vAlign w:val="bottom"/>
          </w:tcPr>
          <w:p>
            <w:pPr>
              <w:spacing w:after="0"/>
              <w:rPr>
                <w:sz w:val="12"/>
                <w:szCs w:val="12"/>
                <w:color w:val="auto"/>
              </w:rPr>
            </w:pPr>
          </w:p>
        </w:tc>
        <w:tc>
          <w:tcPr>
            <w:tcW w:w="64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100"/>
              <w:spacing w:after="0"/>
              <w:rPr>
                <w:sz w:val="20"/>
                <w:szCs w:val="20"/>
                <w:color w:val="auto"/>
              </w:rPr>
            </w:pPr>
            <w:r>
              <w:rPr>
                <w:rFonts w:ascii="Arial" w:cs="Arial" w:eastAsia="Arial" w:hAnsi="Arial"/>
                <w:sz w:val="12"/>
                <w:szCs w:val="12"/>
                <w:color w:val="auto"/>
              </w:rPr>
              <w:t>—</w:t>
            </w:r>
          </w:p>
        </w:tc>
      </w:tr>
      <w:tr>
        <w:trPr>
          <w:trHeight w:val="153"/>
        </w:trPr>
        <w:tc>
          <w:tcPr>
            <w:tcW w:w="6040" w:type="dxa"/>
            <w:vAlign w:val="bottom"/>
            <w:gridSpan w:val="3"/>
            <w:shd w:val="clear" w:color="auto" w:fill="CCEEFF"/>
          </w:tcPr>
          <w:p>
            <w:pPr>
              <w:ind w:left="320"/>
              <w:spacing w:after="0"/>
              <w:rPr>
                <w:sz w:val="20"/>
                <w:szCs w:val="20"/>
                <w:color w:val="auto"/>
              </w:rPr>
            </w:pPr>
            <w:r>
              <w:rPr>
                <w:rFonts w:ascii="Arial" w:cs="Arial" w:eastAsia="Arial" w:hAnsi="Arial"/>
                <w:sz w:val="12"/>
                <w:szCs w:val="12"/>
                <w:color w:val="auto"/>
              </w:rPr>
              <w:t>Other adjustments</w:t>
            </w:r>
          </w:p>
        </w:tc>
        <w:tc>
          <w:tcPr>
            <w:tcW w:w="2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3,470</w:t>
            </w:r>
          </w:p>
        </w:tc>
        <w:tc>
          <w:tcPr>
            <w:tcW w:w="82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83.8%</w:t>
            </w: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44"/>
        </w:trPr>
        <w:tc>
          <w:tcPr>
            <w:tcW w:w="6040" w:type="dxa"/>
            <w:vAlign w:val="bottom"/>
            <w:gridSpan w:val="3"/>
          </w:tcPr>
          <w:p>
            <w:pPr>
              <w:ind w:left="180"/>
              <w:spacing w:after="0"/>
              <w:rPr>
                <w:sz w:val="20"/>
                <w:szCs w:val="20"/>
                <w:color w:val="auto"/>
              </w:rPr>
            </w:pPr>
            <w:r>
              <w:rPr>
                <w:rFonts w:ascii="Arial" w:cs="Arial" w:eastAsia="Arial" w:hAnsi="Arial"/>
                <w:sz w:val="12"/>
                <w:szCs w:val="12"/>
                <w:color w:val="auto"/>
              </w:rPr>
              <w:t>Uncertain tax positions settlements and adjustments</w:t>
            </w:r>
          </w:p>
        </w:tc>
        <w:tc>
          <w:tcPr>
            <w:tcW w:w="2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2"/>
                <w:szCs w:val="12"/>
                <w:color w:val="auto"/>
              </w:rPr>
              <w:t>(2,565)</w:t>
            </w:r>
          </w:p>
        </w:tc>
        <w:tc>
          <w:tcPr>
            <w:tcW w:w="820" w:type="dxa"/>
            <w:vAlign w:val="bottom"/>
          </w:tcPr>
          <w:p>
            <w:pPr>
              <w:jc w:val="right"/>
              <w:ind w:right="20"/>
              <w:spacing w:after="0"/>
              <w:rPr>
                <w:sz w:val="20"/>
                <w:szCs w:val="20"/>
                <w:color w:val="auto"/>
              </w:rPr>
            </w:pPr>
            <w:r>
              <w:rPr>
                <w:rFonts w:ascii="Arial" w:cs="Arial" w:eastAsia="Arial" w:hAnsi="Arial"/>
                <w:sz w:val="12"/>
                <w:szCs w:val="12"/>
                <w:color w:val="auto"/>
              </w:rPr>
              <w:t>(61.9)%</w:t>
            </w:r>
          </w:p>
        </w:tc>
        <w:tc>
          <w:tcPr>
            <w:tcW w:w="160" w:type="dxa"/>
            <w:vAlign w:val="bottom"/>
          </w:tcPr>
          <w:p>
            <w:pPr>
              <w:spacing w:after="0"/>
              <w:rPr>
                <w:sz w:val="12"/>
                <w:szCs w:val="12"/>
                <w:color w:val="auto"/>
              </w:rPr>
            </w:pPr>
          </w:p>
        </w:tc>
        <w:tc>
          <w:tcPr>
            <w:tcW w:w="640" w:type="dxa"/>
            <w:vAlign w:val="bottom"/>
          </w:tcPr>
          <w:p>
            <w:pPr>
              <w:jc w:val="right"/>
              <w:ind w:right="40"/>
              <w:spacing w:after="0"/>
              <w:rPr>
                <w:sz w:val="20"/>
                <w:szCs w:val="20"/>
                <w:color w:val="auto"/>
              </w:rPr>
            </w:pPr>
            <w:r>
              <w:rPr>
                <w:rFonts w:ascii="Arial" w:cs="Arial" w:eastAsia="Arial" w:hAnsi="Arial"/>
                <w:sz w:val="12"/>
                <w:szCs w:val="12"/>
                <w:color w:val="auto"/>
              </w:rPr>
              <w:t>(500)</w:t>
            </w:r>
          </w:p>
        </w:tc>
        <w:tc>
          <w:tcPr>
            <w:tcW w:w="6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6040" w:type="dxa"/>
            <w:vAlign w:val="bottom"/>
            <w:gridSpan w:val="3"/>
            <w:shd w:val="clear" w:color="auto" w:fill="CCEEFF"/>
          </w:tcPr>
          <w:p>
            <w:pPr>
              <w:ind w:left="180"/>
              <w:spacing w:after="0"/>
              <w:rPr>
                <w:sz w:val="20"/>
                <w:szCs w:val="20"/>
                <w:color w:val="auto"/>
              </w:rPr>
            </w:pPr>
            <w:r>
              <w:rPr>
                <w:rFonts w:ascii="Arial" w:cs="Arial" w:eastAsia="Arial" w:hAnsi="Arial"/>
                <w:sz w:val="12"/>
                <w:szCs w:val="12"/>
                <w:color w:val="auto"/>
              </w:rPr>
              <w:t>Tax planning initiatives</w:t>
            </w:r>
          </w:p>
        </w:tc>
        <w:tc>
          <w:tcPr>
            <w:tcW w:w="2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(1,749)</w:t>
            </w:r>
          </w:p>
        </w:tc>
        <w:tc>
          <w:tcPr>
            <w:tcW w:w="820" w:type="dxa"/>
            <w:vAlign w:val="bottom"/>
            <w:shd w:val="clear" w:color="auto" w:fill="CCEEFF"/>
          </w:tcPr>
          <w:p>
            <w:pPr>
              <w:jc w:val="right"/>
              <w:ind w:right="20"/>
              <w:spacing w:after="0"/>
              <w:rPr>
                <w:sz w:val="20"/>
                <w:szCs w:val="20"/>
                <w:color w:val="auto"/>
              </w:rPr>
            </w:pPr>
            <w:r>
              <w:rPr>
                <w:rFonts w:ascii="Arial" w:cs="Arial" w:eastAsia="Arial" w:hAnsi="Arial"/>
                <w:sz w:val="12"/>
                <w:szCs w:val="12"/>
                <w:color w:val="auto"/>
              </w:rPr>
              <w:t>(42.2)%</w:t>
            </w: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(736)</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44"/>
        </w:trPr>
        <w:tc>
          <w:tcPr>
            <w:tcW w:w="6040" w:type="dxa"/>
            <w:vAlign w:val="bottom"/>
            <w:tcBorders>
              <w:bottom w:val="single" w:sz="8" w:color="CCEEFF"/>
            </w:tcBorders>
            <w:gridSpan w:val="3"/>
          </w:tcPr>
          <w:p>
            <w:pPr>
              <w:ind w:left="180"/>
              <w:spacing w:after="0"/>
              <w:rPr>
                <w:sz w:val="20"/>
                <w:szCs w:val="20"/>
                <w:color w:val="auto"/>
              </w:rPr>
            </w:pPr>
            <w:r>
              <w:rPr>
                <w:rFonts w:ascii="Arial" w:cs="Arial" w:eastAsia="Arial" w:hAnsi="Arial"/>
                <w:sz w:val="12"/>
                <w:szCs w:val="12"/>
                <w:color w:val="auto"/>
              </w:rPr>
              <w:t>Other</w:t>
            </w:r>
          </w:p>
        </w:tc>
        <w:tc>
          <w:tcPr>
            <w:tcW w:w="2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2"/>
                <w:szCs w:val="12"/>
                <w:color w:val="auto"/>
              </w:rPr>
              <w:t>(85)</w:t>
            </w:r>
          </w:p>
        </w:tc>
        <w:tc>
          <w:tcPr>
            <w:tcW w:w="82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color w:val="auto"/>
              </w:rPr>
              <w:t>(2.1)%</w:t>
            </w: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w:t>
            </w:r>
          </w:p>
        </w:tc>
        <w:tc>
          <w:tcPr>
            <w:tcW w:w="680" w:type="dxa"/>
            <w:vAlign w:val="bottom"/>
            <w:tcBorders>
              <w:bottom w:val="single" w:sz="8" w:color="auto"/>
            </w:tcBorders>
          </w:tcPr>
          <w:p>
            <w:pPr>
              <w:jc w:val="right"/>
              <w:ind w:right="100"/>
              <w:spacing w:after="0"/>
              <w:rPr>
                <w:sz w:val="20"/>
                <w:szCs w:val="20"/>
                <w:color w:val="auto"/>
              </w:rPr>
            </w:pPr>
            <w:r>
              <w:rPr>
                <w:rFonts w:ascii="Arial" w:cs="Arial" w:eastAsia="Arial" w:hAnsi="Arial"/>
                <w:sz w:val="12"/>
                <w:szCs w:val="12"/>
                <w:color w:val="auto"/>
              </w:rPr>
              <w:t>—</w:t>
            </w:r>
          </w:p>
        </w:tc>
      </w:tr>
      <w:tr>
        <w:trPr>
          <w:trHeight w:val="133"/>
        </w:trPr>
        <w:tc>
          <w:tcPr>
            <w:tcW w:w="604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Total benefit for taxes</w:t>
            </w:r>
          </w:p>
        </w:tc>
        <w:tc>
          <w:tcPr>
            <w:tcW w:w="258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w:t>
            </w:r>
          </w:p>
        </w:tc>
        <w:tc>
          <w:tcPr>
            <w:tcW w:w="560" w:type="dxa"/>
            <w:vAlign w:val="bottom"/>
            <w:gridSpan w:val="2"/>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(9,496)</w:t>
            </w:r>
          </w:p>
        </w:tc>
        <w:tc>
          <w:tcPr>
            <w:tcW w:w="820" w:type="dxa"/>
            <w:vAlign w:val="bottom"/>
            <w:shd w:val="clear" w:color="auto" w:fill="CCEEFF"/>
          </w:tcPr>
          <w:p>
            <w:pPr>
              <w:jc w:val="right"/>
              <w:ind w:right="20"/>
              <w:spacing w:after="0" w:line="133" w:lineRule="exact"/>
              <w:rPr>
                <w:sz w:val="20"/>
                <w:szCs w:val="20"/>
                <w:color w:val="auto"/>
              </w:rPr>
            </w:pPr>
            <w:r>
              <w:rPr>
                <w:rFonts w:ascii="Arial" w:cs="Arial" w:eastAsia="Arial" w:hAnsi="Arial"/>
                <w:sz w:val="12"/>
                <w:szCs w:val="12"/>
                <w:color w:val="auto"/>
              </w:rPr>
              <w:t>(229.3)%</w:t>
            </w:r>
          </w:p>
        </w:tc>
        <w:tc>
          <w:tcPr>
            <w:tcW w:w="16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(20,387)</w:t>
            </w:r>
          </w:p>
        </w:tc>
        <w:tc>
          <w:tcPr>
            <w:tcW w:w="68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(41.7)%</w:t>
            </w:r>
          </w:p>
        </w:tc>
      </w:tr>
      <w:tr>
        <w:trPr>
          <w:trHeight w:val="27"/>
        </w:trPr>
        <w:tc>
          <w:tcPr>
            <w:tcW w:w="6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5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0"/>
          <w:szCs w:val="10"/>
          <w:color w:val="auto"/>
        </w:rPr>
        <w:t>*Percentages may not add due to rounding differences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benefit before discrete items</w:t>
      </w:r>
    </w:p>
    <w:p>
      <w:pPr>
        <w:spacing w:after="0" w:line="18" w:lineRule="exact"/>
        <w:rPr>
          <w:sz w:val="20"/>
          <w:szCs w:val="20"/>
          <w:color w:val="auto"/>
        </w:rPr>
      </w:pPr>
    </w:p>
    <w:p>
      <w:pPr>
        <w:jc w:val="both"/>
        <w:ind w:right="140"/>
        <w:spacing w:after="0" w:line="250" w:lineRule="auto"/>
        <w:rPr>
          <w:sz w:val="20"/>
          <w:szCs w:val="20"/>
          <w:color w:val="auto"/>
        </w:rPr>
      </w:pPr>
      <w:r>
        <w:rPr>
          <w:rFonts w:ascii="Arial" w:cs="Arial" w:eastAsia="Arial" w:hAnsi="Arial"/>
          <w:sz w:val="12"/>
          <w:szCs w:val="12"/>
          <w:color w:val="auto"/>
        </w:rPr>
        <w:t>The overall effective income tax benefit rate for the nine months ended May 29, 2010 was 67.0 percent compared to the overall effective tax benefit rate of 39.1 percent for the nine months ended May 30, 2009. The primary reason for the difference in the overall effective rate is the relationship between our lower pre-tax loss relative to the permanent financial accounting to taxable income (loss) adjustments for the nine months ended May 29, 2010 as compared to the nine months ended May 30, 2009. Our significant permanent adjustments are tax-free income from company-owned life insurance and student loan-related assets.</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decrease</w:t>
      </w:r>
    </w:p>
    <w:p>
      <w:pPr>
        <w:spacing w:after="0" w:line="6" w:lineRule="exact"/>
        <w:rPr>
          <w:sz w:val="20"/>
          <w:szCs w:val="20"/>
          <w:color w:val="auto"/>
        </w:rPr>
      </w:pPr>
    </w:p>
    <w:p>
      <w:pPr>
        <w:ind w:right="140"/>
        <w:spacing w:after="0" w:line="253" w:lineRule="auto"/>
        <w:rPr>
          <w:sz w:val="20"/>
          <w:szCs w:val="20"/>
          <w:color w:val="auto"/>
        </w:rPr>
      </w:pPr>
      <w:r>
        <w:rPr>
          <w:rFonts w:ascii="Arial" w:cs="Arial" w:eastAsia="Arial" w:hAnsi="Arial"/>
          <w:sz w:val="12"/>
          <w:szCs w:val="12"/>
          <w:color w:val="auto"/>
        </w:rPr>
        <w:t>At the end of Fiscal 2009, we had established a valuation allowance on all deferred tax assets and NOL carryforward assets associated with Fiscal 2009. During our first quarter of Fiscal 2010, the President of the United States signed into law the Worker, Homeownership, and Business Assistance Act of 2009, which expands the carryback period from two to five years, allowing us to carryback all Fiscal 2009 NOL. During the third quarter of Fiscal 2010, we filed a superseding federal tax return to accelerate certain tax deductions and amended our original carryback request. This resulted in an additional benefit of approximately $1.0 million, which we anticipate receiving during the fourth quarter of Fiscal 2010. As a result, we recorded a total tax benefit of $5.8 million and reduced the associated valuation allowance due to this beneficial tax law change.</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Valuation allowance - other adjustments</w:t>
      </w:r>
    </w:p>
    <w:p>
      <w:pPr>
        <w:spacing w:after="0" w:line="18" w:lineRule="exact"/>
        <w:rPr>
          <w:sz w:val="20"/>
          <w:szCs w:val="20"/>
          <w:color w:val="auto"/>
        </w:rPr>
      </w:pPr>
    </w:p>
    <w:p>
      <w:pPr>
        <w:ind w:right="20"/>
        <w:spacing w:after="0" w:line="262" w:lineRule="auto"/>
        <w:rPr>
          <w:sz w:val="20"/>
          <w:szCs w:val="20"/>
          <w:color w:val="auto"/>
        </w:rPr>
      </w:pPr>
      <w:r>
        <w:rPr>
          <w:rFonts w:ascii="Arial" w:cs="Arial" w:eastAsia="Arial" w:hAnsi="Arial"/>
          <w:sz w:val="12"/>
          <w:szCs w:val="12"/>
          <w:color w:val="auto"/>
        </w:rPr>
        <w:t>A full valuation allowance of $3.5 million was established in the first nine months of Fiscal 2010 on our increase in deferred tax assets. As a result, no tax benefit was recorded attributa ble to NOLs occurring during the first nine months of Fiscal 2010. For further discussion of income taxes, see Note 11.</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Uncertain tax positions settlements and adjustments</w:t>
      </w:r>
    </w:p>
    <w:p>
      <w:pPr>
        <w:spacing w:after="0" w:line="18" w:lineRule="exact"/>
        <w:rPr>
          <w:sz w:val="20"/>
          <w:szCs w:val="20"/>
          <w:color w:val="auto"/>
        </w:rPr>
      </w:pPr>
    </w:p>
    <w:p>
      <w:pPr>
        <w:jc w:val="both"/>
        <w:ind w:right="100"/>
        <w:spacing w:after="0" w:line="256" w:lineRule="auto"/>
        <w:rPr>
          <w:sz w:val="20"/>
          <w:szCs w:val="20"/>
          <w:color w:val="auto"/>
        </w:rPr>
      </w:pPr>
      <w:r>
        <w:rPr>
          <w:rFonts w:ascii="Arial" w:cs="Arial" w:eastAsia="Arial" w:hAnsi="Arial"/>
          <w:sz w:val="12"/>
          <w:szCs w:val="12"/>
          <w:color w:val="auto"/>
        </w:rPr>
        <w:t>During the first nine month of Fiscal 2010, benefits of $ 2.6 million were recorded as a result of positive settlements of uncertain tax positions with taxing authorities and other adjustments to uncertain tax positions. Of this amount, $1.7 million resulted from the reduction of reserves associated with unrecognized tax benefits as a result of a favorable settlement of the federal IRS tax audit. During the first nine months of Fiscal 2009, benefits of $500,000 were recorded as a result of favorable settlements and other adjustments to uncertain tax positions.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Tax planning initiatives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Benefits of $1.7 million and $736,000 were recorded as a result of tax planning initiatives recognized during the first nine months of Fiscal 2010 and 2009, respectively.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Net income was $5.4 million, or $.18 per diluted share, for the first nine months of Fiscal 2010 compared to net loss of $28.5 million, or $.98 per diluted share, for the first nine months of of Fiscal 2009. See Note 12.</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Analysis of Financial Condition, Liquidity and Resources</w:t>
      </w:r>
    </w:p>
    <w:p>
      <w:pPr>
        <w:spacing w:after="0" w:line="164"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Cash and cash equivalents totaled $76.3 million and $36.6 million as of May 29, 2010 and August 29, 2009, respectively. Short-term and long-term investments, net of temporary impairments, totaled $20.4 million as of May 29, 2010 and $33.3 million as of August 29, 2009. See Notes 3 and 4.</w:t>
      </w:r>
    </w:p>
    <w:p>
      <w:pPr>
        <w:sectPr>
          <w:pgSz w:w="11900" w:h="16861" w:orient="portrait"/>
          <w:cols w:equalWidth="0" w:num="1">
            <w:col w:w="11480"/>
          </w:cols>
          <w:pgMar w:left="220" w:top="140" w:right="199" w:bottom="0" w:gutter="0" w:footer="0" w:header="0"/>
        </w:sectPr>
      </w:pP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18</w:t>
      </w:r>
    </w:p>
    <w:p>
      <w:pPr>
        <w:sectPr>
          <w:pgSz w:w="11900" w:h="16861" w:orient="portrait"/>
          <w:cols w:equalWidth="0" w:num="1">
            <w:col w:w="11480"/>
          </w:cols>
          <w:pgMar w:left="220" w:top="140" w:right="199" w:bottom="0" w:gutter="0" w:footer="0" w:header="0"/>
          <w:type w:val="continuous"/>
        </w:sectPr>
      </w:pPr>
    </w:p>
    <w:bookmarkStart w:id="9" w:name="page10"/>
    <w:bookmarkEnd w:id="9"/>
    <w:p>
      <w:pPr>
        <w:spacing w:after="0" w:line="2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17740" cy="241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7740" cy="24130"/>
                    </a:xfrm>
                    <a:prstGeom prst="rect">
                      <a:avLst/>
                    </a:prstGeom>
                    <a:noFill/>
                  </pic:spPr>
                </pic:pic>
              </a:graphicData>
            </a:graphic>
          </wp:anchor>
        </w:drawing>
      </w:r>
    </w:p>
    <w:p>
      <w:pPr>
        <w:ind w:left="600"/>
        <w:spacing w:after="0"/>
        <w:rPr>
          <w:rFonts w:ascii="Arial" w:cs="Arial" w:eastAsia="Arial" w:hAnsi="Arial"/>
          <w:sz w:val="12"/>
          <w:szCs w:val="12"/>
          <w:u w:val="single" w:color="auto"/>
          <w:color w:val="0000EE"/>
        </w:rPr>
      </w:pPr>
      <w:hyperlink w:anchor="page1">
        <w:r>
          <w:rPr>
            <w:rFonts w:ascii="Arial" w:cs="Arial" w:eastAsia="Arial" w:hAnsi="Arial"/>
            <w:sz w:val="12"/>
            <w:szCs w:val="12"/>
            <w:u w:val="single" w:color="auto"/>
            <w:color w:val="0000EE"/>
          </w:rPr>
          <w:t>Table of Contents</w:t>
        </w:r>
      </w:hyperlink>
    </w:p>
    <w:p>
      <w:pPr>
        <w:spacing w:after="0" w:line="303" w:lineRule="exact"/>
        <w:rPr>
          <w:sz w:val="20"/>
          <w:szCs w:val="20"/>
          <w:color w:val="auto"/>
        </w:rPr>
      </w:pPr>
    </w:p>
    <w:p>
      <w:pPr>
        <w:ind w:right="60"/>
        <w:spacing w:after="0" w:line="262" w:lineRule="auto"/>
        <w:rPr>
          <w:sz w:val="20"/>
          <w:szCs w:val="20"/>
          <w:color w:val="auto"/>
        </w:rPr>
      </w:pPr>
      <w:r>
        <w:rPr>
          <w:rFonts w:ascii="Arial" w:cs="Arial" w:eastAsia="Arial" w:hAnsi="Arial"/>
          <w:sz w:val="12"/>
          <w:szCs w:val="12"/>
          <w:color w:val="auto"/>
        </w:rPr>
        <w:t>Working capital at May 29, 2010 and August 29, 2009 was $83.9 million and $ 79.5 million, respectively, an increase of $4.4 million. We currently expect cash on hand, funds generated from operations (if any) and the availability under the credit facility to be sufficient to cover both short-term and long-term operation requirements.</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We anticipate capital expenditures during the balance of Fiscal 2010 of approximately $500,000, primarily for manufacturing equipment and facilities which will be funded with cash on hand.</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Significant liquidity events in the first nine months of Fiscal 2010 include:</w:t>
      </w:r>
    </w:p>
    <w:p>
      <w:pPr>
        <w:spacing w:after="0" w:line="150" w:lineRule="exact"/>
        <w:rPr>
          <w:sz w:val="20"/>
          <w:szCs w:val="20"/>
          <w:color w:val="auto"/>
        </w:rPr>
      </w:pPr>
    </w:p>
    <w:p>
      <w:pPr>
        <w:ind w:left="420" w:right="40" w:hanging="212"/>
        <w:spacing w:after="0" w:line="250" w:lineRule="auto"/>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Receipt of tax refunds (net of payments) of $23.4 million: As previously discussed, we filed a carryback federal tax return in December 2009 and received our federal refund of $21.9 million in January 2010. During our third quarter, we made federal payments associated with the resolution of outstanding federal tax audits of $130,000. We also received state refunds of approximately $1.6 million in th e first nine months of Fiscal 2010. During the third quarter of Fiscal 2010, we amended our 2009 federal tax return to accelerate certain tax deductions which resulted in an additional tax receivable of $1.0 million that we expect to receive in the fourth quarter of Fiscal 2010.</w:t>
      </w:r>
    </w:p>
    <w:p>
      <w:pPr>
        <w:spacing w:after="0" w:line="1" w:lineRule="exact"/>
        <w:rPr>
          <w:rFonts w:ascii="Arial" w:cs="Arial" w:eastAsia="Arial" w:hAnsi="Arial"/>
          <w:sz w:val="12"/>
          <w:szCs w:val="12"/>
          <w:color w:val="auto"/>
        </w:rPr>
      </w:pPr>
    </w:p>
    <w:p>
      <w:pPr>
        <w:ind w:left="420" w:hanging="212"/>
        <w:spacing w:after="0"/>
        <w:tabs>
          <w:tab w:leader="none" w:pos="4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ARS redemptions of $4.4 million: Through May 2010, UBS elected to redeem a portion of our securities and as a result, we received $4.1 million in net proceeds. We have the ability to put the remaining</w:t>
      </w:r>
    </w:p>
    <w:p>
      <w:pPr>
        <w:spacing w:after="0" w:line="6" w:lineRule="exact"/>
        <w:rPr>
          <w:rFonts w:ascii="Arial" w:cs="Arial" w:eastAsia="Arial" w:hAnsi="Arial"/>
          <w:sz w:val="12"/>
          <w:szCs w:val="12"/>
          <w:color w:val="auto"/>
        </w:rPr>
      </w:pPr>
    </w:p>
    <w:p>
      <w:pPr>
        <w:ind w:left="420" w:right="160"/>
        <w:spacing w:after="0" w:line="262" w:lineRule="auto"/>
        <w:rPr>
          <w:rFonts w:ascii="Arial" w:cs="Arial" w:eastAsia="Arial" w:hAnsi="Arial"/>
          <w:sz w:val="12"/>
          <w:szCs w:val="12"/>
          <w:color w:val="auto"/>
        </w:rPr>
      </w:pPr>
      <w:r>
        <w:rPr>
          <w:rFonts w:ascii="Arial" w:cs="Arial" w:eastAsia="Arial" w:hAnsi="Arial"/>
          <w:sz w:val="12"/>
          <w:szCs w:val="12"/>
          <w:color w:val="auto"/>
        </w:rPr>
        <w:t>$290,000 of unencumbered ARS held by UBS to UBS in the fourth quarter of Fiscal 2010. In addition, short-term ARS investments of $300,000, not part of the UBS portfolio, were redeemed by the issuer at par during the fiscal year through May 2010 and $250,000 was redeemed at par in June 2010, subsequent to the end of the third quarter of Fiscal 2010.</w:t>
      </w:r>
    </w:p>
    <w:p>
      <w:pPr>
        <w:spacing w:after="0" w:line="131" w:lineRule="exact"/>
        <w:rPr>
          <w:sz w:val="20"/>
          <w:szCs w:val="20"/>
          <w:color w:val="auto"/>
        </w:rPr>
      </w:pPr>
    </w:p>
    <w:p>
      <w:pPr>
        <w:spacing w:after="0"/>
        <w:rPr>
          <w:sz w:val="20"/>
          <w:szCs w:val="20"/>
          <w:color w:val="auto"/>
        </w:rPr>
      </w:pPr>
      <w:r>
        <w:rPr>
          <w:rFonts w:ascii="Arial" w:cs="Arial" w:eastAsia="Arial" w:hAnsi="Arial"/>
          <w:sz w:val="12"/>
          <w:szCs w:val="12"/>
          <w:color w:val="auto"/>
        </w:rPr>
        <w:t>We have multiple assets held for sale, including our plane and two manufacturing facilities. Total listing price of these assets is in excess of $10 million.</w:t>
      </w:r>
    </w:p>
    <w:p>
      <w:pPr>
        <w:spacing w:after="0" w:line="150" w:lineRule="exact"/>
        <w:rPr>
          <w:sz w:val="20"/>
          <w:szCs w:val="20"/>
          <w:color w:val="auto"/>
        </w:rPr>
      </w:pPr>
    </w:p>
    <w:p>
      <w:pPr>
        <w:ind w:right="320"/>
        <w:spacing w:after="0" w:line="256" w:lineRule="auto"/>
        <w:rPr>
          <w:sz w:val="20"/>
          <w:szCs w:val="20"/>
          <w:color w:val="auto"/>
        </w:rPr>
      </w:pPr>
      <w:r>
        <w:rPr>
          <w:rFonts w:ascii="Arial" w:cs="Arial" w:eastAsia="Arial" w:hAnsi="Arial"/>
          <w:sz w:val="12"/>
          <w:szCs w:val="12"/>
          <w:color w:val="auto"/>
        </w:rPr>
        <w:t>We also have in place a $20.0 million revolving credit facility, as described i n further detail in Note 7, which allows us to borrow up to $12.5 million without financial covenant restrictions if there is adequate asset coverage. The facility also includes a framework to expand the size of the facility up to $50.0 million, based on mutually agreeable covenants to be determined at the time of expansion. This potential additional borrowing capacity may be beneficial to us if inventory levels need to substantially increase rapidly as a result of product demand.</w:t>
      </w:r>
    </w:p>
    <w:p>
      <w:pPr>
        <w:spacing w:after="0" w:line="135" w:lineRule="exact"/>
        <w:rPr>
          <w:sz w:val="20"/>
          <w:szCs w:val="20"/>
          <w:color w:val="auto"/>
        </w:rPr>
      </w:pPr>
    </w:p>
    <w:p>
      <w:pPr>
        <w:jc w:val="both"/>
        <w:ind w:right="60"/>
        <w:spacing w:after="0" w:line="256" w:lineRule="auto"/>
        <w:rPr>
          <w:sz w:val="20"/>
          <w:szCs w:val="20"/>
          <w:color w:val="auto"/>
        </w:rPr>
      </w:pPr>
      <w:r>
        <w:rPr>
          <w:rFonts w:ascii="Arial" w:cs="Arial" w:eastAsia="Arial" w:hAnsi="Arial"/>
          <w:sz w:val="12"/>
          <w:szCs w:val="12"/>
          <w:color w:val="auto"/>
        </w:rPr>
        <w:t>We filed a Registration Statement on Form S-3, which was declared effective by the SEC on March 31, 2010. Subject to market conditions, we have the ability to offer and sell up to $35 million of our common stock in one or more offerings pursuant to the Registration Statement. The Registration Statem ent will be available for use for three years. We currently have no plans to offer and sell the common stock registered under the Registration Statement; however, it does provide another source of liquidity in addition to the alternatives already in place.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Operating Activities</w:t>
      </w:r>
    </w:p>
    <w:p>
      <w:pPr>
        <w:spacing w:after="0" w:line="18" w:lineRule="exact"/>
        <w:rPr>
          <w:sz w:val="20"/>
          <w:szCs w:val="20"/>
          <w:color w:val="auto"/>
        </w:rPr>
      </w:pPr>
    </w:p>
    <w:p>
      <w:pPr>
        <w:ind w:right="160"/>
        <w:spacing w:after="0" w:line="254" w:lineRule="auto"/>
        <w:rPr>
          <w:sz w:val="20"/>
          <w:szCs w:val="20"/>
          <w:color w:val="auto"/>
        </w:rPr>
      </w:pPr>
      <w:r>
        <w:rPr>
          <w:rFonts w:ascii="Arial" w:cs="Arial" w:eastAsia="Arial" w:hAnsi="Arial"/>
          <w:sz w:val="12"/>
          <w:szCs w:val="12"/>
          <w:color w:val="auto"/>
        </w:rPr>
        <w:t>Cash provided by operating activities was $36.8 million and $12.5 million for the nine months ended May 29, 2010 and May 30, 2009, respectively. The combination of a net income of $5.4 million in the current year and an improvement in non-cash charges (e .g., depreciation, stock-based compensation) provided $10.6 million of operating cash compared to a usage of $21.7 million in the prior year period. In Fiscal 2010, changes in assets and liabilities (primarily income tax refunds and inventory reductions) provided an additional $26.2 million of operating cash. In Fiscal 2009, changes in assets and liabilities (primarily inventory reductions) provided an additional $34.2 million operating c ash.</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Investing Activities</w:t>
      </w:r>
    </w:p>
    <w:p>
      <w:pPr>
        <w:spacing w:after="0" w:line="18"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Cash provided by investing activities was due primarily to ARS redemptions of $12.9 million in the nine months ended May 29, 2010, partially offset by capital spending of $1.5 million. During the nine months ended May 30, 2009, cash provided by investing activities of $5.5 million was due to ARS redemptions of $8.5 million partially offset by capital spending of $2.5 million.</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Financing Activities</w:t>
      </w:r>
    </w:p>
    <w:p>
      <w:pPr>
        <w:spacing w:after="0" w:line="18"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Cash used in financing activities of $8.7 million for the nine months ended May 29, 2010 was primarily due to a payment of our borrowings on our ARS portfolio of $8.5 million. Cash provided by financing activities for the nine months ended May 30, 2009 was due to borrowings on our ARS portfolio of $9.1 million, partially offset by dividends paid of $3.5 million.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73177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28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64" w:lineRule="exact"/>
        <w:rPr>
          <w:sz w:val="20"/>
          <w:szCs w:val="20"/>
          <w:color w:val="auto"/>
        </w:rPr>
      </w:pPr>
    </w:p>
    <w:p>
      <w:pPr>
        <w:ind w:right="20"/>
        <w:spacing w:after="0" w:line="253" w:lineRule="auto"/>
        <w:rPr>
          <w:sz w:val="20"/>
          <w:szCs w:val="20"/>
          <w:color w:val="auto"/>
        </w:rPr>
      </w:pPr>
      <w:r>
        <w:rPr>
          <w:rFonts w:ascii="Arial" w:cs="Arial" w:eastAsia="Arial" w:hAnsi="Arial"/>
          <w:sz w:val="12"/>
          <w:szCs w:val="12"/>
          <w:color w:val="auto"/>
        </w:rPr>
        <w:t>Our financial statements are prepared in accordance with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37"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Revenue Recognition</w:t>
      </w:r>
    </w:p>
    <w:p>
      <w:pPr>
        <w:spacing w:after="0" w:line="18" w:lineRule="exact"/>
        <w:rPr>
          <w:sz w:val="20"/>
          <w:szCs w:val="20"/>
          <w:color w:val="auto"/>
        </w:rPr>
      </w:pPr>
    </w:p>
    <w:p>
      <w:pPr>
        <w:ind w:right="80"/>
        <w:spacing w:after="0" w:line="262" w:lineRule="auto"/>
        <w:rPr>
          <w:sz w:val="20"/>
          <w:szCs w:val="20"/>
          <w:color w:val="auto"/>
        </w:rPr>
      </w:pPr>
      <w:r>
        <w:rPr>
          <w:rFonts w:ascii="Arial" w:cs="Arial" w:eastAsia="Arial" w:hAnsi="Arial"/>
          <w:sz w:val="12"/>
          <w:szCs w:val="12"/>
          <w:color w:val="auto"/>
        </w:rPr>
        <w:t>Gen erally, revenues for motor homes are recorded when all of the following conditions are met: an order for a product has been received 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31" w:lineRule="exact"/>
        <w:rPr>
          <w:sz w:val="20"/>
          <w:szCs w:val="20"/>
          <w:color w:val="auto"/>
        </w:rPr>
      </w:pPr>
    </w:p>
    <w:p>
      <w:pPr>
        <w:ind w:right="100"/>
        <w:spacing w:after="0" w:line="262" w:lineRule="auto"/>
        <w:rPr>
          <w:sz w:val="20"/>
          <w:szCs w:val="20"/>
          <w:color w:val="auto"/>
        </w:rPr>
      </w:pPr>
      <w:r>
        <w:rPr>
          <w:rFonts w:ascii="Arial" w:cs="Arial" w:eastAsia="Arial" w:hAnsi="Arial"/>
          <w:sz w:val="12"/>
          <w:szCs w:val="12"/>
          <w:color w:val="auto"/>
        </w:rPr>
        <w:t>Revenues from the sales of our Original Equipment Manufacturing (OEM) and motor home-related parts are recorded as the products are shipped from our location. The title of ownership transfers on these products as they leave our location due to the freight terms of F.O.B. - Forest City, Iowa.</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Sales Promotions and Incentives</w:t>
      </w:r>
    </w:p>
    <w:p>
      <w:pPr>
        <w:spacing w:after="0" w:line="18"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We accrue for sales promotions and incentive expenses, which are recognized as a reduction to revenues, at the time of sale to the dealer or when the sales incentive is offered to the dealer or retail customer. Examples of sales promotions and incentive programs include dealer and consumer rebates, volume discounts, retail financing programs and dealer sales associate incentives. Sales promotion and incentive expenses are estimated based upon current program parameters, such as unit or retail volume, and historical rates. Actual results may differ from these estimates if market conditions di ctate the need to enhance or reduce sales promotion and incentive programs or if the retail customer usage rate varies from historical trends. Historically, sales promotion and incentive expenses have been within our expectations and differences have not been material.</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Repurchase Commitments</w:t>
      </w:r>
    </w:p>
    <w:p>
      <w:pPr>
        <w:spacing w:after="0" w:line="18" w:lineRule="exact"/>
        <w:rPr>
          <w:sz w:val="20"/>
          <w:szCs w:val="20"/>
          <w:color w:val="auto"/>
        </w:rPr>
      </w:pPr>
    </w:p>
    <w:p>
      <w:pPr>
        <w:ind w:right="20"/>
        <w:spacing w:after="0" w:line="252" w:lineRule="auto"/>
        <w:rPr>
          <w:sz w:val="20"/>
          <w:szCs w:val="20"/>
          <w:color w:val="auto"/>
        </w:rPr>
      </w:pPr>
      <w:r>
        <w:rPr>
          <w:rFonts w:ascii="Arial" w:cs="Arial" w:eastAsia="Arial" w:hAnsi="Arial"/>
          <w:sz w:val="12"/>
          <w:szCs w:val="12"/>
          <w:color w:val="auto"/>
        </w:rPr>
        <w:t>It is customary practice for companies in the recreation vehicle industry to enter into repurchase agreements with financing institutions that provide financing to their dealers. Our repurchase agreements generally provide that, in the event of a default by a dealer in its obligation to these lenders, we will repurchase vehicles sold to the dealer that have not been resold to retail customers. The terms of these agreements, which can last up to 18 months, provide that our liability will be the lesser of remaining principal owed by the dealer or dealer invoice less periodic reductions based on the time since the date of the original invoice. Our liability cannot exceed 100 percent of the dealer invoice. In certain instances, we also repurchase inventory from our dealers due to state law or regulatory requirements that govern voluntary or involuntary relationship terminations. Our risk of loss is reduced by the potential resale value of any products that are subject to repurchase and is spread over numerous dealers and lenders. The aggregate contingent liability related to our repurchase agreements represents all financed dealer inventory at the period reporting date subject to a repurchase agreement, net of the greater of periodic reductions per the agreement or dealer principa l payments.</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2"/>
          <w:szCs w:val="12"/>
          <w:color w:val="auto"/>
        </w:rPr>
        <w:t>Based on these repurchase agreements, we establish an associated loss reserve. This loss reserve is disclosed separately in the balance sheets. Repurchased sales are not recorded as a revenue transaction, but the net difference between the original repurchase price and the resale price is recorded against the loss reserve, which is a deduction from gross revenue. There are two significant assumptions associated with establishing our loss reserve for repurchase commitments: (1) the percentage of dealer inventory that we will be required to repurchase as a result of defaults by the dealer, and (2) the loss that will be incurred, if any, when repurchased inventory is resold. Prior to Fiscal 2009, losses under these agreements were not material. However, the substantial decrease in retail demand for recreation vehicles in the past two years and tightened credit standards by lenders have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right="120"/>
        <w:spacing w:after="0" w:line="253" w:lineRule="auto"/>
        <w:rPr>
          <w:sz w:val="20"/>
          <w:szCs w:val="20"/>
          <w:color w:val="auto"/>
        </w:rPr>
      </w:pPr>
      <w:r>
        <w:rPr>
          <w:rFonts w:ascii="Arial" w:cs="Arial" w:eastAsia="Arial" w:hAnsi="Arial"/>
          <w:sz w:val="12"/>
          <w:szCs w:val="12"/>
          <w:color w:val="auto"/>
        </w:rPr>
        <w:t>resulted in a significant increase in defaults by our dealers. To the extent that dealers are reducing their inventories, our overall exposure under repur chase agreements is likewise reduced. The percentage of dealer inventory we estimate we will repurchase is based on historical information, current trends and an analysis of dealer inventory aging for all dealers with inventory subject to this obligation. The estimated loss per repurchased unit was based primarily on recent history because until Fiscal 2009, we were generally able to sell repurchased units for minimal losses. During the first three quarters of Fiscal 2009, we incurred significant losses associated with repurchases due to the challenging motor home industry conditions. As a result, we revised our underlying loss reserve estimate assumptions and increased our repurchase loss reserve during Fiscal 2009 based on rapidly changing circumstances. Further discussion of our repurchase commitments is included in Note 10.</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Warranty</w:t>
      </w:r>
    </w:p>
    <w:p>
      <w:pPr>
        <w:spacing w:after="0" w:line="18" w:lineRule="exact"/>
        <w:rPr>
          <w:sz w:val="20"/>
          <w:szCs w:val="20"/>
          <w:color w:val="auto"/>
        </w:rPr>
      </w:pPr>
    </w:p>
    <w:p>
      <w:pPr>
        <w:spacing w:after="0" w:line="253" w:lineRule="auto"/>
        <w:rPr>
          <w:sz w:val="20"/>
          <w:szCs w:val="20"/>
          <w:color w:val="auto"/>
        </w:rPr>
      </w:pPr>
      <w:r>
        <w:rPr>
          <w:rFonts w:ascii="Arial" w:cs="Arial" w:eastAsia="Arial" w:hAnsi="Arial"/>
          <w:sz w:val="12"/>
          <w:szCs w:val="12"/>
          <w:color w:val="auto"/>
        </w:rPr>
        <w:t>We provide with the purchase of any new motor home, a comprehensive 12-month/15,000-mile warranty on Class A, Class B and Class C motor 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Stock-Based Compensation</w:t>
      </w:r>
    </w:p>
    <w:p>
      <w:pPr>
        <w:spacing w:after="0" w:line="18" w:lineRule="exact"/>
        <w:rPr>
          <w:sz w:val="20"/>
          <w:szCs w:val="20"/>
          <w:color w:val="auto"/>
        </w:rPr>
      </w:pPr>
    </w:p>
    <w:p>
      <w:pPr>
        <w:ind w:right="340"/>
        <w:spacing w:after="0" w:line="262" w:lineRule="auto"/>
        <w:rPr>
          <w:sz w:val="20"/>
          <w:szCs w:val="20"/>
          <w:color w:val="auto"/>
        </w:rPr>
      </w:pPr>
      <w:r>
        <w:rPr>
          <w:rFonts w:ascii="Arial" w:cs="Arial" w:eastAsia="Arial" w:hAnsi="Arial"/>
          <w:sz w:val="12"/>
          <w:szCs w:val="12"/>
          <w:color w:val="auto"/>
        </w:rPr>
        <w:t>Prior to Fiscal 2007, we granted stock options to our key employees and nonemployee directors as part of their compensation. In Fiscal 2007 and 2008, we granted restricted stock awards to key employees and nonemployee directors instead of stock options. No stock options or restricted stock awards were granted in Fiscal 2009 or during the first three quarters of Fiscal 2010.</w:t>
      </w:r>
    </w:p>
    <w:p>
      <w:pPr>
        <w:spacing w:after="0" w:line="131" w:lineRule="exact"/>
        <w:rPr>
          <w:sz w:val="20"/>
          <w:szCs w:val="20"/>
          <w:color w:val="auto"/>
        </w:rPr>
      </w:pPr>
    </w:p>
    <w:p>
      <w:pPr>
        <w:ind w:right="160"/>
        <w:spacing w:after="0" w:line="262" w:lineRule="auto"/>
        <w:rPr>
          <w:sz w:val="20"/>
          <w:szCs w:val="20"/>
          <w:color w:val="auto"/>
        </w:rPr>
      </w:pPr>
      <w:r>
        <w:rPr>
          <w:rFonts w:ascii="Arial" w:cs="Arial" w:eastAsia="Arial" w:hAnsi="Arial"/>
          <w:sz w:val="12"/>
          <w:szCs w:val="12"/>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31" w:lineRule="exact"/>
        <w:rPr>
          <w:sz w:val="20"/>
          <w:szCs w:val="20"/>
          <w:color w:val="auto"/>
        </w:rPr>
      </w:pPr>
    </w:p>
    <w:p>
      <w:pPr>
        <w:ind w:right="40"/>
        <w:spacing w:after="0" w:line="307" w:lineRule="auto"/>
        <w:rPr>
          <w:sz w:val="20"/>
          <w:szCs w:val="20"/>
          <w:color w:val="auto"/>
        </w:rPr>
      </w:pPr>
      <w:r>
        <w:rPr>
          <w:rFonts w:ascii="Arial" w:cs="Arial" w:eastAsia="Arial" w:hAnsi="Arial"/>
          <w:sz w:val="11"/>
          <w:szCs w:val="11"/>
          <w:color w:val="auto"/>
        </w:rPr>
        <w:t>The value of the restricted stock is based on the closing price of our common stock on the date of grant. The fair value of each award is amorti 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w:t>
      </w:r>
    </w:p>
    <w:p>
      <w:pPr>
        <w:sectPr>
          <w:pgSz w:w="11900" w:h="16867" w:orient="portrait"/>
          <w:cols w:equalWidth="0" w:num="1">
            <w:col w:w="11460"/>
          </w:cols>
          <w:pgMar w:left="220" w:top="212" w:right="219" w:bottom="0" w:gutter="0" w:footer="0" w:header="0"/>
        </w:sectPr>
      </w:pPr>
    </w:p>
    <w:bookmarkStart w:id="10" w:name="page11"/>
    <w:bookmarkEnd w:id="10"/>
    <w:p>
      <w:pPr>
        <w:spacing w:after="0" w:line="50" w:lineRule="exact"/>
        <w:rPr>
          <w:sz w:val="20"/>
          <w:szCs w:val="20"/>
          <w:color w:val="auto"/>
        </w:rPr>
      </w:pPr>
    </w:p>
    <w:p>
      <w:pPr>
        <w:spacing w:after="0" w:line="255" w:lineRule="auto"/>
        <w:rPr>
          <w:sz w:val="20"/>
          <w:szCs w:val="20"/>
          <w:color w:val="auto"/>
        </w:rPr>
      </w:pPr>
      <w:r>
        <w:rPr>
          <w:rFonts w:ascii="Arial" w:cs="Arial" w:eastAsia="Arial" w:hAnsi="Arial"/>
          <w:sz w:val="12"/>
          <w:szCs w:val="12"/>
          <w:color w:val="auto"/>
        </w:rPr>
        <w:t>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Unrecognized Tax Benefits</w:t>
      </w:r>
    </w:p>
    <w:p>
      <w:pPr>
        <w:spacing w:after="0" w:line="6" w:lineRule="exact"/>
        <w:rPr>
          <w:sz w:val="20"/>
          <w:szCs w:val="20"/>
          <w:color w:val="auto"/>
        </w:rPr>
      </w:pPr>
    </w:p>
    <w:p>
      <w:pPr>
        <w:ind w:right="40"/>
        <w:spacing w:after="0" w:line="252" w:lineRule="auto"/>
        <w:rPr>
          <w:sz w:val="20"/>
          <w:szCs w:val="20"/>
          <w:color w:val="auto"/>
        </w:rPr>
      </w:pPr>
      <w:r>
        <w:rPr>
          <w:rFonts w:ascii="Arial" w:cs="Arial" w:eastAsia="Arial" w:hAnsi="Arial"/>
          <w:sz w:val="12"/>
          <w:szCs w:val="12"/>
          <w:color w:val="auto"/>
        </w:rPr>
        <w:t>We only recognize tax benefits for filing positions that are considered more likely than not of being sustained under audit by the relevant taxing authority, without regard to the likelihood of such an audit occurring. We record a liability for uncertain tax positions when it is more likely than not that our filed tax positions will not be sustained. We record deferred tax assets related to reserves for filing positions in a particular jurisdiction that would result in tax deductions in another tax jurisdiction if we were unable to sustain our filing position in an audit. Our income tax returns are periodically audited by various taxing authorities. These audits include questions regarding our tax filing positions, including the timing and the amount of deduct ions and the allocation of income among various tax jurisdictions. At any one time, multiple years are subject to audit by the various taxing authorities. We continually assess our tax positions for all periods that are open to examination or have not been effectively settled based on the most current available information. We adjust our liability for unrecognized tax benefits and income tax provision in the period in which an uncertain tax position is effectively settled, the statute of limitations expires for the relevant taxing authority to examine the tax position or when more information becomes available.</w:t>
      </w:r>
    </w:p>
    <w:p>
      <w:pPr>
        <w:spacing w:after="0" w:line="139" w:lineRule="exact"/>
        <w:rPr>
          <w:sz w:val="20"/>
          <w:szCs w:val="20"/>
          <w:color w:val="auto"/>
        </w:rPr>
      </w:pPr>
    </w:p>
    <w:p>
      <w:pPr>
        <w:ind w:right="120"/>
        <w:spacing w:after="0" w:line="262" w:lineRule="auto"/>
        <w:rPr>
          <w:sz w:val="20"/>
          <w:szCs w:val="20"/>
          <w:color w:val="auto"/>
        </w:rPr>
      </w:pPr>
      <w:r>
        <w:rPr>
          <w:rFonts w:ascii="Arial" w:cs="Arial" w:eastAsia="Arial" w:hAnsi="Arial"/>
          <w:sz w:val="12"/>
          <w:szCs w:val="12"/>
          <w:color w:val="auto"/>
        </w:rPr>
        <w:t>Our liability for unrecognized tax benefits contains uncertainties because we are required to make assumptions and apply judgment to estimate the exposur e associated with our various filing positions. Our effective tax rate is also affected by changes in tax laws, the level of our earnings or losses and the results of tax audits.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59" w:lineRule="exact"/>
        <w:rPr>
          <w:sz w:val="20"/>
          <w:szCs w:val="20"/>
          <w:color w:val="auto"/>
        </w:rPr>
      </w:pPr>
    </w:p>
    <w:p>
      <w:pPr>
        <w:ind w:right="260"/>
        <w:spacing w:after="0" w:line="254" w:lineRule="auto"/>
        <w:rPr>
          <w:sz w:val="20"/>
          <w:szCs w:val="20"/>
          <w:color w:val="auto"/>
        </w:rPr>
      </w:pPr>
      <w:r>
        <w:rPr>
          <w:rFonts w:ascii="Arial" w:cs="Arial" w:eastAsia="Arial" w:hAnsi="Arial"/>
          <w:sz w:val="12"/>
          <w:szCs w:val="12"/>
          <w:color w:val="auto"/>
        </w:rPr>
        <w:t>Although we believe that the judgments and estimates discussed herein are reasonable, actual results could differ, and we may be exposed to losses or realize gains that could be material. To the extent that we prevail in matters for which a liability has been established or are required to pay amounts in excess of our established liability, our effective income tax rate in a given financial statement period could be materially affected. An unfavorable tax settlement generally would require use of our cash and may result in an increase in our effective tax rate in the period of resolution. A favorable tax settlement may be recognized as a reduction in our effective tax rate in the period of resolution.</w:t>
      </w:r>
    </w:p>
    <w:p>
      <w:pPr>
        <w:spacing w:after="0" w:line="124"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Income Taxes</w:t>
      </w:r>
    </w:p>
    <w:p>
      <w:pPr>
        <w:spacing w:after="0" w:line="18" w:lineRule="exact"/>
        <w:rPr>
          <w:sz w:val="20"/>
          <w:szCs w:val="20"/>
          <w:color w:val="auto"/>
        </w:rPr>
      </w:pPr>
    </w:p>
    <w:p>
      <w:pPr>
        <w:ind w:right="60"/>
        <w:spacing w:after="0" w:line="279" w:lineRule="auto"/>
        <w:rPr>
          <w:sz w:val="20"/>
          <w:szCs w:val="20"/>
          <w:color w:val="auto"/>
        </w:rPr>
      </w:pPr>
      <w:r>
        <w:rPr>
          <w:rFonts w:ascii="Arial" w:cs="Arial" w:eastAsia="Arial" w:hAnsi="Arial"/>
          <w:sz w:val="11"/>
          <w:szCs w:val="11"/>
          <w:color w:val="auto"/>
        </w:rPr>
        <w:t>We account for income taxes in accordance with ASC 740. As part of the process of preparing our financial statements, we are required to estimate our income taxes in each of the jurisdictions in which we operate. Significant judgment is required in determining our provision for income taxes, our deferred tax assets and liabilities and any valuation allowance recorded against our deferred tax assets. Valuation allowances arise due to the uncertainty of realizing deferred tax assets. ASC 740 requires that companies assess whether valuation allowances should be established against their deferred tax assets based on the consideration of all available evidence, using a “more lik ely than not” standard. In making such assessments, significant weight is to be given to evidence that can be objectively verified. A company's current or previous losses are given more weight than its future outlook. Under that standard, our three-year historical cumulative loss was a significant negative factor. We have evaluated the sustainability of our deferred tax assets on our balance sheet which includes the assessment of cumulative income or losses over recent prior periods. Based on ASC 740 guidelines, we determined a full valuation allowance to be appropriate. We will continue to assess the likelihood that our deferred tax assets will be realizable at each reporting period and our valuation allowance will be adjusted accordingly, which could materially impact our financial position and results of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Postretirement Benefits Obligations and Costs</w:t>
      </w:r>
    </w:p>
    <w:p>
      <w:pPr>
        <w:spacing w:after="0" w:line="18" w:lineRule="exact"/>
        <w:rPr>
          <w:sz w:val="20"/>
          <w:szCs w:val="20"/>
          <w:color w:val="auto"/>
        </w:rPr>
      </w:pPr>
    </w:p>
    <w:p>
      <w:pPr>
        <w:jc w:val="both"/>
        <w:ind w:right="420"/>
        <w:spacing w:after="0" w:line="256" w:lineRule="auto"/>
        <w:rPr>
          <w:sz w:val="20"/>
          <w:szCs w:val="20"/>
          <w:color w:val="auto"/>
        </w:rPr>
      </w:pPr>
      <w:r>
        <w:rPr>
          <w:rFonts w:ascii="Arial" w:cs="Arial" w:eastAsia="Arial" w:hAnsi="Arial"/>
          <w:sz w:val="12"/>
          <w:szCs w:val="12"/>
          <w:color w:val="auto"/>
        </w:rPr>
        <w:t>We provide certain health care and other benefits for retired employees hired before April 1, 2001, who have 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Other</w:t>
      </w:r>
    </w:p>
    <w:p>
      <w:pPr>
        <w:spacing w:after="0" w:line="18" w:lineRule="exact"/>
        <w:rPr>
          <w:sz w:val="20"/>
          <w:szCs w:val="20"/>
          <w:color w:val="auto"/>
        </w:rPr>
      </w:pPr>
    </w:p>
    <w:p>
      <w:pPr>
        <w:ind w:right="40"/>
        <w:spacing w:after="0" w:line="256" w:lineRule="auto"/>
        <w:rPr>
          <w:sz w:val="20"/>
          <w:szCs w:val="20"/>
          <w:color w:val="auto"/>
        </w:rPr>
      </w:pPr>
      <w:r>
        <w:rPr>
          <w:rFonts w:ascii="Arial" w:cs="Arial" w:eastAsia="Arial" w:hAnsi="Arial"/>
          <w:sz w:val="12"/>
          <w:szCs w:val="12"/>
          <w:color w:val="auto"/>
        </w:rPr>
        <w:t>We have reserves for other loss exposures, such as litigation, product liability, workers' compensation, inventory and accounts receivable.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Quantitative and Qualitative Disclosures About Market Risk</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We have market risk exposure to our ARS and the related Put Rights, which is described in further detail in Note 4.</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4. Controls and Procedures</w:t>
      </w: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Evaluation of Disclosure Controls and Procedures</w:t>
      </w:r>
    </w:p>
    <w:p>
      <w:pPr>
        <w:spacing w:after="0" w:line="18" w:lineRule="exact"/>
        <w:rPr>
          <w:sz w:val="20"/>
          <w:szCs w:val="20"/>
          <w:color w:val="auto"/>
        </w:rPr>
      </w:pPr>
    </w:p>
    <w:p>
      <w:pPr>
        <w:spacing w:after="0" w:line="284" w:lineRule="auto"/>
        <w:rPr>
          <w:sz w:val="20"/>
          <w:szCs w:val="20"/>
          <w:color w:val="auto"/>
        </w:rPr>
      </w:pPr>
      <w:r>
        <w:rPr>
          <w:rFonts w:ascii="Arial" w:cs="Arial" w:eastAsia="Arial" w:hAnsi="Arial"/>
          <w:sz w:val="11"/>
          <w:szCs w:val="11"/>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 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 Management necessarily applied its judgment in assessing the costs and benefits of such controls and procedures, which, by their nature, can provide only reasonable assurance regarding management's disclosure control objectives.</w:t>
      </w:r>
    </w:p>
    <w:p>
      <w:pPr>
        <w:spacing w:after="0" w:line="122" w:lineRule="exact"/>
        <w:rPr>
          <w:sz w:val="20"/>
          <w:szCs w:val="20"/>
          <w:color w:val="auto"/>
        </w:rPr>
      </w:pPr>
    </w:p>
    <w:p>
      <w:pPr>
        <w:ind w:right="20"/>
        <w:spacing w:after="0" w:line="256" w:lineRule="auto"/>
        <w:rPr>
          <w:sz w:val="20"/>
          <w:szCs w:val="20"/>
          <w:color w:val="auto"/>
        </w:rPr>
      </w:pPr>
      <w:r>
        <w:rPr>
          <w:rFonts w:ascii="Arial" w:cs="Arial" w:eastAsia="Arial" w:hAnsi="Arial"/>
          <w:sz w:val="12"/>
          <w:szCs w:val="12"/>
          <w:color w:val="auto"/>
        </w:rPr>
        <w:t>We have carried out an evaluation, under the supervision and with the participation of our management, including our Chief Executive Officer and Chief Financial Officer, of the effectiveness of the design and operation of our disclosure controls and procedures, requir 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31750</wp:posOffset>
            </wp:positionV>
            <wp:extent cx="73177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30" w:lineRule="exact"/>
        <w:rPr>
          <w:sz w:val="20"/>
          <w:szCs w:val="20"/>
          <w:color w:val="auto"/>
        </w:rPr>
      </w:pPr>
    </w:p>
    <w:p>
      <w:pPr>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Changes in Internal Control Over Financial Reporting</w:t>
      </w:r>
    </w:p>
    <w:p>
      <w:pPr>
        <w:spacing w:after="0" w:line="18" w:lineRule="exact"/>
        <w:rPr>
          <w:sz w:val="20"/>
          <w:szCs w:val="20"/>
          <w:color w:val="auto"/>
        </w:rPr>
      </w:pPr>
    </w:p>
    <w:p>
      <w:pPr>
        <w:ind w:right="260"/>
        <w:spacing w:after="0" w:line="262" w:lineRule="auto"/>
        <w:rPr>
          <w:sz w:val="20"/>
          <w:szCs w:val="20"/>
          <w:color w:val="auto"/>
        </w:rPr>
      </w:pPr>
      <w:r>
        <w:rPr>
          <w:rFonts w:ascii="Arial" w:cs="Arial" w:eastAsia="Arial" w:hAnsi="Arial"/>
          <w:sz w:val="12"/>
          <w:szCs w:val="12"/>
          <w:color w:val="auto"/>
        </w:rPr>
        <w:t>There were no changes in our internal control over financial reporting [as defined in Exchange Act Rule 13a-15(f)] that occurred during our last fiscal quarter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PART II. OTHER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Legal Proceedings</w:t>
      </w:r>
    </w:p>
    <w:p>
      <w:pPr>
        <w:spacing w:after="0" w:line="164" w:lineRule="exact"/>
        <w:rPr>
          <w:sz w:val="20"/>
          <w:szCs w:val="20"/>
          <w:color w:val="auto"/>
        </w:rPr>
      </w:pPr>
    </w:p>
    <w:p>
      <w:pPr>
        <w:ind w:right="100"/>
        <w:spacing w:after="0" w:line="256" w:lineRule="auto"/>
        <w:rPr>
          <w:sz w:val="20"/>
          <w:szCs w:val="20"/>
          <w:color w:val="auto"/>
        </w:rPr>
      </w:pPr>
      <w:r>
        <w:rPr>
          <w:rFonts w:ascii="Arial" w:cs="Arial" w:eastAsia="Arial" w:hAnsi="Arial"/>
          <w:sz w:val="12"/>
          <w:szCs w:val="12"/>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results for a particular reporting period, the ultimate disposition of such litigation will not have any material adverse effect on our financial position, results of operations or liquidity.</w:t>
      </w:r>
    </w:p>
    <w:p>
      <w:pPr>
        <w:spacing w:after="0" w:line="12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color w:val="auto"/>
        </w:rPr>
        <w:t>Except as set forth below, t here have been no material changes in the risk factors disclosed under Part I, Item 1A of our Annual Report on Form 10-K for the year ended August 29, 2009.</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Dependence on Suppliers</w:t>
      </w:r>
    </w:p>
    <w:p>
      <w:pPr>
        <w:spacing w:after="0" w:line="18" w:lineRule="exact"/>
        <w:rPr>
          <w:sz w:val="20"/>
          <w:szCs w:val="20"/>
          <w:color w:val="auto"/>
        </w:rPr>
      </w:pPr>
    </w:p>
    <w:p>
      <w:pPr>
        <w:ind w:right="40"/>
        <w:spacing w:after="0" w:line="253" w:lineRule="auto"/>
        <w:rPr>
          <w:sz w:val="20"/>
          <w:szCs w:val="20"/>
          <w:color w:val="auto"/>
        </w:rPr>
      </w:pPr>
      <w:r>
        <w:rPr>
          <w:rFonts w:ascii="Arial" w:cs="Arial" w:eastAsia="Arial" w:hAnsi="Arial"/>
          <w:sz w:val="12"/>
          <w:szCs w:val="12"/>
          <w:color w:val="auto"/>
        </w:rPr>
        <w:t>Most of our RV components are readily available from numerous sources. However, a few of our components are produced by a small group of quality suppliers. Decisions by our suppliers to decrease production, production delays, or work stoppages by the employees of such suppliers could have a material adverse effect on our ability to produce motor homes and ultimately, on our results of operations. In addition, the current general global economic downturn and the volatility in the credit and capital markets may have caused or may in the future cause a significant decline in sales and revenues and limited liquidity for our suppliers. If these conditions continue or worsen, many of our suppliers’ financial condition could be adversely impacted. As a result, their ability to continue supplying component products for the manufacture of our products could be significantly undermined, which, in turn, could negatively impact our ability to meet our customers’ demand for our products and our results of operations.</w:t>
      </w:r>
    </w:p>
    <w:p>
      <w:pPr>
        <w:spacing w:after="0" w:line="137"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In the case of motor home chassis, Ford Motor Company, Freightliner Custom Chassis Corporation and Mercedes-Benz USA, LLC are our major suppliers. Our relationship with our chassis suppliers is similar to our other supplier relationships in that no special contractual commitments are engaged in by either party. Historically, chassis suppliers resort to an industry-wide allocation system during periods when supply is restricted. These allocations have been based on the volume of chassis previously purchased. Sales of motor homes rely on chassis and are affected accordingly. As economic conditions improve and dealers begin to replenish their inventory, there may be a shortage of chassis for a period of time, which would adversely affect our production capacity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Unregistered Sales of Equity Securities and Use of Proceeds</w:t>
      </w:r>
    </w:p>
    <w:p>
      <w:pPr>
        <w:spacing w:after="0" w:line="164" w:lineRule="exact"/>
        <w:rPr>
          <w:sz w:val="20"/>
          <w:szCs w:val="20"/>
          <w:color w:val="auto"/>
        </w:rPr>
      </w:pPr>
    </w:p>
    <w:p>
      <w:pPr>
        <w:ind w:right="80"/>
        <w:spacing w:after="0" w:line="256" w:lineRule="auto"/>
        <w:rPr>
          <w:sz w:val="20"/>
          <w:szCs w:val="20"/>
          <w:color w:val="auto"/>
        </w:rPr>
      </w:pPr>
      <w:r>
        <w:rPr>
          <w:rFonts w:ascii="Arial" w:cs="Arial" w:eastAsia="Arial" w:hAnsi="Arial"/>
          <w:sz w:val="12"/>
          <w:szCs w:val="12"/>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2010, there were no shares of our common stock repurchased pursuant to this authorization or otherwise. As of May 29, 2010, there was approximately $59.3 million remaining under this authorization to be used for future repurchases of our common stock.</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26035</wp:posOffset>
            </wp:positionV>
            <wp:extent cx="73177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17740" cy="36830"/>
                    </a:xfrm>
                    <a:prstGeom prst="rect">
                      <a:avLst/>
                    </a:prstGeom>
                    <a:noFill/>
                  </pic:spPr>
                </pic:pic>
              </a:graphicData>
            </a:graphic>
          </wp:anchor>
        </w:drawing>
      </w:r>
    </w:p>
    <w:p>
      <w:pPr>
        <w:spacing w:after="0" w:line="113" w:lineRule="exact"/>
        <w:rPr>
          <w:sz w:val="20"/>
          <w:szCs w:val="20"/>
          <w:color w:val="auto"/>
        </w:rPr>
      </w:pPr>
    </w:p>
    <w:p>
      <w:pPr>
        <w:ind w:left="600"/>
        <w:spacing w:after="0"/>
        <w:rPr>
          <w:rFonts w:ascii="Arial" w:cs="Arial" w:eastAsia="Arial" w:hAnsi="Arial"/>
          <w:sz w:val="12"/>
          <w:szCs w:val="12"/>
          <w:u w:val="single" w:color="auto"/>
          <w:color w:val="0000FF"/>
        </w:rPr>
      </w:pPr>
      <w:hyperlink w:anchor="page1">
        <w:r>
          <w:rPr>
            <w:rFonts w:ascii="Arial" w:cs="Arial" w:eastAsia="Arial" w:hAnsi="Arial"/>
            <w:sz w:val="12"/>
            <w:szCs w:val="12"/>
            <w:u w:val="single" w:color="auto"/>
            <w:color w:val="0000FF"/>
          </w:rPr>
          <w:t>Table of Contents</w:t>
        </w:r>
      </w:hyperlink>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Exhibits</w:t>
      </w:r>
    </w:p>
    <w:p>
      <w:pPr>
        <w:spacing w:after="0" w:line="27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10.dd</w:t>
      </w:r>
      <w:r>
        <w:rPr>
          <w:sz w:val="20"/>
          <w:szCs w:val="20"/>
          <w:color w:val="auto"/>
        </w:rPr>
        <w:tab/>
      </w:r>
      <w:r>
        <w:rPr>
          <w:rFonts w:ascii="Arial" w:cs="Arial" w:eastAsia="Arial" w:hAnsi="Arial"/>
          <w:sz w:val="11"/>
          <w:szCs w:val="11"/>
          <w:color w:val="auto"/>
        </w:rPr>
        <w:t>Executive Change of Control Agreement dated May 3, 2010 between Winnebago Industries, Inc. and Daryl W. Krieger.*</w:t>
      </w:r>
    </w:p>
    <w:p>
      <w:pPr>
        <w:spacing w:after="0" w:line="6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31.1</w:t>
      </w:r>
      <w:r>
        <w:rPr>
          <w:sz w:val="20"/>
          <w:szCs w:val="20"/>
          <w:color w:val="auto"/>
        </w:rPr>
        <w:tab/>
      </w:r>
      <w:r>
        <w:rPr>
          <w:rFonts w:ascii="Arial" w:cs="Arial" w:eastAsia="Arial" w:hAnsi="Arial"/>
          <w:sz w:val="11"/>
          <w:szCs w:val="11"/>
          <w:color w:val="auto"/>
        </w:rPr>
        <w:t>Certification by the Chief Executive Officer pursuant to Section 302 of the Sarbanes-Oxley Act of 2002 dated July 2, 2010.</w:t>
      </w:r>
    </w:p>
    <w:p>
      <w:pPr>
        <w:spacing w:after="0" w:line="4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31.2</w:t>
      </w:r>
      <w:r>
        <w:rPr>
          <w:sz w:val="20"/>
          <w:szCs w:val="20"/>
          <w:color w:val="auto"/>
        </w:rPr>
        <w:tab/>
      </w:r>
      <w:r>
        <w:rPr>
          <w:rFonts w:ascii="Arial" w:cs="Arial" w:eastAsia="Arial" w:hAnsi="Arial"/>
          <w:sz w:val="11"/>
          <w:szCs w:val="11"/>
          <w:color w:val="auto"/>
        </w:rPr>
        <w:t>Certification by the Chief Financial Officer pursuant to Section 302 of the Sarbanes-Oxley Act of 2002 dated July 2, 2010.</w:t>
      </w:r>
    </w:p>
    <w:p>
      <w:pPr>
        <w:spacing w:after="0" w:line="60"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32.1</w:t>
      </w:r>
      <w:r>
        <w:rPr>
          <w:sz w:val="20"/>
          <w:szCs w:val="20"/>
          <w:color w:val="auto"/>
        </w:rPr>
        <w:tab/>
      </w:r>
      <w:r>
        <w:rPr>
          <w:rFonts w:ascii="Arial" w:cs="Arial" w:eastAsia="Arial" w:hAnsi="Arial"/>
          <w:sz w:val="12"/>
          <w:szCs w:val="12"/>
          <w:color w:val="auto"/>
        </w:rPr>
        <w:t>Certification by the Chief Executive Officer pursuant to Section 1350, as adopted pursuant to Section 906 of the Sarbanes-Oxley Act of 2002 dated July 2, 2010.</w:t>
      </w:r>
    </w:p>
    <w:p>
      <w:pPr>
        <w:spacing w:after="0" w:line="42" w:lineRule="exact"/>
        <w:rPr>
          <w:sz w:val="20"/>
          <w:szCs w:val="20"/>
          <w:color w:val="auto"/>
        </w:rPr>
      </w:pPr>
    </w:p>
    <w:p>
      <w:pPr>
        <w:spacing w:after="0"/>
        <w:tabs>
          <w:tab w:leader="none" w:pos="620" w:val="left"/>
        </w:tabs>
        <w:rPr>
          <w:sz w:val="20"/>
          <w:szCs w:val="20"/>
          <w:color w:val="auto"/>
        </w:rPr>
      </w:pPr>
      <w:r>
        <w:rPr>
          <w:rFonts w:ascii="Arial" w:cs="Arial" w:eastAsia="Arial" w:hAnsi="Arial"/>
          <w:sz w:val="12"/>
          <w:szCs w:val="12"/>
          <w:color w:val="auto"/>
        </w:rPr>
        <w:t>32.2</w:t>
      </w:r>
      <w:r>
        <w:rPr>
          <w:sz w:val="20"/>
          <w:szCs w:val="20"/>
          <w:color w:val="auto"/>
        </w:rPr>
        <w:tab/>
      </w:r>
      <w:r>
        <w:rPr>
          <w:rFonts w:ascii="Arial" w:cs="Arial" w:eastAsia="Arial" w:hAnsi="Arial"/>
          <w:sz w:val="12"/>
          <w:szCs w:val="12"/>
          <w:color w:val="auto"/>
        </w:rPr>
        <w:t>Certification by the Chief Financial Officer pursuant to Section 1350, as adopted pursuant to Section 906 of the Sarbanes-Oxley Act of 2002 dated July 2, 2010.</w:t>
      </w:r>
    </w:p>
    <w:p>
      <w:pPr>
        <w:sectPr>
          <w:pgSz w:w="11900" w:h="16888" w:orient="portrait"/>
          <w:cols w:equalWidth="0" w:num="1">
            <w:col w:w="11480"/>
          </w:cols>
          <w:pgMar w:left="220" w:top="140" w:right="199" w:bottom="0" w:gutter="0" w:footer="0" w:header="0"/>
        </w:sectPr>
      </w:pPr>
    </w:p>
    <w:bookmarkStart w:id="11" w:name="page12"/>
    <w:bookmarkEnd w:id="11"/>
    <w:p>
      <w:pPr>
        <w:spacing w:after="0"/>
        <w:rPr>
          <w:sz w:val="20"/>
          <w:szCs w:val="20"/>
          <w:color w:val="auto"/>
        </w:rPr>
      </w:pPr>
      <w:r>
        <w:rPr>
          <w:rFonts w:ascii="Arial" w:cs="Arial" w:eastAsia="Arial" w:hAnsi="Arial"/>
          <w:sz w:val="12"/>
          <w:szCs w:val="12"/>
          <w:color w:val="auto"/>
        </w:rPr>
        <w:t>* Management contract or compensatory plan or arrangement.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SIGNATURES</w:t>
      </w: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279" w:lineRule="exact"/>
        <w:rPr>
          <w:sz w:val="20"/>
          <w:szCs w:val="20"/>
          <w:color w:val="auto"/>
        </w:rPr>
      </w:pPr>
    </w:p>
    <w:p>
      <w:pPr>
        <w:jc w:val="center"/>
        <w:ind w:right="1459"/>
        <w:spacing w:after="0"/>
        <w:rPr>
          <w:sz w:val="20"/>
          <w:szCs w:val="20"/>
          <w:color w:val="auto"/>
        </w:rPr>
      </w:pPr>
      <w:r>
        <w:rPr>
          <w:rFonts w:ascii="Arial" w:cs="Arial" w:eastAsia="Arial" w:hAnsi="Arial"/>
          <w:sz w:val="12"/>
          <w:szCs w:val="12"/>
          <w:color w:val="auto"/>
        </w:rPr>
        <w:t>WINNEBAGO INDUSTRIES,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1613535</wp:posOffset>
            </wp:positionH>
            <wp:positionV relativeFrom="paragraph">
              <wp:posOffset>-635</wp:posOffset>
            </wp:positionV>
            <wp:extent cx="2339340"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339340" cy="5715"/>
                    </a:xfrm>
                    <a:prstGeom prst="rect">
                      <a:avLst/>
                    </a:prstGeom>
                    <a:noFill/>
                  </pic:spPr>
                </pic:pic>
              </a:graphicData>
            </a:graphic>
          </wp:anchor>
        </w:drawing>
      </w:r>
    </w:p>
    <w:p>
      <w:pPr>
        <w:jc w:val="center"/>
        <w:ind w:right="1459"/>
        <w:spacing w:after="0"/>
        <w:rPr>
          <w:sz w:val="20"/>
          <w:szCs w:val="20"/>
          <w:color w:val="auto"/>
        </w:rPr>
      </w:pPr>
      <w:r>
        <w:rPr>
          <w:rFonts w:ascii="Arial" w:cs="Arial" w:eastAsia="Arial" w:hAnsi="Arial"/>
          <w:sz w:val="12"/>
          <w:szCs w:val="12"/>
          <w:color w:val="auto"/>
        </w:rPr>
        <w:t>(Registrant)</w:t>
      </w:r>
    </w:p>
    <w:p>
      <w:pPr>
        <w:spacing w:after="0" w:line="277" w:lineRule="exact"/>
        <w:rPr>
          <w:sz w:val="20"/>
          <w:szCs w:val="20"/>
          <w:color w:val="auto"/>
        </w:rPr>
      </w:pPr>
    </w:p>
    <w:p>
      <w:pPr>
        <w:spacing w:after="0"/>
        <w:tabs>
          <w:tab w:leader="none" w:pos="640" w:val="left"/>
          <w:tab w:leader="none" w:pos="25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 2010</w:t>
      </w:r>
      <w:r>
        <w:rPr>
          <w:sz w:val="20"/>
          <w:szCs w:val="20"/>
          <w:color w:val="auto"/>
        </w:rPr>
        <w:tab/>
      </w:r>
      <w:r>
        <w:rPr>
          <w:rFonts w:ascii="Arial" w:cs="Arial" w:eastAsia="Arial" w:hAnsi="Arial"/>
          <w:sz w:val="12"/>
          <w:szCs w:val="12"/>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9525</wp:posOffset>
            </wp:positionV>
            <wp:extent cx="364299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spacing w:after="0" w:line="10"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Robert J. Olson</w:t>
      </w:r>
    </w:p>
    <w:p>
      <w:pPr>
        <w:ind w:left="2540"/>
        <w:spacing w:after="0" w:line="234" w:lineRule="auto"/>
        <w:rPr>
          <w:sz w:val="20"/>
          <w:szCs w:val="20"/>
          <w:color w:val="auto"/>
        </w:rPr>
      </w:pPr>
      <w:r>
        <w:rPr>
          <w:rFonts w:ascii="Arial" w:cs="Arial" w:eastAsia="Arial" w:hAnsi="Arial"/>
          <w:sz w:val="12"/>
          <w:szCs w:val="12"/>
          <w:color w:val="auto"/>
        </w:rPr>
        <w:t>Chairman of the Board, Chief Executive Officer and President</w:t>
      </w:r>
    </w:p>
    <w:p>
      <w:pPr>
        <w:spacing w:after="0" w:line="1"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(Principal Executive Officer)</w:t>
      </w:r>
    </w:p>
    <w:p>
      <w:pPr>
        <w:spacing w:after="0" w:line="294" w:lineRule="exact"/>
        <w:rPr>
          <w:sz w:val="20"/>
          <w:szCs w:val="20"/>
          <w:color w:val="auto"/>
        </w:rPr>
      </w:pPr>
    </w:p>
    <w:p>
      <w:pPr>
        <w:spacing w:after="0"/>
        <w:tabs>
          <w:tab w:leader="none" w:pos="640" w:val="left"/>
          <w:tab w:leader="none" w:pos="25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 2010</w:t>
      </w:r>
      <w:r>
        <w:rPr>
          <w:sz w:val="20"/>
          <w:szCs w:val="20"/>
          <w:color w:val="auto"/>
        </w:rPr>
        <w:tab/>
      </w:r>
      <w:r>
        <w:rPr>
          <w:rFonts w:ascii="Arial" w:cs="Arial" w:eastAsia="Arial" w:hAnsi="Arial"/>
          <w:sz w:val="11"/>
          <w:szCs w:val="11"/>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309245</wp:posOffset>
            </wp:positionH>
            <wp:positionV relativeFrom="paragraph">
              <wp:posOffset>-635</wp:posOffset>
            </wp:positionV>
            <wp:extent cx="364299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642995" cy="5715"/>
                    </a:xfrm>
                    <a:prstGeom prst="rect">
                      <a:avLst/>
                    </a:prstGeom>
                    <a:noFill/>
                  </pic:spPr>
                </pic:pic>
              </a:graphicData>
            </a:graphic>
          </wp:anchor>
        </w:drawing>
      </w:r>
    </w:p>
    <w:p>
      <w:pPr>
        <w:ind w:left="2540"/>
        <w:spacing w:after="0"/>
        <w:rPr>
          <w:sz w:val="20"/>
          <w:szCs w:val="20"/>
          <w:color w:val="auto"/>
        </w:rPr>
      </w:pPr>
      <w:r>
        <w:rPr>
          <w:rFonts w:ascii="Arial" w:cs="Arial" w:eastAsia="Arial" w:hAnsi="Arial"/>
          <w:sz w:val="12"/>
          <w:szCs w:val="12"/>
          <w:color w:val="auto"/>
        </w:rPr>
        <w:t>Sarah N. Nielsen</w:t>
      </w:r>
    </w:p>
    <w:p>
      <w:pPr>
        <w:spacing w:after="0" w:line="24" w:lineRule="exact"/>
        <w:rPr>
          <w:sz w:val="20"/>
          <w:szCs w:val="20"/>
          <w:color w:val="auto"/>
        </w:rPr>
      </w:pPr>
    </w:p>
    <w:p>
      <w:pPr>
        <w:ind w:left="2540"/>
        <w:spacing w:after="0"/>
        <w:rPr>
          <w:sz w:val="20"/>
          <w:szCs w:val="20"/>
          <w:color w:val="auto"/>
        </w:rPr>
      </w:pPr>
      <w:r>
        <w:rPr>
          <w:rFonts w:ascii="Arial" w:cs="Arial" w:eastAsia="Arial" w:hAnsi="Arial"/>
          <w:sz w:val="12"/>
          <w:szCs w:val="12"/>
          <w:color w:val="auto"/>
        </w:rPr>
        <w:t>Chief Financial Officer (Principal Financial Officer)</w:t>
      </w:r>
    </w:p>
    <w:p>
      <w:pPr>
        <w:spacing w:after="0" w:line="141" w:lineRule="exact"/>
        <w:rPr>
          <w:sz w:val="20"/>
          <w:szCs w:val="20"/>
          <w:color w:val="auto"/>
        </w:rPr>
      </w:pPr>
    </w:p>
    <w:p>
      <w:pPr>
        <w:ind w:left="5660"/>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0239"/>
          </w:cols>
          <w:pgMar w:left="220" w:top="283" w:right="1440" w:bottom="1440" w:gutter="0" w:footer="0" w:header="0"/>
        </w:sectPr>
      </w:pPr>
    </w:p>
    <w:bookmarkStart w:id="12" w:name="page13"/>
    <w:bookmarkEnd w:id="12"/>
    <w:p>
      <w:pPr>
        <w:jc w:val="center"/>
        <w:ind w:right="-27"/>
        <w:spacing w:after="0"/>
        <w:rPr>
          <w:sz w:val="20"/>
          <w:szCs w:val="20"/>
          <w:color w:val="auto"/>
        </w:rPr>
      </w:pPr>
      <w:r>
        <w:rPr>
          <w:rFonts w:ascii="Arial" w:cs="Arial" w:eastAsia="Arial" w:hAnsi="Arial"/>
          <w:sz w:val="14"/>
          <w:szCs w:val="14"/>
          <w:b w:val="1"/>
          <w:bCs w:val="1"/>
          <w:color w:val="auto"/>
        </w:rPr>
        <w:t>Exhibit 10.dd</w:t>
      </w:r>
    </w:p>
    <w:p>
      <w:pPr>
        <w:spacing w:after="0" w:line="307" w:lineRule="exact"/>
        <w:rPr>
          <w:sz w:val="20"/>
          <w:szCs w:val="20"/>
          <w:color w:val="auto"/>
        </w:rPr>
      </w:pPr>
    </w:p>
    <w:p>
      <w:pPr>
        <w:jc w:val="center"/>
        <w:ind w:right="-7"/>
        <w:spacing w:after="0"/>
        <w:rPr>
          <w:sz w:val="20"/>
          <w:szCs w:val="20"/>
          <w:color w:val="auto"/>
        </w:rPr>
      </w:pPr>
      <w:r>
        <w:rPr>
          <w:rFonts w:ascii="Arial" w:cs="Arial" w:eastAsia="Arial" w:hAnsi="Arial"/>
          <w:sz w:val="14"/>
          <w:szCs w:val="14"/>
          <w:b w:val="1"/>
          <w:bCs w:val="1"/>
          <w:color w:val="auto"/>
        </w:rPr>
        <w:t>EXECUTIVE CHANGE OF CONTROL AGREEMENT</w:t>
      </w:r>
    </w:p>
    <w:p>
      <w:pPr>
        <w:spacing w:after="0" w:line="311" w:lineRule="exact"/>
        <w:rPr>
          <w:sz w:val="20"/>
          <w:szCs w:val="20"/>
          <w:color w:val="auto"/>
        </w:rPr>
      </w:pPr>
    </w:p>
    <w:p>
      <w:pPr>
        <w:ind w:left="8" w:firstLine="841"/>
        <w:spacing w:after="0" w:line="262" w:lineRule="auto"/>
        <w:rPr>
          <w:sz w:val="20"/>
          <w:szCs w:val="20"/>
          <w:color w:val="auto"/>
        </w:rPr>
      </w:pPr>
      <w:r>
        <w:rPr>
          <w:rFonts w:ascii="Arial" w:cs="Arial" w:eastAsia="Arial" w:hAnsi="Arial"/>
          <w:sz w:val="12"/>
          <w:szCs w:val="12"/>
          <w:color w:val="auto"/>
        </w:rPr>
        <w:t>This EXECUTIVE CHANGE OF CONTROL AGREEMENT is made as of May 3, 2010, by and between WINNEBAGO INDUSTRIES, INC., an Iowa corporation (the "Company"), and Daryl W. Krieger (the "Executive").</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R E C I T A L S :</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WHEREAS, the Executive is a senior executive and officer of the Company and has made and is expected to continue to make major contributions to the profitability, growth and financial strength of</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Company;</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WHEREAS, the Company recognizes that, as is the case for most publicly held companies, the possibility of a Change of Control (as hereafter defined) exists;</w:t>
      </w:r>
    </w:p>
    <w:p>
      <w:pPr>
        <w:spacing w:after="0" w:line="150" w:lineRule="exact"/>
        <w:rPr>
          <w:sz w:val="20"/>
          <w:szCs w:val="20"/>
          <w:color w:val="auto"/>
        </w:rPr>
      </w:pPr>
    </w:p>
    <w:p>
      <w:pPr>
        <w:ind w:left="8" w:firstLine="841"/>
        <w:spacing w:after="0" w:line="262" w:lineRule="auto"/>
        <w:rPr>
          <w:sz w:val="20"/>
          <w:szCs w:val="20"/>
          <w:color w:val="auto"/>
        </w:rPr>
      </w:pPr>
      <w:r>
        <w:rPr>
          <w:rFonts w:ascii="Arial" w:cs="Arial" w:eastAsia="Arial" w:hAnsi="Arial"/>
          <w:sz w:val="12"/>
          <w:szCs w:val="12"/>
          <w:color w:val="auto"/>
        </w:rPr>
        <w:t>WHEREAS, it is in the best interests of the Company, considering the past and future services of the Executive, to improve the security and climate for objective decision making by providing for the personal security of the Executive upon a Change of Control.</w:t>
      </w:r>
    </w:p>
    <w:p>
      <w:pPr>
        <w:spacing w:after="0" w:line="131" w:lineRule="exact"/>
        <w:rPr>
          <w:sz w:val="20"/>
          <w:szCs w:val="20"/>
          <w:color w:val="auto"/>
        </w:rPr>
      </w:pPr>
    </w:p>
    <w:p>
      <w:pPr>
        <w:ind w:left="8" w:firstLine="841"/>
        <w:spacing w:after="0" w:line="262" w:lineRule="auto"/>
        <w:rPr>
          <w:sz w:val="20"/>
          <w:szCs w:val="20"/>
          <w:color w:val="auto"/>
        </w:rPr>
      </w:pPr>
      <w:r>
        <w:rPr>
          <w:rFonts w:ascii="Arial" w:cs="Arial" w:eastAsia="Arial" w:hAnsi="Arial"/>
          <w:sz w:val="12"/>
          <w:szCs w:val="12"/>
          <w:color w:val="auto"/>
        </w:rPr>
        <w:t>NOW, THEREFORE, in consideration of the foregoing premises and the past and future services rendered and to be rendered by the Executive to the Company and of the mutual covenants and agreements hereinafter set forth, the parties agree as follows:</w:t>
      </w:r>
    </w:p>
    <w:p>
      <w:pPr>
        <w:spacing w:after="0" w:line="131"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A G R E E M E N T :</w:t>
      </w:r>
    </w:p>
    <w:p>
      <w:pPr>
        <w:spacing w:after="0" w:line="150" w:lineRule="exact"/>
        <w:rPr>
          <w:sz w:val="20"/>
          <w:szCs w:val="20"/>
          <w:color w:val="auto"/>
        </w:rPr>
      </w:pPr>
    </w:p>
    <w:p>
      <w:pPr>
        <w:jc w:val="both"/>
        <w:ind w:left="8" w:firstLine="424"/>
        <w:spacing w:after="0" w:line="256" w:lineRule="auto"/>
        <w:tabs>
          <w:tab w:leader="none" w:pos="574"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Continued Service by Executive</w:t>
      </w:r>
      <w:r>
        <w:rPr>
          <w:rFonts w:ascii="Arial" w:cs="Arial" w:eastAsia="Arial" w:hAnsi="Arial"/>
          <w:sz w:val="12"/>
          <w:szCs w:val="12"/>
          <w:color w:val="auto"/>
        </w:rPr>
        <w:t>. In the event a person or entity, in order to effect a Change of Control, commences a tender or exchange offer, circulates a proxy to shareholders or takes other steps, the Executive agrees that the Executive will not voluntarily leave the employ of the Company, and will render faithful services to the Company consistent with Executive's position and responsibilities, until the person or entity has abandoned or terminated its eff orts to effect such Change of Control or until such Change of Control has occurred.</w:t>
      </w:r>
    </w:p>
    <w:p>
      <w:pPr>
        <w:spacing w:after="0" w:line="134" w:lineRule="exact"/>
        <w:rPr>
          <w:rFonts w:ascii="Arial" w:cs="Arial" w:eastAsia="Arial" w:hAnsi="Arial"/>
          <w:sz w:val="12"/>
          <w:szCs w:val="12"/>
          <w:color w:val="auto"/>
        </w:rPr>
      </w:pPr>
    </w:p>
    <w:p>
      <w:pPr>
        <w:jc w:val="both"/>
        <w:ind w:left="8" w:firstLine="424"/>
        <w:spacing w:after="0" w:line="252" w:lineRule="auto"/>
        <w:tabs>
          <w:tab w:leader="none" w:pos="583" w:val="left"/>
        </w:tabs>
        <w:numPr>
          <w:ilvl w:val="0"/>
          <w:numId w:val="9"/>
        </w:numPr>
        <w:rPr>
          <w:rFonts w:ascii="Arial" w:cs="Arial" w:eastAsia="Arial" w:hAnsi="Arial"/>
          <w:sz w:val="12"/>
          <w:szCs w:val="12"/>
          <w:color w:val="auto"/>
        </w:rPr>
      </w:pPr>
      <w:r>
        <w:rPr>
          <w:rFonts w:ascii="Arial" w:cs="Arial" w:eastAsia="Arial" w:hAnsi="Arial"/>
          <w:sz w:val="12"/>
          <w:szCs w:val="12"/>
          <w:u w:val="single" w:color="auto"/>
          <w:color w:val="auto"/>
        </w:rPr>
        <w:t>Change of Control</w:t>
      </w:r>
      <w:r>
        <w:rPr>
          <w:rFonts w:ascii="Arial" w:cs="Arial" w:eastAsia="Arial" w:hAnsi="Arial"/>
          <w:sz w:val="12"/>
          <w:szCs w:val="12"/>
          <w:color w:val="auto"/>
        </w:rPr>
        <w:t>. For purposes of this Agreement, the term “Change of Control” means the time when (i) any Person becomes an Acquiring Person, or (ii) individuals who shall qualify as Continuing Directors of the Company shall have ceased for any reason to constitute at least a majority of the Board of Directors of the Company; provided however, that in the case of either clause (i) or (ii) a Change of Control shall not be deemed to have occurred if the event shall have bee n approved prior to the occurrence thereof by a majority of the Continuing Directors who shall then be members of such Board of Directors, and in the case of clause (i) a Change of Control shall not be deemed to have occurred upon the acquisition of stock of the Company by a pension, profit-sharing, stock bonus, employee stock ownership plan or other retirement plan intended to be qualified under Section 401(a) of the Internal Revenue Code of 1986, as amended, established by the Company or any subsidiary of the Company. (In addition, stock held by such a plan shall not be treated as outstanding in determining ownership percentages for purposes of this definition.)</w:t>
      </w:r>
    </w:p>
    <w:p>
      <w:pPr>
        <w:spacing w:after="0" w:line="139" w:lineRule="exact"/>
        <w:rPr>
          <w:sz w:val="20"/>
          <w:szCs w:val="20"/>
          <w:color w:val="auto"/>
        </w:rPr>
      </w:pPr>
    </w:p>
    <w:p>
      <w:pPr>
        <w:ind w:left="428"/>
        <w:spacing w:after="0"/>
        <w:rPr>
          <w:sz w:val="20"/>
          <w:szCs w:val="20"/>
          <w:color w:val="auto"/>
        </w:rPr>
      </w:pPr>
      <w:r>
        <w:rPr>
          <w:rFonts w:ascii="Arial" w:cs="Arial" w:eastAsia="Arial" w:hAnsi="Arial"/>
          <w:sz w:val="12"/>
          <w:szCs w:val="12"/>
          <w:color w:val="auto"/>
        </w:rPr>
        <w:t>For the purpose of the foregoing definit ion of “Change of Control”, the capitalized terms shall have the following meanings:</w:t>
      </w:r>
    </w:p>
    <w:p>
      <w:pPr>
        <w:spacing w:after="0" w:line="150" w:lineRule="exact"/>
        <w:rPr>
          <w:sz w:val="20"/>
          <w:szCs w:val="20"/>
          <w:color w:val="auto"/>
        </w:rPr>
      </w:pPr>
    </w:p>
    <w:p>
      <w:pPr>
        <w:ind w:left="868" w:hanging="436"/>
        <w:spacing w:after="0" w:line="254" w:lineRule="auto"/>
        <w:tabs>
          <w:tab w:leader="none" w:pos="716" w:val="left"/>
        </w:tabs>
        <w:numPr>
          <w:ilvl w:val="1"/>
          <w:numId w:val="10"/>
        </w:numPr>
        <w:rPr>
          <w:rFonts w:ascii="Arial" w:cs="Arial" w:eastAsia="Arial" w:hAnsi="Arial"/>
          <w:sz w:val="12"/>
          <w:szCs w:val="12"/>
          <w:color w:val="auto"/>
        </w:rPr>
      </w:pPr>
      <w:r>
        <w:rPr>
          <w:rFonts w:ascii="Arial" w:cs="Arial" w:eastAsia="Arial" w:hAnsi="Arial"/>
          <w:sz w:val="12"/>
          <w:szCs w:val="12"/>
          <w:color w:val="auto"/>
        </w:rPr>
        <w:t>“Continuing Director” means (i) any member of the Board of Directors of the Company, while such person as a member of the Board, who is not an Affiliate or Associate of any Acquiring Person or of any such Acquiring Person's Affiliate or Associate and was a member of the Board prior to the time when such Acquiring Person shall have become an Acquiring Person, and (ii) any successor of a Continuing Director, while such successor is a member of the Board, who is not an Acquiring Person or any Affiliate or Associate of any Acquiring Person or a representative or nominee of an Acquiring Person or of any affiliate or associate of such Acquiring Person and is recommended or elected to succeed the Continuing Director by a majority of the Continuing Directors.</w:t>
      </w:r>
    </w:p>
    <w:p>
      <w:pPr>
        <w:spacing w:after="0" w:line="136" w:lineRule="exact"/>
        <w:rPr>
          <w:rFonts w:ascii="Arial" w:cs="Arial" w:eastAsia="Arial" w:hAnsi="Arial"/>
          <w:sz w:val="12"/>
          <w:szCs w:val="12"/>
          <w:color w:val="auto"/>
        </w:rPr>
      </w:pPr>
    </w:p>
    <w:p>
      <w:pPr>
        <w:ind w:left="868" w:hanging="436"/>
        <w:spacing w:after="0" w:line="262" w:lineRule="auto"/>
        <w:tabs>
          <w:tab w:leader="none" w:pos="743" w:val="left"/>
        </w:tabs>
        <w:numPr>
          <w:ilvl w:val="1"/>
          <w:numId w:val="10"/>
        </w:numPr>
        <w:rPr>
          <w:rFonts w:ascii="Arial" w:cs="Arial" w:eastAsia="Arial" w:hAnsi="Arial"/>
          <w:sz w:val="12"/>
          <w:szCs w:val="12"/>
          <w:color w:val="auto"/>
        </w:rPr>
      </w:pPr>
      <w:r>
        <w:rPr>
          <w:rFonts w:ascii="Arial" w:cs="Arial" w:eastAsia="Arial" w:hAnsi="Arial"/>
          <w:sz w:val="12"/>
          <w:szCs w:val="12"/>
          <w:color w:val="auto"/>
        </w:rPr>
        <w:t>“Acquiring Person” means any Person or any individual or group of Affiliates or Associates of such Person who acquires beneficial ownership, directly or indirectly , of 20% or more of the outstanding stock of the Company if such acquisition occurs in whole or in part following date of that person's agreement.</w:t>
      </w:r>
    </w:p>
    <w:p>
      <w:pPr>
        <w:spacing w:after="0" w:line="131" w:lineRule="exact"/>
        <w:rPr>
          <w:rFonts w:ascii="Arial" w:cs="Arial" w:eastAsia="Arial" w:hAnsi="Arial"/>
          <w:sz w:val="12"/>
          <w:szCs w:val="12"/>
          <w:color w:val="auto"/>
        </w:rPr>
      </w:pPr>
    </w:p>
    <w:p>
      <w:pPr>
        <w:ind w:left="708" w:hanging="276"/>
        <w:spacing w:after="0"/>
        <w:tabs>
          <w:tab w:leader="none" w:pos="708" w:val="left"/>
        </w:tabs>
        <w:numPr>
          <w:ilvl w:val="1"/>
          <w:numId w:val="10"/>
        </w:numPr>
        <w:rPr>
          <w:rFonts w:ascii="Arial" w:cs="Arial" w:eastAsia="Arial" w:hAnsi="Arial"/>
          <w:sz w:val="12"/>
          <w:szCs w:val="12"/>
          <w:color w:val="auto"/>
        </w:rPr>
      </w:pPr>
      <w:r>
        <w:rPr>
          <w:rFonts w:ascii="Arial" w:cs="Arial" w:eastAsia="Arial" w:hAnsi="Arial"/>
          <w:sz w:val="12"/>
          <w:szCs w:val="12"/>
          <w:color w:val="auto"/>
        </w:rPr>
        <w:t>“Affiliate” means a Person that directly or indirectly through one or more intermediaries, controls, or is controlled by, or is under common control with, the person specified.</w:t>
      </w:r>
    </w:p>
    <w:p>
      <w:pPr>
        <w:spacing w:after="0" w:line="150" w:lineRule="exact"/>
        <w:rPr>
          <w:rFonts w:ascii="Arial" w:cs="Arial" w:eastAsia="Arial" w:hAnsi="Arial"/>
          <w:sz w:val="12"/>
          <w:szCs w:val="12"/>
          <w:color w:val="auto"/>
        </w:rPr>
      </w:pPr>
    </w:p>
    <w:p>
      <w:pPr>
        <w:ind w:left="8" w:hanging="8"/>
        <w:spacing w:after="0" w:line="254" w:lineRule="auto"/>
        <w:tabs>
          <w:tab w:leader="none" w:pos="288" w:val="left"/>
        </w:tabs>
        <w:numPr>
          <w:ilvl w:val="0"/>
          <w:numId w:val="11"/>
        </w:numPr>
        <w:rPr>
          <w:rFonts w:ascii="Arial" w:cs="Arial" w:eastAsia="Arial" w:hAnsi="Arial"/>
          <w:sz w:val="12"/>
          <w:szCs w:val="12"/>
          <w:color w:val="auto"/>
        </w:rPr>
      </w:pPr>
      <w:r>
        <w:rPr>
          <w:rFonts w:ascii="Arial" w:cs="Arial" w:eastAsia="Arial" w:hAnsi="Arial"/>
          <w:sz w:val="12"/>
          <w:szCs w:val="12"/>
          <w:color w:val="auto"/>
        </w:rPr>
        <w:t>“Associate” means (1) any corporate, partnership, limited liability company, entity or organization (other than the Company or a majority-owned subsidiary of the Company) of which such a Person is an officer, director, member, or partner or is, directly or indirectly the beneficial owner of ten percent (10%) or more of the class of equity securities, (2) any trust or fund in which such person has a substantial beneficial interest or as to which such person serves as trustee or in a similar fiduciary capacity, (3) any relative or spouse of such person, or any relative of such spouse, or (4) any investment company for which such person or any Affiliate of such person serves as investment adv isor.</w:t>
      </w:r>
    </w:p>
    <w:p>
      <w:pPr>
        <w:spacing w:after="0" w:line="136" w:lineRule="exact"/>
        <w:rPr>
          <w:rFonts w:ascii="Arial" w:cs="Arial" w:eastAsia="Arial" w:hAnsi="Arial"/>
          <w:sz w:val="12"/>
          <w:szCs w:val="12"/>
          <w:color w:val="auto"/>
        </w:rPr>
      </w:pPr>
    </w:p>
    <w:p>
      <w:pPr>
        <w:ind w:left="708" w:hanging="276"/>
        <w:spacing w:after="0"/>
        <w:tabs>
          <w:tab w:leader="none" w:pos="708" w:val="left"/>
        </w:tabs>
        <w:numPr>
          <w:ilvl w:val="1"/>
          <w:numId w:val="11"/>
        </w:numPr>
        <w:rPr>
          <w:rFonts w:ascii="Arial" w:cs="Arial" w:eastAsia="Arial" w:hAnsi="Arial"/>
          <w:sz w:val="12"/>
          <w:szCs w:val="12"/>
          <w:color w:val="auto"/>
        </w:rPr>
      </w:pPr>
      <w:r>
        <w:rPr>
          <w:rFonts w:ascii="Arial" w:cs="Arial" w:eastAsia="Arial" w:hAnsi="Arial"/>
          <w:sz w:val="12"/>
          <w:szCs w:val="12"/>
          <w:color w:val="auto"/>
        </w:rPr>
        <w:t>“Person” means an individual, corporation, limited liability company, partnership, association, joint stock company, trust, unincorporated organization or government or political subdivision thereof.</w:t>
      </w:r>
    </w:p>
    <w:p>
      <w:pPr>
        <w:spacing w:after="0" w:line="150" w:lineRule="exact"/>
        <w:rPr>
          <w:rFonts w:ascii="Arial" w:cs="Arial" w:eastAsia="Arial" w:hAnsi="Arial"/>
          <w:sz w:val="12"/>
          <w:szCs w:val="12"/>
          <w:color w:val="auto"/>
        </w:rPr>
      </w:pPr>
    </w:p>
    <w:p>
      <w:pPr>
        <w:jc w:val="both"/>
        <w:ind w:left="8" w:firstLine="833"/>
        <w:spacing w:after="0" w:line="254" w:lineRule="auto"/>
        <w:tabs>
          <w:tab w:leader="none" w:pos="982" w:val="left"/>
        </w:tabs>
        <w:numPr>
          <w:ilvl w:val="2"/>
          <w:numId w:val="11"/>
        </w:numPr>
        <w:rPr>
          <w:rFonts w:ascii="Arial" w:cs="Arial" w:eastAsia="Arial" w:hAnsi="Arial"/>
          <w:sz w:val="12"/>
          <w:szCs w:val="12"/>
          <w:color w:val="auto"/>
        </w:rPr>
      </w:pPr>
      <w:r>
        <w:rPr>
          <w:rFonts w:ascii="Arial" w:cs="Arial" w:eastAsia="Arial" w:hAnsi="Arial"/>
          <w:sz w:val="12"/>
          <w:szCs w:val="12"/>
          <w:u w:val="single" w:color="auto"/>
          <w:color w:val="auto"/>
        </w:rPr>
        <w:t>Termination Following a Change of Control</w:t>
      </w:r>
      <w:r>
        <w:rPr>
          <w:rFonts w:ascii="Arial" w:cs="Arial" w:eastAsia="Arial" w:hAnsi="Arial"/>
          <w:sz w:val="12"/>
          <w:szCs w:val="12"/>
          <w:color w:val="auto"/>
        </w:rPr>
        <w:t>. If a change of Control shall have occurred while the Executive is still an employee of the Company, and if the Executive's employment with the Company is terminated, within three years following such Change of Control, then the Executive shall be entitled to the compensation and benefits provided in Section 4, unless such termination is a result of: (a) the Executive's death; (b) the Executive's Disability (as defined in Section 3(a) below); (c) the Executive's Retirement (as defined in Section 3(b) below); (d) the Executive's termination by the Company for Cause (as defined in Section 3(c) below); or (e) the Executive's decision to terminate employment other than for Good Reason (as defined in Section 3(d) below).</w:t>
      </w:r>
    </w:p>
    <w:p>
      <w:pPr>
        <w:spacing w:after="0" w:line="136" w:lineRule="exact"/>
        <w:rPr>
          <w:sz w:val="20"/>
          <w:szCs w:val="20"/>
          <w:color w:val="auto"/>
        </w:rPr>
      </w:pPr>
    </w:p>
    <w:p>
      <w:pPr>
        <w:jc w:val="both"/>
        <w:ind w:left="8" w:firstLine="833"/>
        <w:spacing w:after="0" w:line="256" w:lineRule="auto"/>
        <w:tabs>
          <w:tab w:leader="none" w:pos="1030" w:val="left"/>
        </w:tabs>
        <w:numPr>
          <w:ilvl w:val="0"/>
          <w:numId w:val="12"/>
        </w:numPr>
        <w:rPr>
          <w:rFonts w:ascii="Arial" w:cs="Arial" w:eastAsia="Arial" w:hAnsi="Arial"/>
          <w:sz w:val="12"/>
          <w:szCs w:val="12"/>
          <w:color w:val="auto"/>
        </w:rPr>
      </w:pPr>
      <w:r>
        <w:rPr>
          <w:rFonts w:ascii="Arial" w:cs="Arial" w:eastAsia="Arial" w:hAnsi="Arial"/>
          <w:sz w:val="12"/>
          <w:szCs w:val="12"/>
          <w:color w:val="auto"/>
        </w:rPr>
        <w:t>Disability. If, as a result of the Executive's incapacity due to physical or mental illness, the Executive shall have been absent from his duties with the Company on a full-time basis for six months and within 30 days after written notice of termination is thereafter given by the Company the Executive shall not have returned to the full-time performance of the Executive's duties, the Company may terminate the Executive for “Disability.”</w:t>
      </w:r>
    </w:p>
    <w:p>
      <w:pPr>
        <w:spacing w:after="0" w:line="134" w:lineRule="exact"/>
        <w:rPr>
          <w:rFonts w:ascii="Arial" w:cs="Arial" w:eastAsia="Arial" w:hAnsi="Arial"/>
          <w:sz w:val="12"/>
          <w:szCs w:val="12"/>
          <w:color w:val="auto"/>
        </w:rPr>
      </w:pPr>
    </w:p>
    <w:p>
      <w:pPr>
        <w:ind w:left="8" w:right="20" w:firstLine="833"/>
        <w:spacing w:after="0" w:line="262" w:lineRule="auto"/>
        <w:tabs>
          <w:tab w:leader="none" w:pos="1035"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Retirement. The term “Retirement” as used in this Agreement shall mean termination by the Company or the Executive of the Executive's employment based on the Executive having attained the age of 65 or such other age as shall have been fixed in any arrangement established with the Executive's consent with respect to the Executive.</w:t>
      </w:r>
    </w:p>
    <w:p>
      <w:pPr>
        <w:spacing w:after="0" w:line="131" w:lineRule="exact"/>
        <w:rPr>
          <w:rFonts w:ascii="Arial" w:cs="Arial" w:eastAsia="Arial" w:hAnsi="Arial"/>
          <w:sz w:val="12"/>
          <w:szCs w:val="12"/>
          <w:color w:val="auto"/>
        </w:rPr>
      </w:pPr>
    </w:p>
    <w:p>
      <w:pPr>
        <w:jc w:val="both"/>
        <w:ind w:left="8" w:firstLine="833"/>
        <w:spacing w:after="0" w:line="252" w:lineRule="auto"/>
        <w:tabs>
          <w:tab w:leader="none" w:pos="1038" w:val="left"/>
        </w:tabs>
        <w:numPr>
          <w:ilvl w:val="0"/>
          <w:numId w:val="12"/>
        </w:numPr>
        <w:rPr>
          <w:rFonts w:ascii="Arial" w:cs="Arial" w:eastAsia="Arial" w:hAnsi="Arial"/>
          <w:sz w:val="12"/>
          <w:szCs w:val="12"/>
          <w:color w:val="auto"/>
        </w:rPr>
      </w:pPr>
      <w:r>
        <w:rPr>
          <w:rFonts w:ascii="Arial" w:cs="Arial" w:eastAsia="Arial" w:hAnsi="Arial"/>
          <w:sz w:val="12"/>
          <w:szCs w:val="12"/>
          <w:color w:val="auto"/>
        </w:rPr>
        <w:t>Cause. The Company may terminate the Executive's employment for Cause. For purposes of this Agreement only, the Company shall have “Cause” to terminate the Executive's employment hereunder only on the basis of (i) fraud, misappropriation or embezzlement on the part of the Executive; or (ii ) intentional misconduct or gross negligence on the part of the Executive which has resulted in material harm to the Company. Notwithstanding the foregoing, the Executive shall not be deemed to have been terminated for Cause unless and until there shall have been delivered to the Executive a copy of a resolution duly adopted by the affirmative vote of not less than three-quarters of the entire membership of the company's Board of Directors at a meeting of the Board called and held for the purpose (after reasonable notice to the Executive and an opportunity for the Executive, together with the Executive's counsel, to be heard before the Board), finding that in the good faith opinion of the Board the Executive was guilty of conduct set forth in the second sentence of this Section 3(c) and specifying the particulars thereof in detail. Nothing herein shall limit the right of the Executive or his beneficiaries to contest the validity or propriety of any such determination.</w:t>
      </w:r>
    </w:p>
    <w:p>
      <w:pPr>
        <w:spacing w:after="0" w:line="138" w:lineRule="exact"/>
        <w:rPr>
          <w:rFonts w:ascii="Arial" w:cs="Arial" w:eastAsia="Arial" w:hAnsi="Arial"/>
          <w:sz w:val="12"/>
          <w:szCs w:val="12"/>
          <w:color w:val="auto"/>
        </w:rPr>
      </w:pPr>
    </w:p>
    <w:p>
      <w:pPr>
        <w:ind w:left="8" w:firstLine="833"/>
        <w:spacing w:after="0" w:line="262" w:lineRule="auto"/>
        <w:tabs>
          <w:tab w:leader="none" w:pos="1039" w:val="left"/>
        </w:tabs>
        <w:numPr>
          <w:ilvl w:val="0"/>
          <w:numId w:val="12"/>
        </w:numPr>
        <w:rPr>
          <w:rFonts w:ascii="Arial" w:cs="Arial" w:eastAsia="Arial" w:hAnsi="Arial"/>
          <w:sz w:val="12"/>
          <w:szCs w:val="12"/>
          <w:color w:val="auto"/>
        </w:rPr>
      </w:pPr>
      <w:r>
        <w:rPr>
          <w:rFonts w:ascii="Arial" w:cs="Arial" w:eastAsia="Arial" w:hAnsi="Arial"/>
          <w:sz w:val="12"/>
          <w:szCs w:val="12"/>
          <w:color w:val="auto"/>
        </w:rPr>
        <w:t>Good Reason. The Executive may terminate the Executive's employment for Good Reason at any time during the term of this Agreement. For purposes of this Agreement “Good Reason” shall mean any of the following (without the Executive's express written consent):</w:t>
      </w:r>
    </w:p>
    <w:p>
      <w:pPr>
        <w:spacing w:after="0" w:line="131" w:lineRule="exact"/>
        <w:rPr>
          <w:rFonts w:ascii="Arial" w:cs="Arial" w:eastAsia="Arial" w:hAnsi="Arial"/>
          <w:sz w:val="12"/>
          <w:szCs w:val="12"/>
          <w:color w:val="auto"/>
        </w:rPr>
      </w:pPr>
    </w:p>
    <w:p>
      <w:pPr>
        <w:jc w:val="both"/>
        <w:ind w:left="548" w:firstLine="833"/>
        <w:spacing w:after="0" w:line="254" w:lineRule="auto"/>
        <w:tabs>
          <w:tab w:leader="none" w:pos="1530" w:val="left"/>
        </w:tabs>
        <w:numPr>
          <w:ilvl w:val="1"/>
          <w:numId w:val="12"/>
        </w:numPr>
        <w:rPr>
          <w:rFonts w:ascii="Arial" w:cs="Arial" w:eastAsia="Arial" w:hAnsi="Arial"/>
          <w:sz w:val="12"/>
          <w:szCs w:val="12"/>
          <w:color w:val="auto"/>
        </w:rPr>
      </w:pPr>
      <w:r>
        <w:rPr>
          <w:rFonts w:ascii="Arial" w:cs="Arial" w:eastAsia="Arial" w:hAnsi="Arial"/>
          <w:sz w:val="12"/>
          <w:szCs w:val="12"/>
          <w:color w:val="auto"/>
        </w:rPr>
        <w:t>the assignment to the Executive by the Company of duties inconsistent with the Executive's position, du ties, responsibilities and status with the Company immediately prior to a Change in Control of the Company, or a change in the Executive's titles or offices as in effect immediately prior to a Change in Control of the Company, or any removal of the Executive from or any failure to re-elect the Executive to any of such positions, except in connection with the termination of his employment for Disability, Retirement or Cause or as a result of the Executive's death or by the Executive other than for good Reason;</w:t>
      </w:r>
    </w:p>
    <w:p>
      <w:pPr>
        <w:spacing w:after="0" w:line="136" w:lineRule="exact"/>
        <w:rPr>
          <w:rFonts w:ascii="Arial" w:cs="Arial" w:eastAsia="Arial" w:hAnsi="Arial"/>
          <w:sz w:val="12"/>
          <w:szCs w:val="12"/>
          <w:color w:val="auto"/>
        </w:rPr>
      </w:pPr>
    </w:p>
    <w:p>
      <w:pPr>
        <w:jc w:val="both"/>
        <w:ind w:left="548" w:firstLine="833"/>
        <w:spacing w:after="0" w:line="256" w:lineRule="auto"/>
        <w:tabs>
          <w:tab w:leader="none" w:pos="1563" w:val="left"/>
        </w:tabs>
        <w:numPr>
          <w:ilvl w:val="1"/>
          <w:numId w:val="12"/>
        </w:numPr>
        <w:rPr>
          <w:rFonts w:ascii="Arial" w:cs="Arial" w:eastAsia="Arial" w:hAnsi="Arial"/>
          <w:sz w:val="12"/>
          <w:szCs w:val="12"/>
          <w:color w:val="auto"/>
        </w:rPr>
      </w:pPr>
      <w:r>
        <w:rPr>
          <w:rFonts w:ascii="Arial" w:cs="Arial" w:eastAsia="Arial" w:hAnsi="Arial"/>
          <w:sz w:val="12"/>
          <w:szCs w:val="12"/>
          <w:color w:val="auto"/>
        </w:rPr>
        <w:t>a reduction by the Company in the Executive's base salary as in effect on the date hereof or as the same may be increased from time to time during th e term of this Agreement or the Company's failure to increase (within 12 months of the Executive's last increase in base salary) the Executive's base salary after a Change in Control of the Company in an amount which at least equals, on a percentage basis, the average percentage increase in base salary for all officers of the company effected in the preceding 12 months.</w:t>
      </w:r>
    </w:p>
    <w:p>
      <w:pPr>
        <w:spacing w:after="0" w:line="134" w:lineRule="exact"/>
        <w:rPr>
          <w:rFonts w:ascii="Arial" w:cs="Arial" w:eastAsia="Arial" w:hAnsi="Arial"/>
          <w:sz w:val="12"/>
          <w:szCs w:val="12"/>
          <w:color w:val="auto"/>
        </w:rPr>
      </w:pPr>
    </w:p>
    <w:p>
      <w:pPr>
        <w:jc w:val="both"/>
        <w:ind w:left="548" w:firstLine="833"/>
        <w:spacing w:after="0" w:line="254" w:lineRule="auto"/>
        <w:tabs>
          <w:tab w:leader="none" w:pos="1584"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failure by the Company to continue in effect any benefit plan or arrangement (including, without limitation, the Company's 401(K) plan, nonqualified deferred compensation plan, profit sharing plan, group life insurance plan, and medical, dental, accident and disability plans) in which t he Executive is participating at the time of a Change of Control (or any other plans providing the Executive with substantially similar benefits) (hereinafter referred to as “Benefit Plans”), or the taking of any action by the Company which would adversely affect the Executive's participation in or materially reduce the Executive's benefits under any such Benefit Plan or deprive the Executive of any material fringe benefit enjoyed by the Executive at the time of a Change in Control of the Company;</w:t>
      </w:r>
    </w:p>
    <w:p>
      <w:pPr>
        <w:spacing w:after="0" w:line="136" w:lineRule="exact"/>
        <w:rPr>
          <w:rFonts w:ascii="Arial" w:cs="Arial" w:eastAsia="Arial" w:hAnsi="Arial"/>
          <w:sz w:val="12"/>
          <w:szCs w:val="12"/>
          <w:color w:val="auto"/>
        </w:rPr>
      </w:pPr>
    </w:p>
    <w:p>
      <w:pPr>
        <w:jc w:val="both"/>
        <w:ind w:left="548" w:firstLine="833"/>
        <w:spacing w:after="0" w:line="253" w:lineRule="auto"/>
        <w:tabs>
          <w:tab w:leader="none" w:pos="1599"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failure by the Company to continue in effect any incentive plan or arrangement (including, without limitation, the Company's Officers Incentive C ompensation Plan, Officers Long-Term Incentive Plan, bonus and contingent bonus arrangements and credits and the right to receive performance awards and similar incentive compensation benefits) in which the Executive is participating at the time of a Change of Control (or any other plans or arrangements providing him with substantially similar benefits) (hereinafter referred to as “Incentive Plans”) or the taking of any action by the Company which would adversely affect the Executive's participation in any such Incentive Plan or materially reduce the Executive's benefits under any such Incentive Plan by reducing such benefits, when expressed as a percentage of his base salary, by more than 10 percentage points in any fiscal year as compared to the immediately preceding fiscal year;</w:t>
      </w:r>
    </w:p>
    <w:p>
      <w:pPr>
        <w:spacing w:after="0" w:line="137" w:lineRule="exact"/>
        <w:rPr>
          <w:rFonts w:ascii="Arial" w:cs="Arial" w:eastAsia="Arial" w:hAnsi="Arial"/>
          <w:sz w:val="12"/>
          <w:szCs w:val="12"/>
          <w:color w:val="auto"/>
        </w:rPr>
      </w:pPr>
    </w:p>
    <w:p>
      <w:pPr>
        <w:jc w:val="both"/>
        <w:ind w:left="548" w:firstLine="833"/>
        <w:spacing w:after="0" w:line="256" w:lineRule="auto"/>
        <w:tabs>
          <w:tab w:leader="none" w:pos="1563"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failure by the Company to continue in effect any plan or arrangement to receive securities of the Company in which the Executive is participating at the time of a Change of Control (or plans or arrangements providing him with substantially similar benefits) (hereinafter referred to as “Securities Plans”) or the taking of any action by the Company which would adversely affect the Executive's participation in or materially reduce the Executive's benefits under any such Securities Plan;</w:t>
      </w:r>
    </w:p>
    <w:p>
      <w:pPr>
        <w:spacing w:after="0" w:line="134" w:lineRule="exact"/>
        <w:rPr>
          <w:rFonts w:ascii="Arial" w:cs="Arial" w:eastAsia="Arial" w:hAnsi="Arial"/>
          <w:sz w:val="12"/>
          <w:szCs w:val="12"/>
          <w:color w:val="auto"/>
        </w:rPr>
      </w:pPr>
    </w:p>
    <w:p>
      <w:pPr>
        <w:jc w:val="both"/>
        <w:ind w:left="548" w:firstLine="833"/>
        <w:spacing w:after="0" w:line="256" w:lineRule="auto"/>
        <w:tabs>
          <w:tab w:leader="none" w:pos="1590" w:val="left"/>
        </w:tabs>
        <w:numPr>
          <w:ilvl w:val="1"/>
          <w:numId w:val="12"/>
        </w:numPr>
        <w:rPr>
          <w:rFonts w:ascii="Arial" w:cs="Arial" w:eastAsia="Arial" w:hAnsi="Arial"/>
          <w:sz w:val="12"/>
          <w:szCs w:val="12"/>
          <w:color w:val="auto"/>
        </w:rPr>
      </w:pPr>
      <w:r>
        <w:rPr>
          <w:rFonts w:ascii="Arial" w:cs="Arial" w:eastAsia="Arial" w:hAnsi="Arial"/>
          <w:sz w:val="12"/>
          <w:szCs w:val="12"/>
          <w:color w:val="auto"/>
        </w:rPr>
        <w:t>a relocation of the Company's principal executive offices to a location outside of Forest City, Iowa, or the Executive's relocation to any place other than the location at which the Executive performed the Executive's duties prior to a Change in Control of the Company, except for required travel by the Executive on the Company's business to an extent substantially consistent with the Executive's business travel obligations at the time of a Change in Control of the Company;</w:t>
      </w:r>
    </w:p>
    <w:p>
      <w:pPr>
        <w:spacing w:after="0" w:line="134" w:lineRule="exact"/>
        <w:rPr>
          <w:rFonts w:ascii="Arial" w:cs="Arial" w:eastAsia="Arial" w:hAnsi="Arial"/>
          <w:sz w:val="12"/>
          <w:szCs w:val="12"/>
          <w:color w:val="auto"/>
        </w:rPr>
      </w:pPr>
    </w:p>
    <w:p>
      <w:pPr>
        <w:ind w:left="1608" w:hanging="227"/>
        <w:spacing w:after="0"/>
        <w:tabs>
          <w:tab w:leader="none" w:pos="160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failure by the Company to provide the Executive with the number of paid vacation days to which the Executive is entitled at the time of a Change in Control of the Company;</w:t>
      </w:r>
    </w:p>
    <w:p>
      <w:pPr>
        <w:spacing w:after="0" w:line="150" w:lineRule="exact"/>
        <w:rPr>
          <w:rFonts w:ascii="Arial" w:cs="Arial" w:eastAsia="Arial" w:hAnsi="Arial"/>
          <w:sz w:val="12"/>
          <w:szCs w:val="12"/>
          <w:color w:val="auto"/>
        </w:rPr>
      </w:pPr>
    </w:p>
    <w:p>
      <w:pPr>
        <w:ind w:left="1628" w:hanging="247"/>
        <w:spacing w:after="0"/>
        <w:tabs>
          <w:tab w:leader="none" w:pos="162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material breach by the Company of any provision of this Agreement;</w:t>
      </w:r>
    </w:p>
    <w:p>
      <w:pPr>
        <w:spacing w:after="0" w:line="150" w:lineRule="exact"/>
        <w:rPr>
          <w:rFonts w:ascii="Arial" w:cs="Arial" w:eastAsia="Arial" w:hAnsi="Arial"/>
          <w:sz w:val="12"/>
          <w:szCs w:val="12"/>
          <w:color w:val="auto"/>
        </w:rPr>
      </w:pPr>
    </w:p>
    <w:p>
      <w:pPr>
        <w:ind w:left="1588" w:hanging="207"/>
        <w:spacing w:after="0"/>
        <w:tabs>
          <w:tab w:leader="none" w:pos="158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failure by the Company to obtain the assumption of this Agreement by any successor or assign of the Company; or</w:t>
      </w:r>
    </w:p>
    <w:p>
      <w:pPr>
        <w:spacing w:after="0" w:line="150" w:lineRule="exact"/>
        <w:rPr>
          <w:rFonts w:ascii="Arial" w:cs="Arial" w:eastAsia="Arial" w:hAnsi="Arial"/>
          <w:sz w:val="12"/>
          <w:szCs w:val="12"/>
          <w:color w:val="auto"/>
        </w:rPr>
      </w:pPr>
    </w:p>
    <w:p>
      <w:pPr>
        <w:ind w:left="1548" w:hanging="167"/>
        <w:spacing w:after="0"/>
        <w:tabs>
          <w:tab w:leader="none" w:pos="1548" w:val="left"/>
        </w:tabs>
        <w:numPr>
          <w:ilvl w:val="1"/>
          <w:numId w:val="12"/>
        </w:numPr>
        <w:rPr>
          <w:rFonts w:ascii="Arial" w:cs="Arial" w:eastAsia="Arial" w:hAnsi="Arial"/>
          <w:sz w:val="12"/>
          <w:szCs w:val="12"/>
          <w:color w:val="auto"/>
        </w:rPr>
      </w:pPr>
      <w:r>
        <w:rPr>
          <w:rFonts w:ascii="Arial" w:cs="Arial" w:eastAsia="Arial" w:hAnsi="Arial"/>
          <w:sz w:val="12"/>
          <w:szCs w:val="12"/>
          <w:color w:val="auto"/>
        </w:rPr>
        <w:t>any purported termination of the Executive's employment which is not effected pursuant to a Notice of Termination satisfying the requirements of Section 3(e) below.</w:t>
      </w:r>
    </w:p>
    <w:p>
      <w:pPr>
        <w:sectPr>
          <w:pgSz w:w="11900" w:h="16838" w:orient="portrait"/>
          <w:cols w:equalWidth="0" w:num="1">
            <w:col w:w="11488"/>
          </w:cols>
          <w:pgMar w:left="212" w:top="414" w:right="199" w:bottom="0" w:gutter="0" w:footer="0" w:header="0"/>
        </w:sectPr>
      </w:pPr>
    </w:p>
    <w:bookmarkStart w:id="13" w:name="page14"/>
    <w:bookmarkEnd w:id="13"/>
    <w:p>
      <w:pPr>
        <w:spacing w:after="0" w:line="68" w:lineRule="exact"/>
        <w:rPr>
          <w:sz w:val="20"/>
          <w:szCs w:val="20"/>
          <w:color w:val="auto"/>
        </w:rPr>
      </w:pPr>
    </w:p>
    <w:p>
      <w:pPr>
        <w:jc w:val="both"/>
        <w:ind w:left="8" w:firstLine="833"/>
        <w:spacing w:after="0" w:line="254" w:lineRule="auto"/>
        <w:tabs>
          <w:tab w:leader="none" w:pos="1047"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Notice of Termination. Any termination by the Company pursuant to Section 3(a), (b) or (c) shall be communicated by a Notice of Termination. For purposes of this Agreement, a “Notice of Termination” shall mean a written notice which shall indicate those specific termination provisions in this Agreement relied upon and which sets forth in reasonable detail the facts and circumstances claimed to provide a basis for termination of the Executive's employment under the provisions so indicated. For purposes of this Agreement, no such purported termination by the Company shall be effective without such Notice of Termination.</w:t>
      </w:r>
    </w:p>
    <w:p>
      <w:pPr>
        <w:spacing w:after="0" w:line="136" w:lineRule="exact"/>
        <w:rPr>
          <w:rFonts w:ascii="Arial" w:cs="Arial" w:eastAsia="Arial" w:hAnsi="Arial"/>
          <w:sz w:val="12"/>
          <w:szCs w:val="12"/>
          <w:color w:val="auto"/>
        </w:rPr>
      </w:pPr>
    </w:p>
    <w:p>
      <w:pPr>
        <w:jc w:val="both"/>
        <w:ind w:left="8" w:firstLine="833"/>
        <w:spacing w:after="0" w:line="253" w:lineRule="auto"/>
        <w:tabs>
          <w:tab w:leader="none" w:pos="996" w:val="left"/>
        </w:tabs>
        <w:numPr>
          <w:ilvl w:val="0"/>
          <w:numId w:val="13"/>
        </w:numPr>
        <w:rPr>
          <w:rFonts w:ascii="Arial" w:cs="Arial" w:eastAsia="Arial" w:hAnsi="Arial"/>
          <w:sz w:val="12"/>
          <w:szCs w:val="12"/>
          <w:color w:val="auto"/>
        </w:rPr>
      </w:pPr>
      <w:r>
        <w:rPr>
          <w:rFonts w:ascii="Arial" w:cs="Arial" w:eastAsia="Arial" w:hAnsi="Arial"/>
          <w:sz w:val="12"/>
          <w:szCs w:val="12"/>
          <w:color w:val="auto"/>
        </w:rPr>
        <w:t>Date of Termination. “Date of Termination” shall mean (a) if this Agreement is terminated by the Company for Disability, 30 days after Notice of Termination is given to the Executive (provided that the Executive shall not have returned to the performance of the Executive's duties on a full-time basis during such 30-day period) or (b) if the Executive's emp loyment is terminated by the Company for any other reason, the date on which a Notice of Termination is given; provided that if within 30 days after any Notice of Termination is given to the Executive by the Company the Executive notified the Company that a dispute exists concerning the termination, the Date of Termination shall be the date the dispute is finally determined, whether by mutual agreement by the parties or upon final judgment, order or decree of a court of competent jurisdiction (the time for appeal therefrom having expired and no appeal having been perfected).</w:t>
      </w:r>
    </w:p>
    <w:p>
      <w:pPr>
        <w:spacing w:after="0" w:line="137" w:lineRule="exact"/>
        <w:rPr>
          <w:sz w:val="20"/>
          <w:szCs w:val="20"/>
          <w:color w:val="auto"/>
        </w:rPr>
      </w:pPr>
    </w:p>
    <w:p>
      <w:pPr>
        <w:jc w:val="both"/>
        <w:ind w:left="8" w:firstLine="833"/>
        <w:spacing w:after="0" w:line="254" w:lineRule="auto"/>
        <w:tabs>
          <w:tab w:leader="none" w:pos="991"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Severance Compensation upon Te rmination of Employment</w:t>
      </w:r>
      <w:r>
        <w:rPr>
          <w:rFonts w:ascii="Arial" w:cs="Arial" w:eastAsia="Arial" w:hAnsi="Arial"/>
          <w:sz w:val="12"/>
          <w:szCs w:val="12"/>
          <w:color w:val="auto"/>
        </w:rPr>
        <w:t>. If the Company shall terminate the Executive's employment other than pursuant to Section 5(a), (b) or (c) or if the Executive shall terminate his employment for Good Reason, then the Company shall pay to the Executive as severance pay in a lump sum, in cash, on the fifth day following the Date of Termination, an amount equal to three (3) times the average of the aggregate annual compensation paid to the Executive during the three (3) fiscal years of the Company immediately preceding the Change of Control by the Company subject to United States income taxes (or, such fewer number of fiscal years if the Executive has not been employed by the Company during each of the preceding three (3) fiscal years).</w:t>
      </w:r>
    </w:p>
    <w:p>
      <w:pPr>
        <w:spacing w:after="0" w:line="136" w:lineRule="exact"/>
        <w:rPr>
          <w:rFonts w:ascii="Arial" w:cs="Arial" w:eastAsia="Arial" w:hAnsi="Arial"/>
          <w:sz w:val="12"/>
          <w:szCs w:val="12"/>
          <w:color w:val="auto"/>
        </w:rPr>
      </w:pPr>
    </w:p>
    <w:p>
      <w:pPr>
        <w:ind w:left="968" w:hanging="127"/>
        <w:spacing w:after="0"/>
        <w:tabs>
          <w:tab w:leader="none" w:pos="968" w:val="left"/>
        </w:tabs>
        <w:numPr>
          <w:ilvl w:val="0"/>
          <w:numId w:val="14"/>
        </w:numPr>
        <w:rPr>
          <w:rFonts w:ascii="Arial" w:cs="Arial" w:eastAsia="Arial" w:hAnsi="Arial"/>
          <w:sz w:val="12"/>
          <w:szCs w:val="12"/>
          <w:color w:val="auto"/>
        </w:rPr>
      </w:pPr>
      <w:r>
        <w:rPr>
          <w:rFonts w:ascii="Arial" w:cs="Arial" w:eastAsia="Arial" w:hAnsi="Arial"/>
          <w:sz w:val="12"/>
          <w:szCs w:val="12"/>
          <w:u w:val="single" w:color="auto"/>
          <w:color w:val="auto"/>
        </w:rPr>
        <w:t>Excise Tax-Additional Payment.</w:t>
      </w:r>
    </w:p>
    <w:p>
      <w:pPr>
        <w:spacing w:after="0" w:line="150" w:lineRule="exact"/>
        <w:rPr>
          <w:sz w:val="20"/>
          <w:szCs w:val="20"/>
          <w:color w:val="auto"/>
        </w:rPr>
      </w:pPr>
    </w:p>
    <w:p>
      <w:pPr>
        <w:jc w:val="both"/>
        <w:ind w:left="8" w:firstLine="833"/>
        <w:spacing w:after="0" w:line="252" w:lineRule="auto"/>
        <w:tabs>
          <w:tab w:leader="none" w:pos="1029" w:val="left"/>
        </w:tabs>
        <w:numPr>
          <w:ilvl w:val="0"/>
          <w:numId w:val="15"/>
        </w:numPr>
        <w:rPr>
          <w:rFonts w:ascii="Arial" w:cs="Arial" w:eastAsia="Arial" w:hAnsi="Arial"/>
          <w:sz w:val="12"/>
          <w:szCs w:val="12"/>
          <w:color w:val="auto"/>
        </w:rPr>
      </w:pPr>
      <w:r>
        <w:rPr>
          <w:rFonts w:ascii="Arial" w:cs="Arial" w:eastAsia="Arial" w:hAnsi="Arial"/>
          <w:sz w:val="12"/>
          <w:szCs w:val="12"/>
          <w:color w:val="auto"/>
        </w:rPr>
        <w:t>Notwithstanding anything in this Agreement or any written or unwritten policy of the Company to the contrary, (i) if it shall be determined that any payment or distribution by the Company to or for the benefit of the Executive, whether paid or payable or distributed or distributable pursuant to the terms of this Agreement, any other agreement between the Company and the Executive or otherwise (a "Payment"), would be subject to the excise tax imposed by section 4999 of the Interna l Revenue Code of 1986, as amended, (the "Code") or any interest or penalties with respect to such excise tax (such excise tax, together with any such interest and penalties, are hereinafter collectively referred to as the "Excise Tax"), or (ii) if the Executive shall otherwise become obligated to pay the Excise Tax in respect of a Payment, then the Company shall pay to the Executive an additional payment (a "Gross-Up Payment") in an amount such that after payment by the Executive of all taxes (including any interest or penalties imposed with respect to such taxes), including any Excise Tax, imposed upon the Gross-Up Payment, the Executive retains an amount of the Gross-Up Payment equal to the Excise Tax imposed upon such Payment.</w:t>
      </w:r>
    </w:p>
    <w:p>
      <w:pPr>
        <w:spacing w:after="0" w:line="139" w:lineRule="exact"/>
        <w:rPr>
          <w:rFonts w:ascii="Arial" w:cs="Arial" w:eastAsia="Arial" w:hAnsi="Arial"/>
          <w:sz w:val="12"/>
          <w:szCs w:val="12"/>
          <w:color w:val="auto"/>
        </w:rPr>
      </w:pPr>
    </w:p>
    <w:p>
      <w:pPr>
        <w:jc w:val="both"/>
        <w:ind w:left="8" w:firstLine="833"/>
        <w:spacing w:after="0" w:line="251" w:lineRule="auto"/>
        <w:tabs>
          <w:tab w:leader="none" w:pos="1032" w:val="left"/>
        </w:tabs>
        <w:numPr>
          <w:ilvl w:val="0"/>
          <w:numId w:val="15"/>
        </w:numPr>
        <w:rPr>
          <w:rFonts w:ascii="Arial" w:cs="Arial" w:eastAsia="Arial" w:hAnsi="Arial"/>
          <w:sz w:val="12"/>
          <w:szCs w:val="12"/>
          <w:color w:val="auto"/>
        </w:rPr>
      </w:pPr>
      <w:r>
        <w:rPr>
          <w:rFonts w:ascii="Arial" w:cs="Arial" w:eastAsia="Arial" w:hAnsi="Arial"/>
          <w:sz w:val="12"/>
          <w:szCs w:val="12"/>
          <w:color w:val="auto"/>
        </w:rPr>
        <w:t>All determinations and computations required to be made under this Section 5, including whether a Gross-Up Payment is required under clause (ii) of paragraph 5(a) above, and the amount of any Gross-Up Payment, shall be made by the Company's regularly engaged independent certified public accountants (the "Accounting Firm"). The Company shall cause the Accounting Firm to provide detailed supporting calculations both to the Company and the Executive within 15 business days after such determination or computation is requested by the Executive. Any initial Gross-Up Payment determined pursuant to this Section 5 shall be paid by the Company to the Executive within 5 days of the receipt of the Accounting Firm's determination. A determination that no Excise Tax is payable by the Executive shall not be valid or binding unless accompanied by a written opinion of the Accounting Firm to the Executive that the Executive has substantial authority not to report any Excise Tax on his federal income tax return. Any determination by the Accounting Firm shall be binding upon the Company and the Executive, except to the extent the Executive becomes obligated to pay an Excise Tax in respect of a Payment. In the event that the Company or the subsidiary exhausts or waives its remedies pursuant to paragraph 5(c) and the Executive thereafter shall become obligated to make a payment of any Excise Tax, and if the amount thereof shall exceed the amount, if any, of any Excise Tax computed by the Accounting Firm pursuant to this paragraph 5(b) in respect to which an initial Gross-Up Payment was made to the Executive, the Accounting Firm shall within 15 days after Notice thereof determine the amount of such excess Excise Tax and the amount of the additional Gross-Up Payment to the Executive. All expenses and fees of the Accounting Firm incurred by reason of this Section 5 shall be paid by the Company.</w:t>
      </w:r>
    </w:p>
    <w:p>
      <w:pPr>
        <w:spacing w:after="0" w:line="142" w:lineRule="exact"/>
        <w:rPr>
          <w:rFonts w:ascii="Arial" w:cs="Arial" w:eastAsia="Arial" w:hAnsi="Arial"/>
          <w:sz w:val="12"/>
          <w:szCs w:val="12"/>
          <w:color w:val="auto"/>
        </w:rPr>
      </w:pPr>
    </w:p>
    <w:p>
      <w:pPr>
        <w:jc w:val="both"/>
        <w:ind w:left="8" w:right="20" w:firstLine="833"/>
        <w:spacing w:after="0" w:line="254" w:lineRule="auto"/>
        <w:tabs>
          <w:tab w:leader="none" w:pos="1037"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Executive shall notify the Company in writing of any claim by the Internal Revenue Service that, if successful, would require the payment by the Company of a Gross-Up Payment. Such notification shall be given as soon as practicable but no later than ten business days after the Executive knows of such claim and shall apprise the Company of the nature of such claim and the date on which such claim is requested to be paid. The Executive shall not pay such claim prior to the expiration of the thirty-day period following the date on which it gives such notice to the Company (or such shorter period ending on the date that any payment of taxes with respect to such claim is due). If the Company notifies the Executive in writing prior to the expiration of such period that it desires to contest such claim, the Executive shall:</w:t>
      </w:r>
    </w:p>
    <w:p>
      <w:pPr>
        <w:spacing w:after="0" w:line="136" w:lineRule="exact"/>
        <w:rPr>
          <w:rFonts w:ascii="Arial" w:cs="Arial" w:eastAsia="Arial" w:hAnsi="Arial"/>
          <w:sz w:val="12"/>
          <w:szCs w:val="12"/>
          <w:color w:val="auto"/>
        </w:rPr>
      </w:pPr>
    </w:p>
    <w:p>
      <w:pPr>
        <w:ind w:left="1408" w:hanging="135"/>
        <w:spacing w:after="0"/>
        <w:tabs>
          <w:tab w:leader="none" w:pos="1408" w:val="left"/>
        </w:tabs>
        <w:numPr>
          <w:ilvl w:val="1"/>
          <w:numId w:val="15"/>
        </w:numPr>
        <w:rPr>
          <w:rFonts w:ascii="Arial" w:cs="Arial" w:eastAsia="Arial" w:hAnsi="Arial"/>
          <w:sz w:val="12"/>
          <w:szCs w:val="12"/>
          <w:color w:val="auto"/>
        </w:rPr>
      </w:pPr>
      <w:r>
        <w:rPr>
          <w:rFonts w:ascii="Arial" w:cs="Arial" w:eastAsia="Arial" w:hAnsi="Arial"/>
          <w:sz w:val="12"/>
          <w:szCs w:val="12"/>
          <w:color w:val="auto"/>
        </w:rPr>
        <w:t>give the Company any information reasonably requested relating to such claim,</w:t>
      </w:r>
    </w:p>
    <w:p>
      <w:pPr>
        <w:spacing w:after="0" w:line="150" w:lineRule="exact"/>
        <w:rPr>
          <w:rFonts w:ascii="Arial" w:cs="Arial" w:eastAsia="Arial" w:hAnsi="Arial"/>
          <w:sz w:val="12"/>
          <w:szCs w:val="12"/>
          <w:color w:val="auto"/>
        </w:rPr>
      </w:pPr>
    </w:p>
    <w:p>
      <w:pPr>
        <w:ind w:left="428" w:firstLine="845"/>
        <w:spacing w:after="0" w:line="262" w:lineRule="auto"/>
        <w:tabs>
          <w:tab w:leader="none" w:pos="1440" w:val="left"/>
        </w:tabs>
        <w:numPr>
          <w:ilvl w:val="1"/>
          <w:numId w:val="15"/>
        </w:numPr>
        <w:rPr>
          <w:rFonts w:ascii="Arial" w:cs="Arial" w:eastAsia="Arial" w:hAnsi="Arial"/>
          <w:sz w:val="12"/>
          <w:szCs w:val="12"/>
          <w:color w:val="auto"/>
        </w:rPr>
      </w:pPr>
      <w:r>
        <w:rPr>
          <w:rFonts w:ascii="Arial" w:cs="Arial" w:eastAsia="Arial" w:hAnsi="Arial"/>
          <w:sz w:val="12"/>
          <w:szCs w:val="12"/>
          <w:color w:val="auto"/>
        </w:rPr>
        <w:t>take such action in connection with contesting such claim as the Company shall reasonably request in writing from time to time, including , without limitation, accepting legal representation with respect to such claim by an attorney reasonably selected by the Company,</w:t>
      </w:r>
    </w:p>
    <w:p>
      <w:pPr>
        <w:spacing w:after="0" w:line="131" w:lineRule="exact"/>
        <w:rPr>
          <w:rFonts w:ascii="Arial" w:cs="Arial" w:eastAsia="Arial" w:hAnsi="Arial"/>
          <w:sz w:val="12"/>
          <w:szCs w:val="12"/>
          <w:color w:val="auto"/>
        </w:rPr>
      </w:pPr>
    </w:p>
    <w:p>
      <w:pPr>
        <w:ind w:left="1468" w:hanging="195"/>
        <w:spacing w:after="0"/>
        <w:tabs>
          <w:tab w:leader="none" w:pos="1468" w:val="left"/>
        </w:tabs>
        <w:numPr>
          <w:ilvl w:val="1"/>
          <w:numId w:val="15"/>
        </w:numPr>
        <w:rPr>
          <w:rFonts w:ascii="Arial" w:cs="Arial" w:eastAsia="Arial" w:hAnsi="Arial"/>
          <w:sz w:val="12"/>
          <w:szCs w:val="12"/>
          <w:color w:val="auto"/>
        </w:rPr>
      </w:pPr>
      <w:r>
        <w:rPr>
          <w:rFonts w:ascii="Arial" w:cs="Arial" w:eastAsia="Arial" w:hAnsi="Arial"/>
          <w:sz w:val="12"/>
          <w:szCs w:val="12"/>
          <w:color w:val="auto"/>
        </w:rPr>
        <w:t>cooperate with the Company in good faith in order effectively to contest such claim, and</w:t>
      </w:r>
    </w:p>
    <w:p>
      <w:pPr>
        <w:spacing w:after="0" w:line="150" w:lineRule="exact"/>
        <w:rPr>
          <w:rFonts w:ascii="Arial" w:cs="Arial" w:eastAsia="Arial" w:hAnsi="Arial"/>
          <w:sz w:val="12"/>
          <w:szCs w:val="12"/>
          <w:color w:val="auto"/>
        </w:rPr>
      </w:pPr>
    </w:p>
    <w:p>
      <w:pPr>
        <w:ind w:left="1468" w:hanging="195"/>
        <w:spacing w:after="0"/>
        <w:tabs>
          <w:tab w:leader="none" w:pos="1468" w:val="left"/>
        </w:tabs>
        <w:numPr>
          <w:ilvl w:val="1"/>
          <w:numId w:val="15"/>
        </w:numPr>
        <w:rPr>
          <w:rFonts w:ascii="Arial" w:cs="Arial" w:eastAsia="Arial" w:hAnsi="Arial"/>
          <w:sz w:val="12"/>
          <w:szCs w:val="12"/>
          <w:color w:val="auto"/>
        </w:rPr>
      </w:pPr>
      <w:r>
        <w:rPr>
          <w:rFonts w:ascii="Arial" w:cs="Arial" w:eastAsia="Arial" w:hAnsi="Arial"/>
          <w:sz w:val="12"/>
          <w:szCs w:val="12"/>
          <w:color w:val="auto"/>
        </w:rPr>
        <w:t>perm it the Company to participate in any proceedings relating to such claim;</w:t>
      </w:r>
    </w:p>
    <w:p>
      <w:pPr>
        <w:spacing w:after="0" w:line="150" w:lineRule="exact"/>
        <w:rPr>
          <w:sz w:val="20"/>
          <w:szCs w:val="20"/>
          <w:color w:val="auto"/>
        </w:rPr>
      </w:pPr>
    </w:p>
    <w:p>
      <w:pPr>
        <w:jc w:val="both"/>
        <w:ind w:left="8"/>
        <w:spacing w:after="0" w:line="251" w:lineRule="auto"/>
        <w:rPr>
          <w:sz w:val="20"/>
          <w:szCs w:val="20"/>
          <w:color w:val="auto"/>
        </w:rPr>
      </w:pPr>
      <w:r>
        <w:rPr>
          <w:rFonts w:ascii="Arial" w:cs="Arial" w:eastAsia="Arial" w:hAnsi="Arial"/>
          <w:sz w:val="12"/>
          <w:szCs w:val="12"/>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paragraph 5(c), the Company shall control all proceedings taken in connection with such contest and, at its sole option, may pursue or forgo any and all administrative appeals, proceedings, hearings and conferences with the taxing aut hority in respect of such claim and may, at its sole option, either direct the Executive to pay the tax claimed and sue for a refund or contest the claim in any permissible manner, and the Executive agrees to prosecute such contest to a determination before any administrative tribunal, in a court of initial jurisdiction and in one or more appellate courts, as the Company or the subsidiary shall determine; provided, however, that if the Company or the subsidiary directs the Executive to pay such claim and sue for a refund, the Company or the subsidiary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statue of limitations relating to payment of taxes for the tax able year of the Executive with respect to which such contested amount is claimed to be due is limited solely to such contested amount. Furthermore, control of the contest by the Company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142" w:lineRule="exact"/>
        <w:rPr>
          <w:sz w:val="20"/>
          <w:szCs w:val="20"/>
          <w:color w:val="auto"/>
        </w:rPr>
      </w:pPr>
    </w:p>
    <w:p>
      <w:pPr>
        <w:jc w:val="both"/>
        <w:ind w:left="8" w:firstLine="833"/>
        <w:spacing w:after="0" w:line="252" w:lineRule="auto"/>
        <w:tabs>
          <w:tab w:leader="none" w:pos="1030" w:val="left"/>
        </w:tabs>
        <w:numPr>
          <w:ilvl w:val="1"/>
          <w:numId w:val="16"/>
        </w:numPr>
        <w:rPr>
          <w:rFonts w:ascii="Arial" w:cs="Arial" w:eastAsia="Arial" w:hAnsi="Arial"/>
          <w:sz w:val="12"/>
          <w:szCs w:val="12"/>
          <w:color w:val="auto"/>
        </w:rPr>
      </w:pPr>
      <w:r>
        <w:rPr>
          <w:rFonts w:ascii="Arial" w:cs="Arial" w:eastAsia="Arial" w:hAnsi="Arial"/>
          <w:sz w:val="12"/>
          <w:szCs w:val="12"/>
          <w:color w:val="auto"/>
        </w:rPr>
        <w:t>If, after the receipt by the Executive of an amount advanced by the Company or the subsidiary pursuant to paragraph 5(c), the Executive becomes entitled to receive any refund with respect to such claim, the Executive shall (subject to compliance w ith the requirements of Section 5 by the Company or the subsidiary) promptly pay to the Company or the subsidiary the amount of such refund (together with any interest paid or credited thereon after taxes applicable thereto). If, after the receipt by the Executive of an amount advanced by the Company or the subsidiary pursuant to paragraph 5(c), a determination is made that the Executive shall not be entitled to any refund with respect to such claim and the Company does not notify the Executive in writing of its intent to contest such denial of refund prior to the expiration of thirty days after such determination, then such advance shall be forgiven and shall not be required to be repaid and the amount of such advance shall off-set, to the extent thereof, the amount of Gross-Up Payment required to be paid.</w:t>
      </w:r>
    </w:p>
    <w:p>
      <w:pPr>
        <w:spacing w:after="0" w:line="139" w:lineRule="exact"/>
        <w:rPr>
          <w:rFonts w:ascii="Arial" w:cs="Arial" w:eastAsia="Arial" w:hAnsi="Arial"/>
          <w:sz w:val="12"/>
          <w:szCs w:val="12"/>
          <w:color w:val="auto"/>
        </w:rPr>
      </w:pPr>
    </w:p>
    <w:p>
      <w:pPr>
        <w:jc w:val="both"/>
        <w:ind w:left="8" w:right="20" w:hanging="8"/>
        <w:spacing w:after="0" w:line="256" w:lineRule="auto"/>
        <w:tabs>
          <w:tab w:leader="none" w:pos="197" w:val="left"/>
        </w:tabs>
        <w:numPr>
          <w:ilvl w:val="0"/>
          <w:numId w:val="17"/>
        </w:numPr>
        <w:rPr>
          <w:rFonts w:ascii="Arial" w:cs="Arial" w:eastAsia="Arial" w:hAnsi="Arial"/>
          <w:sz w:val="12"/>
          <w:szCs w:val="12"/>
          <w:color w:val="auto"/>
        </w:rPr>
      </w:pPr>
      <w:r>
        <w:rPr>
          <w:rFonts w:ascii="Arial" w:cs="Arial" w:eastAsia="Arial" w:hAnsi="Arial"/>
          <w:sz w:val="12"/>
          <w:szCs w:val="12"/>
          <w:color w:val="auto"/>
        </w:rPr>
        <w:t>Both the Company and the Executive acknowledge that no legal right to receive a Gross-Up Payment pursuant to this Section 5 shall exist unless and until such time as an Excise tax has been assessed. The payment of severance benefits pursuant to Section 4 of this Agreement (or the payment of any other benefits under this Agreement) does not create a legal right on behalf of the Executive to receive a Gross-Up Payment.</w:t>
      </w:r>
    </w:p>
    <w:p>
      <w:pPr>
        <w:spacing w:after="0" w:line="135" w:lineRule="exact"/>
        <w:rPr>
          <w:sz w:val="20"/>
          <w:szCs w:val="20"/>
          <w:color w:val="auto"/>
        </w:rPr>
      </w:pPr>
    </w:p>
    <w:p>
      <w:pPr>
        <w:ind w:left="968" w:hanging="127"/>
        <w:spacing w:after="0"/>
        <w:tabs>
          <w:tab w:leader="none" w:pos="968" w:val="left"/>
        </w:tabs>
        <w:numPr>
          <w:ilvl w:val="0"/>
          <w:numId w:val="18"/>
        </w:numPr>
        <w:rPr>
          <w:rFonts w:ascii="Arial" w:cs="Arial" w:eastAsia="Arial" w:hAnsi="Arial"/>
          <w:sz w:val="12"/>
          <w:szCs w:val="12"/>
          <w:color w:val="auto"/>
        </w:rPr>
      </w:pPr>
      <w:r>
        <w:rPr>
          <w:rFonts w:ascii="Arial" w:cs="Arial" w:eastAsia="Arial" w:hAnsi="Arial"/>
          <w:sz w:val="12"/>
          <w:szCs w:val="12"/>
          <w:u w:val="single" w:color="auto"/>
          <w:color w:val="auto"/>
        </w:rPr>
        <w:t>No Obligation To Mitigate Damages; No Effect on Other Contractual Rights</w:t>
      </w:r>
      <w:r>
        <w:rPr>
          <w:rFonts w:ascii="Arial" w:cs="Arial" w:eastAsia="Arial" w:hAnsi="Arial"/>
          <w:sz w:val="12"/>
          <w:szCs w:val="12"/>
          <w:color w:val="auto"/>
        </w:rPr>
        <w:t>.</w:t>
      </w:r>
    </w:p>
    <w:p>
      <w:pPr>
        <w:spacing w:after="0" w:line="150" w:lineRule="exact"/>
        <w:rPr>
          <w:sz w:val="20"/>
          <w:szCs w:val="20"/>
          <w:color w:val="auto"/>
        </w:rPr>
      </w:pPr>
    </w:p>
    <w:p>
      <w:pPr>
        <w:ind w:left="8" w:right="20" w:firstLine="833"/>
        <w:spacing w:after="0" w:line="262" w:lineRule="auto"/>
        <w:tabs>
          <w:tab w:leader="none" w:pos="1034"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Executive shall not be required to mitigate damages or the amount of any payment provided for under this Agreement by seeking other employment or otherwise, nor shall the amount of any payment provided for under this Agreement be reduced by any compensation earned by the Executive as the result of employment by another employer after the Date of Termination, or otherwise.</w:t>
      </w:r>
    </w:p>
    <w:p>
      <w:pPr>
        <w:spacing w:after="0" w:line="131" w:lineRule="exact"/>
        <w:rPr>
          <w:rFonts w:ascii="Arial" w:cs="Arial" w:eastAsia="Arial" w:hAnsi="Arial"/>
          <w:sz w:val="12"/>
          <w:szCs w:val="12"/>
          <w:color w:val="auto"/>
        </w:rPr>
      </w:pPr>
    </w:p>
    <w:p>
      <w:pPr>
        <w:ind w:left="8" w:right="20" w:firstLine="833"/>
        <w:spacing w:after="0" w:line="262" w:lineRule="auto"/>
        <w:tabs>
          <w:tab w:leader="none" w:pos="1034"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provisions of this Agreement, and any payment provided for hereunder, shall not reduce any amounts otherwise payable, or in any way diminish the Executive's existing rights, or rights which would accrue solely as a result of the passage of time, under any Benefit Plan, Incentive Plan or Securities Plan, employment agreements or other contract, plan or arrangement.</w:t>
      </w:r>
    </w:p>
    <w:p>
      <w:pPr>
        <w:spacing w:after="0" w:line="131" w:lineRule="exact"/>
        <w:rPr>
          <w:sz w:val="20"/>
          <w:szCs w:val="20"/>
          <w:color w:val="auto"/>
        </w:rPr>
      </w:pPr>
    </w:p>
    <w:p>
      <w:pPr>
        <w:ind w:left="968" w:hanging="127"/>
        <w:spacing w:after="0"/>
        <w:tabs>
          <w:tab w:leader="none" w:pos="968" w:val="left"/>
        </w:tabs>
        <w:numPr>
          <w:ilvl w:val="0"/>
          <w:numId w:val="20"/>
        </w:numPr>
        <w:rPr>
          <w:rFonts w:ascii="Arial" w:cs="Arial" w:eastAsia="Arial" w:hAnsi="Arial"/>
          <w:sz w:val="12"/>
          <w:szCs w:val="12"/>
          <w:color w:val="auto"/>
        </w:rPr>
      </w:pPr>
      <w:r>
        <w:rPr>
          <w:rFonts w:ascii="Arial" w:cs="Arial" w:eastAsia="Arial" w:hAnsi="Arial"/>
          <w:sz w:val="12"/>
          <w:szCs w:val="12"/>
          <w:u w:val="single" w:color="auto"/>
          <w:color w:val="auto"/>
        </w:rPr>
        <w:t>Successor to the Company</w:t>
      </w:r>
      <w:r>
        <w:rPr>
          <w:rFonts w:ascii="Arial" w:cs="Arial" w:eastAsia="Arial" w:hAnsi="Arial"/>
          <w:sz w:val="12"/>
          <w:szCs w:val="12"/>
          <w:color w:val="auto"/>
        </w:rPr>
        <w:t>.</w:t>
      </w:r>
    </w:p>
    <w:p>
      <w:pPr>
        <w:spacing w:after="0" w:line="150" w:lineRule="exact"/>
        <w:rPr>
          <w:sz w:val="20"/>
          <w:szCs w:val="20"/>
          <w:color w:val="auto"/>
        </w:rPr>
      </w:pPr>
    </w:p>
    <w:p>
      <w:pPr>
        <w:jc w:val="both"/>
        <w:ind w:left="8" w:firstLine="833"/>
        <w:spacing w:after="0" w:line="252" w:lineRule="auto"/>
        <w:tabs>
          <w:tab w:leader="none" w:pos="1046"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Company will require any successor or assign (whether direct or indirect, by purchase, merger, consolidation or otherwise) of all or substantially all of the business and/or assets of the Company, by agreement in form and substance satisfactory to the Executive, expressly, absolutely and unconditionally to assume and agree to perform this Agreement in the same manner and to the same extent that the Company would be required to perform it if no such succession or assignment had taken place. Any failure of the Company to obtain such agreement prior to the effectiveness of any such succession or assignment shall be a material breach of this Agreement and shall entitle the Executive to terminate the Executive's employment for Good Reason. As used in this Agreemen t, “Company” shall mean the Company as hereinbefore defined and any successor or assign to its business and/or assets as aforesaid which executes and delivers the agreement provided for in this Section 7 or which otherwise becomes bound by all the terms and provisions of this Agreement by operation of law.</w:t>
      </w:r>
    </w:p>
    <w:p>
      <w:pPr>
        <w:spacing w:after="0" w:line="139" w:lineRule="exact"/>
        <w:rPr>
          <w:rFonts w:ascii="Arial" w:cs="Arial" w:eastAsia="Arial" w:hAnsi="Arial"/>
          <w:sz w:val="12"/>
          <w:szCs w:val="12"/>
          <w:color w:val="auto"/>
        </w:rPr>
      </w:pPr>
    </w:p>
    <w:p>
      <w:pPr>
        <w:ind w:left="8" w:right="20" w:firstLine="833"/>
        <w:spacing w:after="0" w:line="262" w:lineRule="auto"/>
        <w:tabs>
          <w:tab w:leader="none" w:pos="1047"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This Agreement shall inure to the benefit of and be enforceable by the Executive's personal and legal representatives, executors, administrators, successors, heirs, distributes, devisees and legatees. If the Executive should die while any amounts are still payable to him hereunder, all such amounts, unless otherwise provided herein,</w:t>
      </w:r>
    </w:p>
    <w:p>
      <w:pPr>
        <w:spacing w:after="0" w:line="131" w:lineRule="exact"/>
        <w:rPr>
          <w:sz w:val="20"/>
          <w:szCs w:val="20"/>
          <w:color w:val="auto"/>
        </w:rPr>
      </w:pPr>
    </w:p>
    <w:p>
      <w:pPr>
        <w:ind w:left="8"/>
        <w:spacing w:after="0"/>
        <w:rPr>
          <w:sz w:val="20"/>
          <w:szCs w:val="20"/>
          <w:color w:val="auto"/>
        </w:rPr>
      </w:pPr>
      <w:r>
        <w:rPr>
          <w:rFonts w:ascii="Arial" w:cs="Arial" w:eastAsia="Arial" w:hAnsi="Arial"/>
          <w:sz w:val="12"/>
          <w:szCs w:val="12"/>
          <w:color w:val="auto"/>
        </w:rPr>
        <w:t>shall be paid in accordance with the terms of this Agreement to the Executive's devisee, legatee, or other designee or, if there be no such designee, to the Executive's estate.</w:t>
      </w:r>
    </w:p>
    <w:p>
      <w:pPr>
        <w:spacing w:after="0" w:line="150" w:lineRule="exact"/>
        <w:rPr>
          <w:sz w:val="20"/>
          <w:szCs w:val="20"/>
          <w:color w:val="auto"/>
        </w:rPr>
      </w:pPr>
    </w:p>
    <w:p>
      <w:pPr>
        <w:ind w:left="8" w:firstLine="833"/>
        <w:spacing w:after="0" w:line="262" w:lineRule="auto"/>
        <w:tabs>
          <w:tab w:leader="none" w:pos="991"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No Guaranty of Employment</w:t>
      </w:r>
      <w:r>
        <w:rPr>
          <w:rFonts w:ascii="Arial" w:cs="Arial" w:eastAsia="Arial" w:hAnsi="Arial"/>
          <w:sz w:val="12"/>
          <w:szCs w:val="12"/>
          <w:color w:val="auto"/>
        </w:rPr>
        <w:t>. Nothing in this Agreement shall be deemed to entitle the Executive to continued employment with the Company prior to a Change of Control, and the r ights of the Company to terminate the employment of the Executive, prior to a Change of Control, shall continue as fully as if this Agreement were not in effect.</w:t>
      </w:r>
    </w:p>
    <w:p>
      <w:pPr>
        <w:spacing w:after="0" w:line="131" w:lineRule="exact"/>
        <w:rPr>
          <w:rFonts w:ascii="Arial" w:cs="Arial" w:eastAsia="Arial" w:hAnsi="Arial"/>
          <w:sz w:val="12"/>
          <w:szCs w:val="12"/>
          <w:color w:val="auto"/>
        </w:rPr>
      </w:pPr>
    </w:p>
    <w:p>
      <w:pPr>
        <w:ind w:left="8" w:firstLine="833"/>
        <w:spacing w:after="0" w:line="262" w:lineRule="auto"/>
        <w:tabs>
          <w:tab w:leader="none" w:pos="991" w:val="left"/>
        </w:tabs>
        <w:numPr>
          <w:ilvl w:val="0"/>
          <w:numId w:val="22"/>
        </w:numPr>
        <w:rPr>
          <w:rFonts w:ascii="Arial" w:cs="Arial" w:eastAsia="Arial" w:hAnsi="Arial"/>
          <w:sz w:val="12"/>
          <w:szCs w:val="12"/>
          <w:color w:val="auto"/>
        </w:rPr>
      </w:pPr>
      <w:r>
        <w:rPr>
          <w:rFonts w:ascii="Arial" w:cs="Arial" w:eastAsia="Arial" w:hAnsi="Arial"/>
          <w:sz w:val="12"/>
          <w:szCs w:val="12"/>
          <w:u w:val="single" w:color="auto"/>
          <w:color w:val="auto"/>
        </w:rPr>
        <w:t>Notice</w:t>
      </w:r>
      <w:r>
        <w:rPr>
          <w:rFonts w:ascii="Arial" w:cs="Arial" w:eastAsia="Arial" w:hAnsi="Arial"/>
          <w:sz w:val="12"/>
          <w:szCs w:val="12"/>
          <w:color w:val="auto"/>
        </w:rPr>
        <w:t>. For purposes of this Agreement, notices and all other communications provided for in the Agreement shall be in writing and shall be deemed to have been duly given when delivered or mailed by United States registered mail, return receipt registered, postage prepaid, as follows:</w:t>
      </w:r>
    </w:p>
    <w:p>
      <w:pPr>
        <w:spacing w:after="0" w:line="131" w:lineRule="exact"/>
        <w:rPr>
          <w:sz w:val="20"/>
          <w:szCs w:val="20"/>
          <w:color w:val="auto"/>
        </w:rPr>
      </w:pPr>
    </w:p>
    <w:p>
      <w:pPr>
        <w:ind w:left="848"/>
        <w:spacing w:after="0"/>
        <w:rPr>
          <w:sz w:val="20"/>
          <w:szCs w:val="20"/>
          <w:color w:val="auto"/>
        </w:rPr>
      </w:pPr>
      <w:r>
        <w:rPr>
          <w:rFonts w:ascii="Arial" w:cs="Arial" w:eastAsia="Arial" w:hAnsi="Arial"/>
          <w:sz w:val="12"/>
          <w:szCs w:val="12"/>
          <w:color w:val="auto"/>
        </w:rPr>
        <w:t>If to the Company:</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Winnebago Industries, Inc.</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Attn: General Counsel</w:t>
      </w:r>
    </w:p>
    <w:p>
      <w:pPr>
        <w:spacing w:after="0" w:line="7" w:lineRule="exact"/>
        <w:rPr>
          <w:sz w:val="20"/>
          <w:szCs w:val="20"/>
          <w:color w:val="auto"/>
        </w:rPr>
      </w:pPr>
    </w:p>
    <w:p>
      <w:pPr>
        <w:ind w:left="868"/>
        <w:spacing w:after="0"/>
        <w:rPr>
          <w:sz w:val="20"/>
          <w:szCs w:val="20"/>
          <w:color w:val="auto"/>
        </w:rPr>
      </w:pPr>
      <w:r>
        <w:rPr>
          <w:rFonts w:ascii="Arial" w:cs="Arial" w:eastAsia="Arial" w:hAnsi="Arial"/>
          <w:sz w:val="12"/>
          <w:szCs w:val="12"/>
          <w:color w:val="auto"/>
        </w:rPr>
        <w:t>605 W. Crystal Lake Road</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P.O. Box 152</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Forest City, Iowa 50436</w:t>
      </w:r>
    </w:p>
    <w:p>
      <w:pPr>
        <w:spacing w:after="0" w:line="150" w:lineRule="exact"/>
        <w:rPr>
          <w:sz w:val="20"/>
          <w:szCs w:val="20"/>
          <w:color w:val="auto"/>
        </w:rPr>
      </w:pPr>
    </w:p>
    <w:p>
      <w:pPr>
        <w:ind w:left="848"/>
        <w:spacing w:after="0"/>
        <w:rPr>
          <w:sz w:val="20"/>
          <w:szCs w:val="20"/>
          <w:color w:val="auto"/>
        </w:rPr>
      </w:pPr>
      <w:r>
        <w:rPr>
          <w:rFonts w:ascii="Arial" w:cs="Arial" w:eastAsia="Arial" w:hAnsi="Arial"/>
          <w:sz w:val="12"/>
          <w:szCs w:val="12"/>
          <w:color w:val="auto"/>
        </w:rPr>
        <w:t>If to the Executive:</w:t>
      </w:r>
    </w:p>
    <w:p>
      <w:pPr>
        <w:spacing w:after="0" w:line="150" w:lineRule="exact"/>
        <w:rPr>
          <w:sz w:val="20"/>
          <w:szCs w:val="20"/>
          <w:color w:val="auto"/>
        </w:rPr>
      </w:pPr>
    </w:p>
    <w:p>
      <w:pPr>
        <w:ind w:left="868"/>
        <w:spacing w:after="0"/>
        <w:rPr>
          <w:sz w:val="20"/>
          <w:szCs w:val="20"/>
          <w:color w:val="auto"/>
        </w:rPr>
      </w:pPr>
      <w:r>
        <w:rPr>
          <w:rFonts w:ascii="Arial" w:cs="Arial" w:eastAsia="Arial" w:hAnsi="Arial"/>
          <w:sz w:val="12"/>
          <w:szCs w:val="12"/>
          <w:color w:val="auto"/>
        </w:rPr>
        <w:t>Daryl W. Krieger</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3360 Sage Avenue</w:t>
      </w:r>
    </w:p>
    <w:p>
      <w:pPr>
        <w:spacing w:after="0" w:line="6" w:lineRule="exact"/>
        <w:rPr>
          <w:sz w:val="20"/>
          <w:szCs w:val="20"/>
          <w:color w:val="auto"/>
        </w:rPr>
      </w:pPr>
    </w:p>
    <w:p>
      <w:pPr>
        <w:ind w:left="868"/>
        <w:spacing w:after="0"/>
        <w:rPr>
          <w:sz w:val="20"/>
          <w:szCs w:val="20"/>
          <w:color w:val="auto"/>
        </w:rPr>
      </w:pPr>
      <w:r>
        <w:rPr>
          <w:rFonts w:ascii="Arial" w:cs="Arial" w:eastAsia="Arial" w:hAnsi="Arial"/>
          <w:sz w:val="12"/>
          <w:szCs w:val="12"/>
          <w:color w:val="auto"/>
        </w:rPr>
        <w:t>Forest City, IA 50436</w:t>
      </w:r>
    </w:p>
    <w:p>
      <w:pPr>
        <w:sectPr>
          <w:pgSz w:w="11900" w:h="16906" w:orient="portrait"/>
          <w:cols w:equalWidth="0" w:num="1">
            <w:col w:w="11488"/>
          </w:cols>
          <w:pgMar w:left="212" w:top="283" w:right="199" w:bottom="0" w:gutter="0" w:footer="0" w:header="0"/>
        </w:sectPr>
      </w:pPr>
    </w:p>
    <w:bookmarkStart w:id="14" w:name="page15"/>
    <w:bookmarkEnd w:id="14"/>
    <w:p>
      <w:pPr>
        <w:spacing w:after="0"/>
        <w:rPr>
          <w:sz w:val="20"/>
          <w:szCs w:val="20"/>
          <w:color w:val="auto"/>
        </w:rPr>
      </w:pPr>
      <w:r>
        <w:rPr>
          <w:rFonts w:ascii="Arial" w:cs="Arial" w:eastAsia="Arial" w:hAnsi="Arial"/>
          <w:sz w:val="12"/>
          <w:szCs w:val="12"/>
          <w:color w:val="auto"/>
        </w:rPr>
        <w:t>or such other address as either party may have furnished to the other in writing in accordance herewith, except that notices o f change of address shall be effective only upon receipt.</w:t>
      </w:r>
    </w:p>
    <w:p>
      <w:pPr>
        <w:spacing w:after="0" w:line="150" w:lineRule="exact"/>
        <w:rPr>
          <w:sz w:val="20"/>
          <w:szCs w:val="20"/>
          <w:color w:val="auto"/>
        </w:rPr>
      </w:pPr>
    </w:p>
    <w:p>
      <w:pPr>
        <w:jc w:val="both"/>
        <w:ind w:firstLine="833"/>
        <w:spacing w:after="0" w:line="254" w:lineRule="auto"/>
        <w:tabs>
          <w:tab w:leader="none" w:pos="105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Miscellaneous</w:t>
      </w:r>
      <w:r>
        <w:rPr>
          <w:rFonts w:ascii="Arial" w:cs="Arial" w:eastAsia="Arial" w:hAnsi="Arial"/>
          <w:sz w:val="12"/>
          <w:szCs w:val="12"/>
          <w:color w:val="auto"/>
        </w:rPr>
        <w:t>. No provisions of this Agreement may be modified, waived or discharged unless such waiver, modification or discharge is agreed to in writing signed by the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 ent time. No agreements or representations, oral or otherwise, express or implied, with respect to the subject matter hereof have been made by either party which are not set forth expressly in this Agreement. This Agreement shall be governed by and construed in accordance with the laws of the State of Iowa.</w:t>
      </w:r>
    </w:p>
    <w:p>
      <w:pPr>
        <w:spacing w:after="0" w:line="136" w:lineRule="exact"/>
        <w:rPr>
          <w:rFonts w:ascii="Arial" w:cs="Arial" w:eastAsia="Arial" w:hAnsi="Arial"/>
          <w:sz w:val="12"/>
          <w:szCs w:val="12"/>
          <w:color w:val="auto"/>
        </w:rPr>
      </w:pPr>
    </w:p>
    <w:p>
      <w:pPr>
        <w:ind w:left="1040" w:hanging="207"/>
        <w:spacing w:after="0"/>
        <w:tabs>
          <w:tab w:leader="none" w:pos="104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Validity</w:t>
      </w:r>
      <w:r>
        <w:rPr>
          <w:rFonts w:ascii="Arial" w:cs="Arial" w:eastAsia="Arial" w:hAnsi="Arial"/>
          <w:sz w:val="12"/>
          <w:szCs w:val="12"/>
          <w:color w:val="auto"/>
        </w:rPr>
        <w:t>. The invalidity or unenforceability of any provisions of this Agreement shall not affect the validity or enforceability of any other provision of this Agreement, which shall remain in full force and</w:t>
      </w:r>
    </w:p>
    <w:p>
      <w:pPr>
        <w:spacing w:after="0" w:line="6" w:lineRule="exact"/>
        <w:rPr>
          <w:rFonts w:ascii="Arial" w:cs="Arial" w:eastAsia="Arial" w:hAnsi="Arial"/>
          <w:sz w:val="12"/>
          <w:szCs w:val="12"/>
          <w:color w:val="auto"/>
        </w:rPr>
      </w:pPr>
    </w:p>
    <w:p>
      <w:pPr>
        <w:spacing w:after="0"/>
        <w:rPr>
          <w:rFonts w:ascii="Arial" w:cs="Arial" w:eastAsia="Arial" w:hAnsi="Arial"/>
          <w:sz w:val="12"/>
          <w:szCs w:val="12"/>
          <w:color w:val="auto"/>
        </w:rPr>
      </w:pPr>
      <w:r>
        <w:rPr>
          <w:rFonts w:ascii="Arial" w:cs="Arial" w:eastAsia="Arial" w:hAnsi="Arial"/>
          <w:sz w:val="12"/>
          <w:szCs w:val="12"/>
          <w:color w:val="auto"/>
        </w:rPr>
        <w:t>effect.</w:t>
      </w:r>
    </w:p>
    <w:p>
      <w:pPr>
        <w:spacing w:after="0" w:line="150" w:lineRule="exact"/>
        <w:rPr>
          <w:rFonts w:ascii="Arial" w:cs="Arial" w:eastAsia="Arial" w:hAnsi="Arial"/>
          <w:sz w:val="12"/>
          <w:szCs w:val="12"/>
          <w:color w:val="auto"/>
        </w:rPr>
      </w:pPr>
    </w:p>
    <w:p>
      <w:pPr>
        <w:ind w:left="1040" w:hanging="207"/>
        <w:spacing w:after="0"/>
        <w:tabs>
          <w:tab w:leader="none" w:pos="104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Counterparts</w:t>
      </w:r>
      <w:r>
        <w:rPr>
          <w:rFonts w:ascii="Arial" w:cs="Arial" w:eastAsia="Arial" w:hAnsi="Arial"/>
          <w:sz w:val="12"/>
          <w:szCs w:val="12"/>
          <w:color w:val="auto"/>
        </w:rPr>
        <w:t>. This Agreement may be executed in one or more counterparts, each of which shall be deemed to be an original but all of which together will constitute one and the same instrument.</w:t>
      </w:r>
    </w:p>
    <w:p>
      <w:pPr>
        <w:spacing w:after="0" w:line="150" w:lineRule="exact"/>
        <w:rPr>
          <w:rFonts w:ascii="Arial" w:cs="Arial" w:eastAsia="Arial" w:hAnsi="Arial"/>
          <w:sz w:val="12"/>
          <w:szCs w:val="12"/>
          <w:color w:val="auto"/>
        </w:rPr>
      </w:pPr>
    </w:p>
    <w:p>
      <w:pPr>
        <w:ind w:right="20" w:firstLine="833"/>
        <w:spacing w:after="0" w:line="262" w:lineRule="auto"/>
        <w:tabs>
          <w:tab w:leader="none" w:pos="1041" w:val="left"/>
        </w:tabs>
        <w:numPr>
          <w:ilvl w:val="0"/>
          <w:numId w:val="23"/>
        </w:numPr>
        <w:rPr>
          <w:rFonts w:ascii="Arial" w:cs="Arial" w:eastAsia="Arial" w:hAnsi="Arial"/>
          <w:sz w:val="12"/>
          <w:szCs w:val="12"/>
          <w:color w:val="auto"/>
        </w:rPr>
      </w:pPr>
      <w:r>
        <w:rPr>
          <w:rFonts w:ascii="Arial" w:cs="Arial" w:eastAsia="Arial" w:hAnsi="Arial"/>
          <w:sz w:val="12"/>
          <w:szCs w:val="12"/>
          <w:color w:val="auto"/>
        </w:rPr>
        <w:t>Legal Fees and Expenses. The Company shall pay all legal fees and expenses which the Executive may incur as a result of the Company's contesting the validity, enforceability or the Executive's interpretation of, or determinations under, this Agreement.</w:t>
      </w:r>
    </w:p>
    <w:p>
      <w:pPr>
        <w:spacing w:after="0" w:line="131" w:lineRule="exact"/>
        <w:rPr>
          <w:rFonts w:ascii="Arial" w:cs="Arial" w:eastAsia="Arial" w:hAnsi="Arial"/>
          <w:sz w:val="12"/>
          <w:szCs w:val="12"/>
          <w:color w:val="auto"/>
        </w:rPr>
      </w:pPr>
    </w:p>
    <w:p>
      <w:pPr>
        <w:ind w:firstLine="833"/>
        <w:spacing w:after="0" w:line="262" w:lineRule="auto"/>
        <w:tabs>
          <w:tab w:leader="none" w:pos="1050"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Confidentiality</w:t>
      </w:r>
      <w:r>
        <w:rPr>
          <w:rFonts w:ascii="Arial" w:cs="Arial" w:eastAsia="Arial" w:hAnsi="Arial"/>
          <w:sz w:val="12"/>
          <w:szCs w:val="12"/>
          <w:color w:val="auto"/>
        </w:rPr>
        <w:t>. The Executive shall retain in confidence any and all confidential information known to the Executive concerning the Company and its business so long as such information is not otherwise publicly disclosed.</w:t>
      </w:r>
    </w:p>
    <w:p>
      <w:pPr>
        <w:spacing w:after="0" w:line="131" w:lineRule="exact"/>
        <w:rPr>
          <w:rFonts w:ascii="Arial" w:cs="Arial" w:eastAsia="Arial" w:hAnsi="Arial"/>
          <w:sz w:val="12"/>
          <w:szCs w:val="12"/>
          <w:color w:val="auto"/>
        </w:rPr>
      </w:pPr>
    </w:p>
    <w:p>
      <w:pPr>
        <w:ind w:firstLine="833"/>
        <w:spacing w:after="0" w:line="262" w:lineRule="auto"/>
        <w:tabs>
          <w:tab w:leader="none" w:pos="1041" w:val="left"/>
        </w:tabs>
        <w:numPr>
          <w:ilvl w:val="0"/>
          <w:numId w:val="23"/>
        </w:numPr>
        <w:rPr>
          <w:rFonts w:ascii="Arial" w:cs="Arial" w:eastAsia="Arial" w:hAnsi="Arial"/>
          <w:sz w:val="12"/>
          <w:szCs w:val="12"/>
          <w:color w:val="auto"/>
        </w:rPr>
      </w:pPr>
      <w:r>
        <w:rPr>
          <w:rFonts w:ascii="Arial" w:cs="Arial" w:eastAsia="Arial" w:hAnsi="Arial"/>
          <w:sz w:val="12"/>
          <w:szCs w:val="12"/>
          <w:u w:val="single" w:color="auto"/>
          <w:color w:val="auto"/>
        </w:rPr>
        <w:t>Section 409A</w:t>
      </w:r>
      <w:r>
        <w:rPr>
          <w:rFonts w:ascii="Arial" w:cs="Arial" w:eastAsia="Arial" w:hAnsi="Arial"/>
          <w:sz w:val="12"/>
          <w:szCs w:val="12"/>
          <w:color w:val="auto"/>
        </w:rPr>
        <w:t>. This Agreement is intended to satisfy the short-term deferral exception to Internal Revenue code Section 409A and the regulations thereunder. This Agreement shall be administered accordingly; and if necessary, amended to ensure satisfaction of the short-term deferral exception.</w:t>
      </w:r>
    </w:p>
    <w:p>
      <w:pPr>
        <w:spacing w:after="0" w:line="13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 WITNESS WHEREOF, the parties have executed this agreement on the date set out above.</w:t>
      </w:r>
    </w:p>
    <w:p>
      <w:pPr>
        <w:spacing w:after="0" w:line="294"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COMPANY:</w:t>
      </w:r>
    </w:p>
    <w:p>
      <w:pPr>
        <w:spacing w:after="0" w:line="150"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WINNEBAGO INDUSTRIES, INC.</w:t>
      </w:r>
    </w:p>
    <w:p>
      <w:pPr>
        <w:spacing w:after="0" w:line="200" w:lineRule="exact"/>
        <w:rPr>
          <w:sz w:val="20"/>
          <w:szCs w:val="20"/>
          <w:color w:val="auto"/>
        </w:rPr>
      </w:pPr>
    </w:p>
    <w:p>
      <w:pPr>
        <w:spacing w:after="0" w:line="238" w:lineRule="exact"/>
        <w:rPr>
          <w:sz w:val="20"/>
          <w:szCs w:val="20"/>
          <w:color w:val="auto"/>
        </w:rPr>
      </w:pPr>
    </w:p>
    <w:p>
      <w:pPr>
        <w:ind w:left="2160"/>
        <w:spacing w:after="0"/>
        <w:tabs>
          <w:tab w:leader="none" w:pos="2480" w:val="left"/>
        </w:tabs>
        <w:rPr>
          <w:sz w:val="20"/>
          <w:szCs w:val="20"/>
          <w:color w:val="auto"/>
        </w:rPr>
      </w:pPr>
      <w:r>
        <w:rPr>
          <w:rFonts w:ascii="Arial" w:cs="Arial" w:eastAsia="Arial" w:hAnsi="Arial"/>
          <w:sz w:val="12"/>
          <w:szCs w:val="12"/>
          <w:color w:val="auto"/>
        </w:rPr>
        <w:t>By:</w:t>
        <w:tab/>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1498600</wp:posOffset>
            </wp:positionH>
            <wp:positionV relativeFrom="paragraph">
              <wp:posOffset>-12065</wp:posOffset>
            </wp:positionV>
            <wp:extent cx="190182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901825" cy="571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2"/>
          <w:szCs w:val="12"/>
          <w:color w:val="auto"/>
        </w:rPr>
        <w:t>Robert J. Olson</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2"/>
          <w:szCs w:val="12"/>
          <w:color w:val="auto"/>
        </w:rPr>
        <w:t>Chairman of the Board, Chief Executive Officer</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2"/>
          <w:szCs w:val="12"/>
          <w:color w:val="auto"/>
        </w:rPr>
        <w:t>And President</w:t>
      </w:r>
    </w:p>
    <w:p>
      <w:pPr>
        <w:spacing w:after="0" w:line="294" w:lineRule="exact"/>
        <w:rPr>
          <w:sz w:val="20"/>
          <w:szCs w:val="20"/>
          <w:color w:val="auto"/>
        </w:rPr>
      </w:pPr>
    </w:p>
    <w:p>
      <w:pPr>
        <w:ind w:left="2160"/>
        <w:spacing w:after="0"/>
        <w:rPr>
          <w:sz w:val="20"/>
          <w:szCs w:val="20"/>
          <w:color w:val="auto"/>
        </w:rPr>
      </w:pPr>
      <w:r>
        <w:rPr>
          <w:rFonts w:ascii="Arial" w:cs="Arial" w:eastAsia="Arial" w:hAnsi="Arial"/>
          <w:sz w:val="12"/>
          <w:szCs w:val="12"/>
          <w:color w:val="auto"/>
        </w:rPr>
        <w:t>EXECUTIVE:</w:t>
      </w:r>
    </w:p>
    <w:p>
      <w:pPr>
        <w:spacing w:after="0" w:line="200" w:lineRule="exact"/>
        <w:rPr>
          <w:sz w:val="20"/>
          <w:szCs w:val="20"/>
          <w:color w:val="auto"/>
        </w:rPr>
      </w:pPr>
    </w:p>
    <w:p>
      <w:pPr>
        <w:spacing w:after="0" w:line="238" w:lineRule="exact"/>
        <w:rPr>
          <w:sz w:val="20"/>
          <w:szCs w:val="20"/>
          <w:color w:val="auto"/>
        </w:rPr>
      </w:pPr>
    </w:p>
    <w:p>
      <w:pPr>
        <w:ind w:left="2440"/>
        <w:spacing w:after="0"/>
        <w:rPr>
          <w:sz w:val="20"/>
          <w:szCs w:val="20"/>
          <w:color w:val="auto"/>
        </w:rPr>
      </w:pPr>
      <w:r>
        <w:rPr>
          <w:rFonts w:ascii="Arial" w:cs="Arial" w:eastAsia="Arial" w:hAnsi="Arial"/>
          <w:sz w:val="12"/>
          <w:szCs w:val="12"/>
          <w:color w:val="auto"/>
        </w:rPr>
        <w:t>/s/ Daryl W. Krieger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1470660</wp:posOffset>
            </wp:positionH>
            <wp:positionV relativeFrom="paragraph">
              <wp:posOffset>-12065</wp:posOffset>
            </wp:positionV>
            <wp:extent cx="1884680"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84680" cy="5715"/>
                    </a:xfrm>
                    <a:prstGeom prst="rect">
                      <a:avLst/>
                    </a:prstGeom>
                    <a:noFill/>
                  </pic:spPr>
                </pic:pic>
              </a:graphicData>
            </a:graphic>
          </wp:anchor>
        </w:drawing>
      </w:r>
    </w:p>
    <w:p>
      <w:pPr>
        <w:ind w:left="3000"/>
        <w:spacing w:after="0"/>
        <w:rPr>
          <w:sz w:val="20"/>
          <w:szCs w:val="20"/>
          <w:color w:val="auto"/>
        </w:rPr>
      </w:pPr>
      <w:r>
        <w:rPr>
          <w:rFonts w:ascii="Arial" w:cs="Arial" w:eastAsia="Arial" w:hAnsi="Arial"/>
          <w:sz w:val="12"/>
          <w:szCs w:val="12"/>
          <w:color w:val="auto"/>
        </w:rPr>
        <w:t>Daryl W. Krieger</w:t>
      </w:r>
    </w:p>
    <w:p>
      <w:pPr>
        <w:spacing w:after="0" w:line="6" w:lineRule="exact"/>
        <w:rPr>
          <w:sz w:val="20"/>
          <w:szCs w:val="20"/>
          <w:color w:val="auto"/>
        </w:rPr>
      </w:pPr>
    </w:p>
    <w:p>
      <w:pPr>
        <w:ind w:left="3000"/>
        <w:spacing w:after="0"/>
        <w:rPr>
          <w:sz w:val="20"/>
          <w:szCs w:val="20"/>
          <w:color w:val="auto"/>
        </w:rPr>
      </w:pPr>
      <w:r>
        <w:rPr>
          <w:rFonts w:ascii="Arial" w:cs="Arial" w:eastAsia="Arial" w:hAnsi="Arial"/>
          <w:sz w:val="12"/>
          <w:szCs w:val="12"/>
          <w:color w:val="auto"/>
        </w:rPr>
        <w:t>Vice President, Manufacturing</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ectPr>
          <w:pgSz w:w="11900" w:h="16838" w:orient="portrait"/>
          <w:cols w:equalWidth="0" w:num="1">
            <w:col w:w="11480"/>
          </w:cols>
          <w:pgMar w:left="220" w:top="283" w:right="199" w:bottom="1440" w:gutter="0" w:footer="0" w:header="0"/>
        </w:sectPr>
      </w:pPr>
    </w:p>
    <w:bookmarkStart w:id="15" w:name="page16"/>
    <w:bookmarkEnd w:id="15"/>
    <w:p>
      <w:pPr>
        <w:ind w:left="5340"/>
        <w:spacing w:after="0"/>
        <w:rPr>
          <w:sz w:val="20"/>
          <w:szCs w:val="20"/>
          <w:color w:val="auto"/>
        </w:rPr>
      </w:pPr>
      <w:r>
        <w:rPr>
          <w:rFonts w:ascii="Arial" w:cs="Arial" w:eastAsia="Arial" w:hAnsi="Arial"/>
          <w:sz w:val="14"/>
          <w:szCs w:val="14"/>
          <w:b w:val="1"/>
          <w:bCs w:val="1"/>
          <w:color w:val="auto"/>
        </w:rPr>
        <w:t>Exhibit 31.1</w:t>
      </w:r>
    </w:p>
    <w:p>
      <w:pPr>
        <w:spacing w:after="0" w:line="15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CERTIFICATION BY CHIEF EXECUTIVE OFFICER</w:t>
      </w:r>
    </w:p>
    <w:p>
      <w:pPr>
        <w:spacing w:after="0" w:line="28" w:lineRule="exact"/>
        <w:rPr>
          <w:sz w:val="20"/>
          <w:szCs w:val="20"/>
          <w:color w:val="auto"/>
        </w:rPr>
      </w:pPr>
    </w:p>
    <w:p>
      <w:pPr>
        <w:jc w:val="center"/>
        <w:ind w:right="-119"/>
        <w:spacing w:after="0"/>
        <w:rPr>
          <w:sz w:val="20"/>
          <w:szCs w:val="20"/>
          <w:color w:val="auto"/>
        </w:rPr>
      </w:pPr>
      <w:r>
        <w:rPr>
          <w:rFonts w:ascii="Arial" w:cs="Arial" w:eastAsia="Arial" w:hAnsi="Arial"/>
          <w:sz w:val="14"/>
          <w:szCs w:val="14"/>
          <w:b w:val="1"/>
          <w:bCs w:val="1"/>
          <w:color w:val="auto"/>
        </w:rPr>
        <w:t>PURSUANT TO 18 U.S.C. SECTION 1350,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ADOPTED PURSUANT TO SECTION 302</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 Robert J. Olson, Chief Executive Officer of Winnebago Industries, Inc., certify that:</w:t>
      </w:r>
    </w:p>
    <w:p>
      <w:pPr>
        <w:spacing w:after="0" w:line="42" w:lineRule="exact"/>
        <w:rPr>
          <w:sz w:val="20"/>
          <w:szCs w:val="20"/>
          <w:color w:val="auto"/>
        </w:rPr>
      </w:pPr>
    </w:p>
    <w:p>
      <w:pPr>
        <w:ind w:left="980" w:hanging="493"/>
        <w:spacing w:after="0"/>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Winnebago Industries, Inc. (the "Registrant");</w:t>
      </w:r>
    </w:p>
    <w:p>
      <w:pPr>
        <w:spacing w:after="0" w:line="51" w:lineRule="exact"/>
        <w:rPr>
          <w:rFonts w:ascii="Arial" w:cs="Arial" w:eastAsia="Arial" w:hAnsi="Arial"/>
          <w:sz w:val="12"/>
          <w:szCs w:val="12"/>
          <w:color w:val="auto"/>
        </w:rPr>
      </w:pPr>
    </w:p>
    <w:p>
      <w:pPr>
        <w:ind w:left="980" w:right="340" w:hanging="493"/>
        <w:spacing w:after="0" w:line="246"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31" w:lineRule="exact"/>
        <w:rPr>
          <w:rFonts w:ascii="Arial" w:cs="Arial" w:eastAsia="Arial" w:hAnsi="Arial"/>
          <w:sz w:val="12"/>
          <w:szCs w:val="12"/>
          <w:color w:val="auto"/>
        </w:rPr>
      </w:pPr>
    </w:p>
    <w:p>
      <w:pPr>
        <w:ind w:left="980" w:right="40" w:hanging="493"/>
        <w:spacing w:after="0" w:line="246"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Based on my kno 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2" w:lineRule="exact"/>
        <w:rPr>
          <w:rFonts w:ascii="Arial" w:cs="Arial" w:eastAsia="Arial" w:hAnsi="Arial"/>
          <w:sz w:val="12"/>
          <w:szCs w:val="12"/>
          <w:color w:val="auto"/>
        </w:rPr>
      </w:pPr>
    </w:p>
    <w:p>
      <w:pPr>
        <w:ind w:left="980" w:right="160" w:hanging="493"/>
        <w:spacing w:after="0" w:line="246"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1" w:lineRule="exact"/>
        <w:rPr>
          <w:rFonts w:ascii="Arial" w:cs="Arial" w:eastAsia="Arial" w:hAnsi="Arial"/>
          <w:sz w:val="12"/>
          <w:szCs w:val="12"/>
          <w:color w:val="auto"/>
        </w:rPr>
      </w:pPr>
    </w:p>
    <w:p>
      <w:pPr>
        <w:ind w:left="1180" w:right="100" w:hanging="197"/>
        <w:spacing w:after="0" w:line="246" w:lineRule="auto"/>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32" w:lineRule="exact"/>
        <w:rPr>
          <w:rFonts w:ascii="Arial" w:cs="Arial" w:eastAsia="Arial" w:hAnsi="Arial"/>
          <w:sz w:val="12"/>
          <w:szCs w:val="12"/>
          <w:color w:val="auto"/>
        </w:rPr>
      </w:pPr>
    </w:p>
    <w:p>
      <w:pPr>
        <w:ind w:left="1180" w:right="60" w:hanging="197"/>
        <w:spacing w:after="0" w:line="246" w:lineRule="auto"/>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2" w:lineRule="exact"/>
        <w:rPr>
          <w:rFonts w:ascii="Arial" w:cs="Arial" w:eastAsia="Arial" w:hAnsi="Arial"/>
          <w:sz w:val="12"/>
          <w:szCs w:val="12"/>
          <w:color w:val="auto"/>
        </w:rPr>
      </w:pPr>
    </w:p>
    <w:p>
      <w:pPr>
        <w:ind w:left="1180" w:hanging="197"/>
        <w:spacing w:after="0" w:line="246" w:lineRule="auto"/>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Qua rterly Report our conclusions about the effectiveness of the disclosure controls and procedures, as of end of the period covered by this Quarterly Report based on such evaluation;</w:t>
      </w:r>
    </w:p>
    <w:p>
      <w:pPr>
        <w:spacing w:after="0" w:line="32" w:lineRule="exact"/>
        <w:rPr>
          <w:rFonts w:ascii="Arial" w:cs="Arial" w:eastAsia="Arial" w:hAnsi="Arial"/>
          <w:sz w:val="12"/>
          <w:szCs w:val="12"/>
          <w:color w:val="auto"/>
        </w:rPr>
      </w:pPr>
    </w:p>
    <w:p>
      <w:pPr>
        <w:ind w:left="1180" w:right="180" w:hanging="197"/>
        <w:spacing w:after="0" w:line="246" w:lineRule="auto"/>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w:t>
      </w:r>
    </w:p>
    <w:p>
      <w:pPr>
        <w:spacing w:after="0" w:line="32" w:lineRule="exact"/>
        <w:rPr>
          <w:rFonts w:ascii="Arial" w:cs="Arial" w:eastAsia="Arial" w:hAnsi="Arial"/>
          <w:sz w:val="12"/>
          <w:szCs w:val="12"/>
          <w:color w:val="auto"/>
        </w:rPr>
      </w:pPr>
    </w:p>
    <w:p>
      <w:pPr>
        <w:ind w:left="980" w:right="60" w:hanging="493"/>
        <w:spacing w:after="0" w:line="246" w:lineRule="auto"/>
        <w:tabs>
          <w:tab w:leader="none" w:pos="9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2" w:lineRule="exact"/>
        <w:rPr>
          <w:rFonts w:ascii="Arial" w:cs="Arial" w:eastAsia="Arial" w:hAnsi="Arial"/>
          <w:sz w:val="12"/>
          <w:szCs w:val="12"/>
          <w:color w:val="auto"/>
        </w:rPr>
      </w:pPr>
    </w:p>
    <w:p>
      <w:pPr>
        <w:ind w:left="1180" w:hanging="197"/>
        <w:spacing w:after="0" w:line="246" w:lineRule="auto"/>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 n the design or operation of internal control over financial reporting which are reasonably likely to adversely affect the Registrant's ability to record, process, summarize and report financial information; and</w:t>
      </w:r>
    </w:p>
    <w:p>
      <w:pPr>
        <w:spacing w:after="0" w:line="32" w:lineRule="exact"/>
        <w:rPr>
          <w:rFonts w:ascii="Arial" w:cs="Arial" w:eastAsia="Arial" w:hAnsi="Arial"/>
          <w:sz w:val="12"/>
          <w:szCs w:val="12"/>
          <w:color w:val="auto"/>
        </w:rPr>
      </w:pPr>
    </w:p>
    <w:p>
      <w:pPr>
        <w:ind w:left="1180" w:hanging="197"/>
        <w:spacing w:after="0"/>
        <w:tabs>
          <w:tab w:leader="none" w:pos="1180" w:val="left"/>
        </w:tabs>
        <w:numPr>
          <w:ilvl w:val="1"/>
          <w:numId w:val="24"/>
        </w:numPr>
        <w:rPr>
          <w:rFonts w:ascii="Arial" w:cs="Arial" w:eastAsia="Arial" w:hAnsi="Arial"/>
          <w:sz w:val="12"/>
          <w:szCs w:val="12"/>
          <w:color w:val="auto"/>
        </w:rPr>
      </w:pPr>
      <w:r>
        <w:rPr>
          <w:rFonts w:ascii="Arial" w:cs="Arial" w:eastAsia="Arial" w:hAnsi="Arial"/>
          <w:sz w:val="12"/>
          <w:szCs w:val="12"/>
          <w:color w:val="auto"/>
        </w:rPr>
        <w:t>any fraud, whether or not material, that involved management or other employees who have a significant role in the Registrant's internal control over financial reporting.</w:t>
      </w:r>
    </w:p>
    <w:p>
      <w:pPr>
        <w:spacing w:after="0" w:line="168" w:lineRule="exact"/>
        <w:rPr>
          <w:sz w:val="20"/>
          <w:szCs w:val="20"/>
          <w:color w:val="auto"/>
        </w:rPr>
      </w:pPr>
    </w:p>
    <w:p>
      <w:pPr>
        <w:ind w:left="480"/>
        <w:spacing w:after="0"/>
        <w:tabs>
          <w:tab w:leader="none" w:pos="1180" w:val="left"/>
          <w:tab w:leader="none" w:pos="5020" w:val="left"/>
          <w:tab w:leader="none" w:pos="540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 2010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3397885</wp:posOffset>
            </wp:positionH>
            <wp:positionV relativeFrom="paragraph">
              <wp:posOffset>-635</wp:posOffset>
            </wp:positionV>
            <wp:extent cx="104076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40765" cy="571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-635</wp:posOffset>
            </wp:positionV>
            <wp:extent cx="680720"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0720" cy="5715"/>
                    </a:xfrm>
                    <a:prstGeom prst="rect">
                      <a:avLst/>
                    </a:prstGeom>
                    <a:noFill/>
                  </pic:spPr>
                </pic:pic>
              </a:graphicData>
            </a:graphic>
          </wp:anchor>
        </w:drawing>
      </w:r>
    </w:p>
    <w:p>
      <w:pPr>
        <w:spacing w:after="0" w:line="4"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Robert J. Olson</w:t>
      </w:r>
    </w:p>
    <w:p>
      <w:pPr>
        <w:spacing w:after="0" w:line="6"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360"/>
          </w:cols>
          <w:pgMar w:left="220" w:top="414" w:right="319" w:bottom="1440" w:gutter="0" w:footer="0" w:header="0"/>
        </w:sectPr>
      </w:pPr>
    </w:p>
    <w:bookmarkStart w:id="16" w:name="page17"/>
    <w:bookmarkEnd w:id="16"/>
    <w:p>
      <w:pPr>
        <w:ind w:left="5340"/>
        <w:spacing w:after="0"/>
        <w:rPr>
          <w:sz w:val="20"/>
          <w:szCs w:val="20"/>
          <w:color w:val="auto"/>
        </w:rPr>
      </w:pPr>
      <w:r>
        <w:rPr>
          <w:rFonts w:ascii="Arial" w:cs="Arial" w:eastAsia="Arial" w:hAnsi="Arial"/>
          <w:sz w:val="14"/>
          <w:szCs w:val="14"/>
          <w:b w:val="1"/>
          <w:bCs w:val="1"/>
          <w:color w:val="auto"/>
        </w:rPr>
        <w:t>Exhibit 31.2</w:t>
      </w:r>
    </w:p>
    <w:p>
      <w:pPr>
        <w:spacing w:after="0" w:line="154"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CERTIFICATION BY CHIEF FINANCIAL OFFICER</w:t>
      </w:r>
    </w:p>
    <w:p>
      <w:pPr>
        <w:spacing w:after="0" w:line="28"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18 U.S.C. SECTION 1350,</w:t>
      </w:r>
    </w:p>
    <w:p>
      <w:pPr>
        <w:spacing w:after="0" w:line="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 ADOPTED PURSUANT TO SECTION 302</w:t>
      </w:r>
    </w:p>
    <w:p>
      <w:pPr>
        <w:spacing w:after="0" w:line="10" w:lineRule="exact"/>
        <w:rPr>
          <w:sz w:val="20"/>
          <w:szCs w:val="20"/>
          <w:color w:val="auto"/>
        </w:rPr>
      </w:pPr>
    </w:p>
    <w:p>
      <w:pPr>
        <w:ind w:left="4300"/>
        <w:spacing w:after="0"/>
        <w:rPr>
          <w:sz w:val="20"/>
          <w:szCs w:val="20"/>
          <w:color w:val="auto"/>
        </w:rPr>
      </w:pPr>
      <w:r>
        <w:rPr>
          <w:rFonts w:ascii="Arial" w:cs="Arial" w:eastAsia="Arial" w:hAnsi="Arial"/>
          <w:sz w:val="14"/>
          <w:szCs w:val="14"/>
          <w:b w:val="1"/>
          <w:bCs w:val="1"/>
          <w:color w:val="auto"/>
        </w:rPr>
        <w:t>OF THE SARBANES-OXLEY ACT OF 2002</w:t>
      </w:r>
    </w:p>
    <w:p>
      <w:pPr>
        <w:spacing w:after="0" w:line="158" w:lineRule="exact"/>
        <w:rPr>
          <w:sz w:val="20"/>
          <w:szCs w:val="20"/>
          <w:color w:val="auto"/>
        </w:rPr>
      </w:pPr>
    </w:p>
    <w:p>
      <w:pPr>
        <w:spacing w:after="0"/>
        <w:rPr>
          <w:sz w:val="20"/>
          <w:szCs w:val="20"/>
          <w:color w:val="auto"/>
        </w:rPr>
      </w:pPr>
      <w:r>
        <w:rPr>
          <w:rFonts w:ascii="Arial" w:cs="Arial" w:eastAsia="Arial" w:hAnsi="Arial"/>
          <w:sz w:val="12"/>
          <w:szCs w:val="12"/>
          <w:color w:val="auto"/>
        </w:rPr>
        <w:t>I, Sarah N. Nielsen, Chief Financial Officer of Winnebago Industries, Inc., certify that:</w:t>
      </w:r>
    </w:p>
    <w:p>
      <w:pPr>
        <w:spacing w:after="0" w:line="42" w:lineRule="exact"/>
        <w:rPr>
          <w:sz w:val="20"/>
          <w:szCs w:val="20"/>
          <w:color w:val="auto"/>
        </w:rPr>
      </w:pPr>
    </w:p>
    <w:p>
      <w:pPr>
        <w:ind w:left="1100" w:hanging="550"/>
        <w:spacing w:after="0"/>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I have reviewed this Quarterly Report on Form 10-Q of Winnebago Industries, Inc. (the "Registrant");</w:t>
      </w:r>
    </w:p>
    <w:p>
      <w:pPr>
        <w:spacing w:after="0" w:line="51" w:lineRule="exact"/>
        <w:rPr>
          <w:rFonts w:ascii="Arial" w:cs="Arial" w:eastAsia="Arial" w:hAnsi="Arial"/>
          <w:sz w:val="12"/>
          <w:szCs w:val="12"/>
          <w:color w:val="auto"/>
        </w:rPr>
      </w:pPr>
    </w:p>
    <w:p>
      <w:pPr>
        <w:ind w:left="1100" w:right="300" w:hanging="550"/>
        <w:spacing w:after="0" w:line="246"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32" w:lineRule="exact"/>
        <w:rPr>
          <w:rFonts w:ascii="Arial" w:cs="Arial" w:eastAsia="Arial" w:hAnsi="Arial"/>
          <w:sz w:val="12"/>
          <w:szCs w:val="12"/>
          <w:color w:val="auto"/>
        </w:rPr>
      </w:pPr>
    </w:p>
    <w:p>
      <w:pPr>
        <w:ind w:left="1100" w:right="20" w:hanging="550"/>
        <w:spacing w:after="0" w:line="246"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32" w:lineRule="exact"/>
        <w:rPr>
          <w:rFonts w:ascii="Arial" w:cs="Arial" w:eastAsia="Arial" w:hAnsi="Arial"/>
          <w:sz w:val="12"/>
          <w:szCs w:val="12"/>
          <w:color w:val="auto"/>
        </w:rPr>
      </w:pPr>
    </w:p>
    <w:p>
      <w:pPr>
        <w:ind w:left="1100" w:right="100" w:hanging="550"/>
        <w:spacing w:after="0" w:line="246"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2" w:lineRule="exact"/>
        <w:rPr>
          <w:rFonts w:ascii="Arial" w:cs="Arial" w:eastAsia="Arial" w:hAnsi="Arial"/>
          <w:sz w:val="12"/>
          <w:szCs w:val="12"/>
          <w:color w:val="auto"/>
        </w:rPr>
      </w:pPr>
    </w:p>
    <w:p>
      <w:pPr>
        <w:ind w:left="1300" w:right="60" w:hanging="191"/>
        <w:spacing w:after="0" w:line="246" w:lineRule="auto"/>
        <w:tabs>
          <w:tab w:leader="none" w:pos="1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Quarterly Report is being prepared;</w:t>
      </w:r>
    </w:p>
    <w:p>
      <w:pPr>
        <w:spacing w:after="0" w:line="41" w:lineRule="exact"/>
        <w:rPr>
          <w:rFonts w:ascii="Arial" w:cs="Arial" w:eastAsia="Arial" w:hAnsi="Arial"/>
          <w:sz w:val="12"/>
          <w:szCs w:val="12"/>
          <w:color w:val="auto"/>
        </w:rPr>
      </w:pPr>
    </w:p>
    <w:p>
      <w:pPr>
        <w:ind w:left="1320" w:hanging="211"/>
        <w:spacing w:after="0" w:line="246" w:lineRule="auto"/>
        <w:tabs>
          <w:tab w:leader="none" w:pos="132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1" w:lineRule="exact"/>
        <w:rPr>
          <w:rFonts w:ascii="Arial" w:cs="Arial" w:eastAsia="Arial" w:hAnsi="Arial"/>
          <w:sz w:val="12"/>
          <w:szCs w:val="12"/>
          <w:color w:val="auto"/>
        </w:rPr>
      </w:pPr>
    </w:p>
    <w:p>
      <w:pPr>
        <w:ind w:left="1300" w:right="200" w:hanging="191"/>
        <w:spacing w:after="0" w:line="246" w:lineRule="auto"/>
        <w:tabs>
          <w:tab w:leader="none" w:pos="1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 rols and procedures and presented in this Quarterly Report our conclusions about the effectiveness of the disclosure controls and procedures, as of end of the period covered by this Quarterly Report based on such evaluation;</w:t>
      </w:r>
    </w:p>
    <w:p>
      <w:pPr>
        <w:spacing w:after="0" w:line="32" w:lineRule="exact"/>
        <w:rPr>
          <w:rFonts w:ascii="Arial" w:cs="Arial" w:eastAsia="Arial" w:hAnsi="Arial"/>
          <w:sz w:val="12"/>
          <w:szCs w:val="12"/>
          <w:color w:val="auto"/>
        </w:rPr>
      </w:pPr>
    </w:p>
    <w:p>
      <w:pPr>
        <w:ind w:left="1300" w:right="140" w:hanging="191"/>
        <w:spacing w:after="0" w:line="246" w:lineRule="auto"/>
        <w:tabs>
          <w:tab w:leader="none" w:pos="1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disclosed in this Quarterly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 ng;</w:t>
      </w:r>
    </w:p>
    <w:p>
      <w:pPr>
        <w:spacing w:after="0" w:line="32" w:lineRule="exact"/>
        <w:rPr>
          <w:rFonts w:ascii="Arial" w:cs="Arial" w:eastAsia="Arial" w:hAnsi="Arial"/>
          <w:sz w:val="12"/>
          <w:szCs w:val="12"/>
          <w:color w:val="auto"/>
        </w:rPr>
      </w:pPr>
    </w:p>
    <w:p>
      <w:pPr>
        <w:ind w:left="1100" w:hanging="550"/>
        <w:spacing w:after="0" w:line="246" w:lineRule="auto"/>
        <w:tabs>
          <w:tab w:leader="none" w:pos="110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2" w:lineRule="exact"/>
        <w:rPr>
          <w:rFonts w:ascii="Arial" w:cs="Arial" w:eastAsia="Arial" w:hAnsi="Arial"/>
          <w:sz w:val="12"/>
          <w:szCs w:val="12"/>
          <w:color w:val="auto"/>
        </w:rPr>
      </w:pPr>
    </w:p>
    <w:p>
      <w:pPr>
        <w:ind w:left="1300" w:right="100" w:hanging="191"/>
        <w:spacing w:after="0" w:line="246" w:lineRule="auto"/>
        <w:tabs>
          <w:tab w:leader="none" w:pos="1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all signi 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4" w:lineRule="exact"/>
        <w:rPr>
          <w:rFonts w:ascii="Arial" w:cs="Arial" w:eastAsia="Arial" w:hAnsi="Arial"/>
          <w:sz w:val="12"/>
          <w:szCs w:val="12"/>
          <w:color w:val="auto"/>
        </w:rPr>
      </w:pPr>
    </w:p>
    <w:p>
      <w:pPr>
        <w:ind w:left="1300"/>
        <w:spacing w:after="0"/>
        <w:rPr>
          <w:rFonts w:ascii="Arial" w:cs="Arial" w:eastAsia="Arial" w:hAnsi="Arial"/>
          <w:sz w:val="12"/>
          <w:szCs w:val="12"/>
          <w:color w:val="auto"/>
        </w:rPr>
      </w:pPr>
      <w:r>
        <w:rPr>
          <w:rFonts w:ascii="Arial" w:cs="Arial" w:eastAsia="Arial" w:hAnsi="Arial"/>
          <w:sz w:val="12"/>
          <w:szCs w:val="12"/>
          <w:color w:val="auto"/>
        </w:rPr>
        <w:t>&lt; /td&gt;</w:t>
      </w:r>
    </w:p>
    <w:p>
      <w:pPr>
        <w:spacing w:after="0" w:line="14" w:lineRule="exact"/>
        <w:rPr>
          <w:rFonts w:ascii="Arial" w:cs="Arial" w:eastAsia="Arial" w:hAnsi="Arial"/>
          <w:sz w:val="12"/>
          <w:szCs w:val="12"/>
          <w:color w:val="auto"/>
        </w:rPr>
      </w:pPr>
    </w:p>
    <w:p>
      <w:pPr>
        <w:ind w:left="1300" w:hanging="191"/>
        <w:spacing w:after="0"/>
        <w:tabs>
          <w:tab w:leader="none" w:pos="1300" w:val="left"/>
        </w:tabs>
        <w:numPr>
          <w:ilvl w:val="1"/>
          <w:numId w:val="25"/>
        </w:numPr>
        <w:rPr>
          <w:rFonts w:ascii="Arial" w:cs="Arial" w:eastAsia="Arial" w:hAnsi="Arial"/>
          <w:sz w:val="12"/>
          <w:szCs w:val="12"/>
          <w:color w:val="auto"/>
        </w:rPr>
      </w:pPr>
      <w:r>
        <w:rPr>
          <w:rFonts w:ascii="Arial" w:cs="Arial" w:eastAsia="Arial" w:hAnsi="Arial"/>
          <w:sz w:val="12"/>
          <w:szCs w:val="12"/>
          <w:color w:val="auto"/>
        </w:rPr>
        <w:t>any fraud, whether or not material, that involved management or other employees who have a significant role in the Registrant's internal control over financial reporting.</w:t>
      </w:r>
    </w:p>
    <w:p>
      <w:pPr>
        <w:spacing w:after="0" w:line="168" w:lineRule="exact"/>
        <w:rPr>
          <w:sz w:val="20"/>
          <w:szCs w:val="20"/>
          <w:color w:val="auto"/>
        </w:rPr>
      </w:pPr>
    </w:p>
    <w:p>
      <w:pPr>
        <w:ind w:left="560"/>
        <w:spacing w:after="0"/>
        <w:tabs>
          <w:tab w:leader="none" w:pos="960" w:val="left"/>
          <w:tab w:leader="none" w:pos="5760" w:val="left"/>
          <w:tab w:leader="none" w:pos="6140" w:val="left"/>
        </w:tabs>
        <w:rPr>
          <w:sz w:val="20"/>
          <w:szCs w:val="20"/>
          <w:color w:val="auto"/>
        </w:rPr>
      </w:pPr>
      <w:r>
        <w:rPr>
          <w:rFonts w:ascii="Arial" w:cs="Arial" w:eastAsia="Arial" w:hAnsi="Arial"/>
          <w:sz w:val="12"/>
          <w:szCs w:val="12"/>
          <w:color w:val="auto"/>
        </w:rPr>
        <w:t>Date:</w:t>
        <w:tab/>
        <w:t>July 2, 2010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-635</wp:posOffset>
            </wp:positionV>
            <wp:extent cx="104076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040765" cy="571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-635</wp:posOffset>
            </wp:positionV>
            <wp:extent cx="680720"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0720"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Sarah N. Nielsen</w:t>
      </w:r>
    </w:p>
    <w:p>
      <w:pPr>
        <w:spacing w:after="0" w:line="6"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440"/>
          </w:cols>
          <w:pgMar w:left="220" w:top="414" w:right="2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4"/>
          <w:szCs w:val="14"/>
          <w:b w:val="1"/>
          <w:bCs w:val="1"/>
          <w:color w:val="auto"/>
        </w:rPr>
        <w:t>Exhibit 32.1</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CERTIFICATION PURSUANT TO SECTION 906</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OF THE SARBANES-OXLEY ACT OF 2002</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(18 U.S.C. SECTION 1350)</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 connection with this Quarterly Report on Form 10-Q of Winnebago Industries, Inc. for the period ended May 29, 2010, I, Robert J. Olson, Chairman of the Board, Chief Executive Officer and President of Winnebago Industries, Inc., certify that pursuant to 18 U.S.C. §1350 as adopted pursuant to §906 of the Sarbanes-Oxley Act of 2002, that:</w:t>
      </w:r>
    </w:p>
    <w:p>
      <w:pPr>
        <w:spacing w:after="0" w:line="140" w:lineRule="exact"/>
        <w:rPr>
          <w:sz w:val="20"/>
          <w:szCs w:val="20"/>
          <w:color w:val="auto"/>
        </w:rPr>
      </w:pPr>
    </w:p>
    <w:p>
      <w:pPr>
        <w:ind w:left="1100" w:right="100" w:hanging="550"/>
        <w:spacing w:after="0" w:line="246" w:lineRule="auto"/>
        <w:tabs>
          <w:tab w:leader="none" w:pos="11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This Quarterly Report on Form 10-Q (“periodic report”) of Winnebago Industries, Inc. (the “issuer”), for the quarter ended May 29, 2010 as filed with the Securities and Exchange Commission on the date of this certificate, which this statement accompanies, fully complies with the requirements of Section 13(a) or 15(d) of the Securities Exchange Act of 1934, and</w:t>
      </w:r>
    </w:p>
    <w:p>
      <w:pPr>
        <w:spacing w:after="0" w:line="32" w:lineRule="exact"/>
        <w:rPr>
          <w:rFonts w:ascii="Arial" w:cs="Arial" w:eastAsia="Arial" w:hAnsi="Arial"/>
          <w:sz w:val="12"/>
          <w:szCs w:val="12"/>
          <w:color w:val="auto"/>
        </w:rPr>
      </w:pPr>
    </w:p>
    <w:p>
      <w:pPr>
        <w:ind w:left="1100" w:hanging="550"/>
        <w:spacing w:after="0"/>
        <w:tabs>
          <w:tab w:leader="none" w:pos="1100" w:val="left"/>
        </w:tabs>
        <w:numPr>
          <w:ilvl w:val="0"/>
          <w:numId w:val="26"/>
        </w:numPr>
        <w:rPr>
          <w:rFonts w:ascii="Arial" w:cs="Arial" w:eastAsia="Arial" w:hAnsi="Arial"/>
          <w:sz w:val="12"/>
          <w:szCs w:val="12"/>
          <w:color w:val="auto"/>
        </w:rPr>
      </w:pPr>
      <w:r>
        <w:rPr>
          <w:rFonts w:ascii="Arial" w:cs="Arial" w:eastAsia="Arial" w:hAnsi="Arial"/>
          <w:sz w:val="12"/>
          <w:szCs w:val="12"/>
          <w:color w:val="auto"/>
        </w:rPr>
        <w:t>the information contained in this periodic report fairly represents, in all material respects, the financial condition and results of operations of the issuer.</w:t>
      </w:r>
    </w:p>
    <w:p>
      <w:pPr>
        <w:spacing w:after="0" w:line="312" w:lineRule="exact"/>
        <w:rPr>
          <w:sz w:val="20"/>
          <w:szCs w:val="20"/>
          <w:color w:val="auto"/>
        </w:rPr>
      </w:pPr>
    </w:p>
    <w:p>
      <w:pPr>
        <w:ind w:left="560"/>
        <w:spacing w:after="0"/>
        <w:tabs>
          <w:tab w:leader="none" w:pos="1180" w:val="left"/>
          <w:tab w:leader="none" w:pos="5760" w:val="left"/>
          <w:tab w:leader="none" w:pos="612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 2010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Robert J.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-635</wp:posOffset>
            </wp:positionV>
            <wp:extent cx="104076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0765" cy="571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-635</wp:posOffset>
            </wp:positionV>
            <wp:extent cx="680720"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0720" cy="5715"/>
                    </a:xfrm>
                    <a:prstGeom prst="rect">
                      <a:avLst/>
                    </a:prstGeom>
                    <a:noFill/>
                  </pic:spPr>
                </pic:pic>
              </a:graphicData>
            </a:graphic>
          </wp:anchor>
        </w:drawing>
      </w:r>
    </w:p>
    <w:p>
      <w:pPr>
        <w:ind w:left="6160"/>
        <w:spacing w:after="0"/>
        <w:rPr>
          <w:sz w:val="20"/>
          <w:szCs w:val="20"/>
          <w:color w:val="auto"/>
        </w:rPr>
      </w:pPr>
      <w:r>
        <w:rPr>
          <w:rFonts w:ascii="Arial" w:cs="Arial" w:eastAsia="Arial" w:hAnsi="Arial"/>
          <w:sz w:val="12"/>
          <w:szCs w:val="12"/>
          <w:color w:val="auto"/>
        </w:rPr>
        <w:t>Robert J. Olson</w:t>
      </w:r>
    </w:p>
    <w:p>
      <w:pPr>
        <w:spacing w:after="0" w:line="6"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Chief Executive Officer</w:t>
      </w:r>
    </w:p>
    <w:p>
      <w:pPr>
        <w:sectPr>
          <w:pgSz w:w="11900" w:h="16838" w:orient="portrait"/>
          <w:cols w:equalWidth="0" w:num="1">
            <w:col w:w="11440"/>
          </w:cols>
          <w:pgMar w:left="220" w:top="414" w:right="239" w:bottom="1440" w:gutter="0" w:footer="0" w:header="0"/>
        </w:sectPr>
      </w:pPr>
    </w:p>
    <w:bookmarkStart w:id="18" w:name="page19"/>
    <w:bookmarkEnd w:id="18"/>
    <w:p>
      <w:pPr>
        <w:jc w:val="center"/>
        <w:ind w:right="-99"/>
        <w:spacing w:after="0"/>
        <w:rPr>
          <w:sz w:val="20"/>
          <w:szCs w:val="20"/>
          <w:color w:val="auto"/>
        </w:rPr>
      </w:pPr>
      <w:r>
        <w:rPr>
          <w:rFonts w:ascii="Arial" w:cs="Arial" w:eastAsia="Arial" w:hAnsi="Arial"/>
          <w:sz w:val="14"/>
          <w:szCs w:val="14"/>
          <w:b w:val="1"/>
          <w:bCs w:val="1"/>
          <w:color w:val="auto"/>
        </w:rPr>
        <w:t>Exhibit 32.2</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CERTIFICATION PURSUANT TO SECTION 906</w:t>
      </w:r>
    </w:p>
    <w:p>
      <w:pPr>
        <w:spacing w:after="0" w:line="28"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OF THE SARBANES-OXLEY ACT OF 2002</w:t>
      </w:r>
    </w:p>
    <w:p>
      <w:pPr>
        <w:spacing w:after="0" w:line="10"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(18 U.S.C. SECTION 1350)</w:t>
      </w:r>
    </w:p>
    <w:p>
      <w:pPr>
        <w:spacing w:after="0" w:line="149" w:lineRule="exact"/>
        <w:rPr>
          <w:sz w:val="20"/>
          <w:szCs w:val="20"/>
          <w:color w:val="auto"/>
        </w:rPr>
      </w:pPr>
    </w:p>
    <w:p>
      <w:pPr>
        <w:spacing w:after="0" w:line="262" w:lineRule="auto"/>
        <w:rPr>
          <w:sz w:val="20"/>
          <w:szCs w:val="20"/>
          <w:color w:val="auto"/>
        </w:rPr>
      </w:pPr>
      <w:r>
        <w:rPr>
          <w:rFonts w:ascii="Arial" w:cs="Arial" w:eastAsia="Arial" w:hAnsi="Arial"/>
          <w:sz w:val="12"/>
          <w:szCs w:val="12"/>
          <w:color w:val="auto"/>
        </w:rPr>
        <w:t>In connection with this Quarterly Report on Form 10-Q of Winnebago Industries, Inc. for the period ended May 29, 2010, I, Sarah N. Nielsen, Chief Financial Officer of Winnebago Industries, Inc., certify that pursuant to 18 U.S.C. §1350 as adopted pursuant to §906 of the Sarban es-Oxley Act of 2002, that:</w:t>
      </w:r>
    </w:p>
    <w:p>
      <w:pPr>
        <w:spacing w:after="0" w:line="140" w:lineRule="exact"/>
        <w:rPr>
          <w:sz w:val="20"/>
          <w:szCs w:val="20"/>
          <w:color w:val="auto"/>
        </w:rPr>
      </w:pPr>
    </w:p>
    <w:p>
      <w:pPr>
        <w:ind w:left="1100" w:right="20" w:hanging="550"/>
        <w:spacing w:after="0" w:line="246" w:lineRule="auto"/>
        <w:tabs>
          <w:tab w:leader="none" w:pos="11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This Quarterly Report on Form 10-Q (“periodic report”) of Winnebago Industries, Inc. (the “issuer”), for the quarter ended May 29, 2010 as filed with the Securities and Exchange Commission on the date of this certificate, which this statement accompanies, fully complies with the requirements of Section 13(a) or 15(d) of the Securities Exchange Act of 1934, and</w:t>
      </w:r>
    </w:p>
    <w:p>
      <w:pPr>
        <w:spacing w:after="0" w:line="32" w:lineRule="exact"/>
        <w:rPr>
          <w:rFonts w:ascii="Arial" w:cs="Arial" w:eastAsia="Arial" w:hAnsi="Arial"/>
          <w:sz w:val="12"/>
          <w:szCs w:val="12"/>
          <w:color w:val="auto"/>
        </w:rPr>
      </w:pPr>
    </w:p>
    <w:p>
      <w:pPr>
        <w:ind w:left="1100" w:hanging="550"/>
        <w:spacing w:after="0"/>
        <w:tabs>
          <w:tab w:leader="none" w:pos="110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information contained in this periodic report fairly represents, in all material respects, the financial condition and results of operations of the issuer.</w:t>
      </w:r>
    </w:p>
    <w:p>
      <w:pPr>
        <w:spacing w:after="0" w:line="295" w:lineRule="exact"/>
        <w:rPr>
          <w:sz w:val="20"/>
          <w:szCs w:val="20"/>
          <w:color w:val="auto"/>
        </w:rPr>
      </w:pPr>
    </w:p>
    <w:p>
      <w:pPr>
        <w:ind w:left="560"/>
        <w:spacing w:after="0"/>
        <w:tabs>
          <w:tab w:leader="none" w:pos="1180" w:val="left"/>
          <w:tab w:leader="none" w:pos="5760" w:val="left"/>
          <w:tab w:leader="none" w:pos="6140" w:val="left"/>
        </w:tabs>
        <w:rPr>
          <w:sz w:val="20"/>
          <w:szCs w:val="20"/>
          <w:color w:val="auto"/>
        </w:rPr>
      </w:pPr>
      <w:r>
        <w:rPr>
          <w:rFonts w:ascii="Arial" w:cs="Arial" w:eastAsia="Arial" w:hAnsi="Arial"/>
          <w:sz w:val="12"/>
          <w:szCs w:val="12"/>
          <w:color w:val="auto"/>
        </w:rPr>
        <w:t>Date:</w:t>
      </w:r>
      <w:r>
        <w:rPr>
          <w:sz w:val="20"/>
          <w:szCs w:val="20"/>
          <w:color w:val="auto"/>
        </w:rPr>
        <w:tab/>
      </w:r>
      <w:r>
        <w:rPr>
          <w:rFonts w:ascii="Arial" w:cs="Arial" w:eastAsia="Arial" w:hAnsi="Arial"/>
          <w:sz w:val="12"/>
          <w:szCs w:val="12"/>
          <w:color w:val="auto"/>
        </w:rPr>
        <w:t>July 2, 2010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Sarah N. Nielsen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9525</wp:posOffset>
            </wp:positionV>
            <wp:extent cx="104076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040765" cy="5715"/>
                    </a:xfrm>
                    <a:prstGeom prst="rect">
                      <a:avLst/>
                    </a:prstGeom>
                    <a:noFill/>
                  </pic:spPr>
                </pic:pic>
              </a:graphicData>
            </a:graphic>
          </wp:anchor>
        </w:drawing>
        <w:drawing>
          <wp:anchor simplePos="0" relativeHeight="251657728" behindDoc="1" locked="0" layoutInCell="0" allowOverlap="1">
            <wp:simplePos x="0" y="0"/>
            <wp:positionH relativeFrom="column">
              <wp:posOffset>624205</wp:posOffset>
            </wp:positionH>
            <wp:positionV relativeFrom="paragraph">
              <wp:posOffset>9525</wp:posOffset>
            </wp:positionV>
            <wp:extent cx="680720"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0720" cy="5715"/>
                    </a:xfrm>
                    <a:prstGeom prst="rect">
                      <a:avLst/>
                    </a:prstGeom>
                    <a:noFill/>
                  </pic:spPr>
                </pic:pic>
              </a:graphicData>
            </a:graphic>
          </wp:anchor>
        </w:drawing>
      </w:r>
    </w:p>
    <w:p>
      <w:pPr>
        <w:spacing w:after="0" w:line="12"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Sarah N. Nielsen</w:t>
      </w:r>
    </w:p>
    <w:p>
      <w:pPr>
        <w:spacing w:after="0" w:line="6" w:lineRule="exact"/>
        <w:rPr>
          <w:sz w:val="20"/>
          <w:szCs w:val="20"/>
          <w:color w:val="auto"/>
        </w:rPr>
      </w:pPr>
    </w:p>
    <w:p>
      <w:pPr>
        <w:ind w:left="6160"/>
        <w:spacing w:after="0"/>
        <w:rPr>
          <w:sz w:val="20"/>
          <w:szCs w:val="20"/>
          <w:color w:val="auto"/>
        </w:rPr>
      </w:pPr>
      <w:r>
        <w:rPr>
          <w:rFonts w:ascii="Arial" w:cs="Arial" w:eastAsia="Arial" w:hAnsi="Arial"/>
          <w:sz w:val="12"/>
          <w:szCs w:val="12"/>
          <w:color w:val="auto"/>
        </w:rPr>
        <w:t>Chief Financial Officer</w:t>
      </w:r>
    </w:p>
    <w:p>
      <w:pPr>
        <w:sectPr>
          <w:pgSz w:w="11900" w:h="16838" w:orient="portrait"/>
          <w:cols w:equalWidth="0" w:num="1">
            <w:col w:w="11360"/>
          </w:cols>
          <w:pgMar w:left="220" w:top="414" w:right="319" w:bottom="1440" w:gutter="0" w:footer="0" w:header="0"/>
        </w:sectPr>
      </w:pPr>
    </w:p>
    <w:bookmarkStart w:id="19" w:name="page20"/>
    <w:bookmarkEnd w:id="1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DED7263"/>
    <w:multiLevelType w:val="hybridMultilevel"/>
    <w:lvl w:ilvl="0">
      <w:lvlJc w:val="left"/>
      <w:lvlText w:val="x"/>
      <w:numFmt w:val="bullet"/>
      <w:start w:val="1"/>
    </w:lvl>
  </w:abstractNum>
  <w:abstractNum w:abstractNumId="1">
    <w:nsid w:val="7FDCC233"/>
    <w:multiLevelType w:val="hybridMultilevel"/>
    <w:lvl w:ilvl="0">
      <w:lvlJc w:val="left"/>
      <w:lvlText w:val="o"/>
      <w:numFmt w:val="bullet"/>
      <w:start w:val="1"/>
    </w:lvl>
  </w:abstractNum>
  <w:abstractNum w:abstractNumId="2">
    <w:nsid w:val="1BEFD79F"/>
    <w:multiLevelType w:val="hybridMultilevel"/>
    <w:lvl w:ilvl="0">
      <w:lvlJc w:val="left"/>
      <w:lvlText w:val="&lt;"/>
      <w:numFmt w:val="bullet"/>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lvl w:ilvl="1">
      <w:lvlJc w:val="left"/>
      <w:lvlText w:val="(%2)"/>
      <w:numFmt w:val="decimal"/>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decimal"/>
      <w:start w:val="1"/>
    </w:lvl>
  </w:abstractNum>
  <w:abstractNum w:abstractNumId="9">
    <w:nsid w:val="3F2DBA31"/>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0">
    <w:nsid w:val="7C83E458"/>
    <w:multiLevelType w:val="hybridMultilevel"/>
    <w:lvl w:ilvl="0">
      <w:lvlJc w:val="left"/>
      <w:lvlText w:val="(%1)"/>
      <w:numFmt w:val="lowerLetter"/>
      <w:start w:val="4"/>
    </w:lvl>
    <w:lvl w:ilvl="1">
      <w:lvlJc w:val="left"/>
      <w:lvlText w:val="(%2)"/>
      <w:numFmt w:val="lowerLetter"/>
      <w:start w:val="5"/>
    </w:lvl>
    <w:lvl w:ilvl="2">
      <w:lvlJc w:val="left"/>
      <w:lvlText w:val="%3."/>
      <w:numFmt w:val="decimal"/>
      <w:start w:val="3"/>
    </w:lvl>
  </w:abstractNum>
  <w:abstractNum w:abstractNumId="11">
    <w:nsid w:val="257130A3"/>
    <w:multiLevelType w:val="hybridMultilevel"/>
    <w:lvl w:ilvl="0">
      <w:lvlJc w:val="left"/>
      <w:lvlText w:val="(%1)"/>
      <w:numFmt w:val="lowerLetter"/>
      <w:start w:val="1"/>
    </w:lvl>
    <w:lvl w:ilvl="1">
      <w:lvlJc w:val="left"/>
      <w:lvlText w:val="(%2)"/>
      <w:numFmt w:val="lowerRoman"/>
      <w:start w:val="1"/>
    </w:lvl>
  </w:abstractNum>
  <w:abstractNum w:abstractNumId="12">
    <w:nsid w:val="62BBD95A"/>
    <w:multiLevelType w:val="hybridMultilevel"/>
    <w:lvl w:ilvl="0">
      <w:lvlJc w:val="left"/>
      <w:lvlText w:val="(%1)"/>
      <w:numFmt w:val="lowerLetter"/>
      <w:start w:val="5"/>
    </w:lvl>
  </w:abstractNum>
  <w:abstractNum w:abstractNumId="13">
    <w:nsid w:val="436C6125"/>
    <w:multiLevelType w:val="hybridMultilevel"/>
    <w:lvl w:ilvl="0">
      <w:lvlJc w:val="left"/>
      <w:lvlText w:val="%1."/>
      <w:numFmt w:val="decimal"/>
      <w:start w:val="4"/>
    </w:lvl>
  </w:abstractNum>
  <w:abstractNum w:abstractNumId="14">
    <w:nsid w:val="628C895D"/>
    <w:multiLevelType w:val="hybridMultilevel"/>
    <w:lvl w:ilvl="0">
      <w:lvlJc w:val="left"/>
      <w:lvlText w:val="(%1)"/>
      <w:numFmt w:val="lowerLetter"/>
      <w:start w:val="1"/>
    </w:lvl>
    <w:lvl w:ilvl="1">
      <w:lvlJc w:val="left"/>
      <w:lvlText w:val="(%2)"/>
      <w:numFmt w:val="lowerRoman"/>
      <w:start w:val="1"/>
    </w:lvl>
  </w:abstractNum>
  <w:abstractNum w:abstractNumId="15">
    <w:nsid w:val="333AB105"/>
    <w:multiLevelType w:val="hybridMultilevel"/>
    <w:lvl w:ilvl="0">
      <w:lvlJc w:val="left"/>
      <w:lvlText w:val="%1"/>
      <w:numFmt w:val="lowerLetter"/>
      <w:start w:val="1"/>
    </w:lvl>
    <w:lvl w:ilvl="1">
      <w:lvlJc w:val="left"/>
      <w:lvlText w:val="(%2)"/>
      <w:numFmt w:val="lowerLetter"/>
      <w:start w:val="4"/>
    </w:lvl>
  </w:abstractNum>
  <w:abstractNum w:abstractNumId="16">
    <w:nsid w:val="721DA317"/>
    <w:multiLevelType w:val="hybridMultilevel"/>
    <w:lvl w:ilvl="0">
      <w:lvlJc w:val="left"/>
      <w:lvlText w:val="(%1)"/>
      <w:numFmt w:val="lowerLetter"/>
      <w:start w:val="5"/>
    </w:lvl>
    <w:lvl w:ilvl="1">
      <w:lvlJc w:val="left"/>
      <w:lvlText w:val="%2"/>
      <w:numFmt w:val="lowerLetter"/>
      <w:start w:val="1"/>
    </w:lvl>
  </w:abstractNum>
  <w:abstractNum w:abstractNumId="17">
    <w:nsid w:val="2443A858"/>
    <w:multiLevelType w:val="hybridMultilevel"/>
    <w:lvl w:ilvl="0">
      <w:lvlJc w:val="left"/>
      <w:lvlText w:val="%1."/>
      <w:numFmt w:val="decimal"/>
      <w:start w:val="6"/>
    </w:lvl>
  </w:abstractNum>
  <w:abstractNum w:abstractNumId="18">
    <w:nsid w:val="2D1D5AE9"/>
    <w:multiLevelType w:val="hybridMultilevel"/>
    <w:lvl w:ilvl="0">
      <w:lvlJc w:val="left"/>
      <w:lvlText w:val="(%1)"/>
      <w:numFmt w:val="lowerLetter"/>
      <w:start w:val="1"/>
    </w:lvl>
  </w:abstractNum>
  <w:abstractNum w:abstractNumId="19">
    <w:nsid w:val="6763845E"/>
    <w:multiLevelType w:val="hybridMultilevel"/>
    <w:lvl w:ilvl="0">
      <w:lvlJc w:val="left"/>
      <w:lvlText w:val="%1."/>
      <w:numFmt w:val="decimal"/>
      <w:start w:val="7"/>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decimal"/>
      <w:start w:val="8"/>
    </w:lvl>
  </w:abstractNum>
  <w:abstractNum w:abstractNumId="22">
    <w:nsid w:val="79838CB2"/>
    <w:multiLevelType w:val="hybridMultilevel"/>
    <w:lvl w:ilvl="0">
      <w:lvlJc w:val="left"/>
      <w:lvlText w:val="%1."/>
      <w:numFmt w:val="decimal"/>
      <w:start w:val="10"/>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lowerLetter"/>
      <w:start w:val="1"/>
    </w:lvl>
  </w:abstractNum>
  <w:abstractNum w:abstractNumId="26">
    <w:nsid w:val="54E49EB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2019-12-10T03:58:28Z</dcterms:created>
  <dcterms:modified xsi:type="dcterms:W3CDTF">2019-12-10T03:58:28Z</dcterms:modified>
</cp:coreProperties>
</file>