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March 26,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62"/>
        </w:trPr>
        <w:tc>
          <w:tcPr>
            <w:tcW w:w="3580" w:type="dxa"/>
            <w:vAlign w:val="bottom"/>
          </w:tcPr>
          <w:p>
            <w:pPr>
              <w:jc w:val="center"/>
              <w:ind w:right="584"/>
              <w:spacing w:after="0"/>
              <w:rPr>
                <w:sz w:val="20"/>
                <w:szCs w:val="20"/>
                <w:color w:val="auto"/>
              </w:rPr>
            </w:pPr>
            <w:r>
              <w:rPr>
                <w:rFonts w:ascii="Arial" w:cs="Arial" w:eastAsia="Arial" w:hAnsi="Arial"/>
                <w:sz w:val="22"/>
                <w:szCs w:val="22"/>
                <w:b w:val="1"/>
                <w:bCs w:val="1"/>
                <w:color w:val="auto"/>
                <w:w w:val="93"/>
              </w:rPr>
              <w:t>Iowa</w:t>
            </w:r>
          </w:p>
        </w:tc>
        <w:tc>
          <w:tcPr>
            <w:tcW w:w="3740" w:type="dxa"/>
            <w:vAlign w:val="bottom"/>
          </w:tcPr>
          <w:p>
            <w:pPr>
              <w:jc w:val="right"/>
              <w:ind w:right="1502"/>
              <w:spacing w:after="0"/>
              <w:rPr>
                <w:sz w:val="20"/>
                <w:szCs w:val="20"/>
                <w:color w:val="auto"/>
              </w:rPr>
            </w:pPr>
            <w:r>
              <w:rPr>
                <w:rFonts w:ascii="Arial" w:cs="Arial" w:eastAsia="Arial" w:hAnsi="Arial"/>
                <w:sz w:val="22"/>
                <w:szCs w:val="22"/>
                <w:b w:val="1"/>
                <w:bCs w:val="1"/>
                <w:color w:val="auto"/>
              </w:rPr>
              <w:t>001-06403</w:t>
            </w:r>
          </w:p>
        </w:tc>
        <w:tc>
          <w:tcPr>
            <w:tcW w:w="2380" w:type="dxa"/>
            <w:vAlign w:val="bottom"/>
          </w:tcPr>
          <w:p>
            <w:pPr>
              <w:jc w:val="right"/>
              <w:ind w:right="24"/>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580" w:type="dxa"/>
            <w:vAlign w:val="bottom"/>
          </w:tcPr>
          <w:p>
            <w:pPr>
              <w:jc w:val="center"/>
              <w:ind w:right="604"/>
              <w:spacing w:after="0"/>
              <w:rPr>
                <w:sz w:val="20"/>
                <w:szCs w:val="20"/>
                <w:color w:val="auto"/>
              </w:rPr>
            </w:pPr>
            <w:r>
              <w:rPr>
                <w:rFonts w:ascii="Arial" w:cs="Arial" w:eastAsia="Arial" w:hAnsi="Arial"/>
                <w:sz w:val="18"/>
                <w:szCs w:val="18"/>
                <w:color w:val="auto"/>
                <w:w w:val="89"/>
              </w:rPr>
              <w:t>(State or other jurisdiction</w:t>
            </w:r>
          </w:p>
        </w:tc>
        <w:tc>
          <w:tcPr>
            <w:tcW w:w="3740" w:type="dxa"/>
            <w:vAlign w:val="bottom"/>
          </w:tcPr>
          <w:p>
            <w:pPr>
              <w:jc w:val="center"/>
              <w:ind w:right="302"/>
              <w:spacing w:after="0"/>
              <w:rPr>
                <w:sz w:val="20"/>
                <w:szCs w:val="20"/>
                <w:color w:val="auto"/>
              </w:rPr>
            </w:pPr>
            <w:r>
              <w:rPr>
                <w:rFonts w:ascii="Arial" w:cs="Arial" w:eastAsia="Arial" w:hAnsi="Arial"/>
                <w:sz w:val="18"/>
                <w:szCs w:val="18"/>
                <w:color w:val="auto"/>
                <w:w w:val="90"/>
              </w:rPr>
              <w:t>(Commission File Number)</w:t>
            </w: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0"/>
              </w:rPr>
              <w:t>(IRS Employer</w:t>
            </w:r>
          </w:p>
        </w:tc>
      </w:tr>
      <w:tr>
        <w:trPr>
          <w:trHeight w:val="222"/>
        </w:trPr>
        <w:tc>
          <w:tcPr>
            <w:tcW w:w="3580" w:type="dxa"/>
            <w:vAlign w:val="bottom"/>
          </w:tcPr>
          <w:p>
            <w:pPr>
              <w:jc w:val="center"/>
              <w:ind w:right="604"/>
              <w:spacing w:after="0"/>
              <w:rPr>
                <w:sz w:val="20"/>
                <w:szCs w:val="20"/>
                <w:color w:val="auto"/>
              </w:rPr>
            </w:pPr>
            <w:r>
              <w:rPr>
                <w:rFonts w:ascii="Arial" w:cs="Arial" w:eastAsia="Arial" w:hAnsi="Arial"/>
                <w:sz w:val="18"/>
                <w:szCs w:val="18"/>
                <w:color w:val="auto"/>
                <w:w w:val="92"/>
              </w:rPr>
              <w:t>of incorporation)</w:t>
            </w:r>
          </w:p>
        </w:tc>
        <w:tc>
          <w:tcPr>
            <w:tcW w:w="374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3580" w:type="dxa"/>
            <w:vAlign w:val="bottom"/>
          </w:tcPr>
          <w:p>
            <w:pPr>
              <w:jc w:val="center"/>
              <w:ind w:right="604"/>
              <w:spacing w:after="0"/>
              <w:rPr>
                <w:sz w:val="20"/>
                <w:szCs w:val="20"/>
                <w:color w:val="auto"/>
              </w:rPr>
            </w:pPr>
            <w:r>
              <w:rPr>
                <w:rFonts w:ascii="Arial" w:cs="Arial" w:eastAsia="Arial" w:hAnsi="Arial"/>
                <w:sz w:val="22"/>
                <w:szCs w:val="22"/>
                <w:b w:val="1"/>
                <w:bCs w:val="1"/>
                <w:color w:val="auto"/>
                <w:w w:val="89"/>
              </w:rPr>
              <w:t>P.O. Box 152, Forest City, Iowa</w:t>
            </w:r>
          </w:p>
        </w:tc>
        <w:tc>
          <w:tcPr>
            <w:tcW w:w="374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Arial" w:cs="Arial" w:eastAsia="Arial" w:hAnsi="Arial"/>
                <w:sz w:val="22"/>
                <w:szCs w:val="22"/>
                <w:b w:val="1"/>
                <w:bCs w:val="1"/>
                <w:color w:val="auto"/>
              </w:rPr>
              <w:t>50436</w:t>
            </w:r>
          </w:p>
        </w:tc>
      </w:tr>
      <w:tr>
        <w:trPr>
          <w:trHeight w:val="222"/>
        </w:trPr>
        <w:tc>
          <w:tcPr>
            <w:tcW w:w="3580" w:type="dxa"/>
            <w:vAlign w:val="bottom"/>
          </w:tcPr>
          <w:p>
            <w:pPr>
              <w:jc w:val="center"/>
              <w:ind w:right="584"/>
              <w:spacing w:after="0"/>
              <w:rPr>
                <w:sz w:val="20"/>
                <w:szCs w:val="20"/>
                <w:color w:val="auto"/>
              </w:rPr>
            </w:pPr>
            <w:r>
              <w:rPr>
                <w:rFonts w:ascii="Arial" w:cs="Arial" w:eastAsia="Arial" w:hAnsi="Arial"/>
                <w:sz w:val="18"/>
                <w:szCs w:val="18"/>
                <w:color w:val="auto"/>
                <w:w w:val="90"/>
              </w:rPr>
              <w:t>(Address of principal executive offices)</w:t>
            </w:r>
          </w:p>
        </w:tc>
        <w:tc>
          <w:tcPr>
            <w:tcW w:w="374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641-585-3535</w:t>
      </w:r>
    </w:p>
    <w:p>
      <w:pPr>
        <w:spacing w:after="0" w:line="21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90" w:lineRule="exact"/>
        <w:rPr>
          <w:rFonts w:ascii="Arial" w:cs="Arial" w:eastAsia="Arial" w:hAnsi="Arial"/>
          <w:sz w:val="21"/>
          <w:szCs w:val="21"/>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25"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Amendment No. 1 to the Current Report on Form 8-K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is being filed to correct an error regarding the reported compensation of Robert J. Olson that was set forth in Item 5.02 of the Company’s Current Report on Form 8-K filed on April 1, 2008 (the </w:t>
      </w:r>
      <w:r>
        <w:rPr>
          <w:rFonts w:ascii="Arial" w:cs="Arial" w:eastAsia="Arial" w:hAnsi="Arial"/>
          <w:sz w:val="18"/>
          <w:szCs w:val="18"/>
          <w:i w:val="1"/>
          <w:iCs w:val="1"/>
          <w:color w:val="auto"/>
        </w:rPr>
        <w:t>“Prior</w:t>
      </w:r>
      <w:r>
        <w:rPr>
          <w:rFonts w:ascii="Arial" w:cs="Arial" w:eastAsia="Arial" w:hAnsi="Arial"/>
          <w:sz w:val="18"/>
          <w:szCs w:val="18"/>
          <w:color w:val="auto"/>
        </w:rPr>
        <w:t xml:space="preserve"> </w:t>
      </w:r>
      <w:r>
        <w:rPr>
          <w:rFonts w:ascii="Arial" w:cs="Arial" w:eastAsia="Arial" w:hAnsi="Arial"/>
          <w:sz w:val="18"/>
          <w:szCs w:val="18"/>
          <w:i w:val="1"/>
          <w:iCs w:val="1"/>
          <w:color w:val="auto"/>
        </w:rPr>
        <w:t>Form 8-K”</w:t>
      </w:r>
      <w:r>
        <w:rPr>
          <w:rFonts w:ascii="Arial" w:cs="Arial" w:eastAsia="Arial" w:hAnsi="Arial"/>
          <w:sz w:val="18"/>
          <w:szCs w:val="18"/>
          <w:color w:val="auto"/>
        </w:rPr>
        <w:t>). Mr. Olson’s current base salary is annualized at $364,000. Effective May 5, 2008, his base salary will be increased to $464,000, on an annualized</w:t>
      </w:r>
      <w:r>
        <w:rPr>
          <w:rFonts w:ascii="Arial" w:cs="Arial" w:eastAsia="Arial" w:hAnsi="Arial"/>
          <w:sz w:val="18"/>
          <w:szCs w:val="18"/>
          <w:i w:val="1"/>
          <w:iCs w:val="1"/>
          <w:color w:val="auto"/>
        </w:rPr>
        <w:t xml:space="preserve"> </w:t>
      </w:r>
      <w:r>
        <w:rPr>
          <w:rFonts w:ascii="Arial" w:cs="Arial" w:eastAsia="Arial" w:hAnsi="Arial"/>
          <w:sz w:val="18"/>
          <w:szCs w:val="18"/>
          <w:color w:val="auto"/>
        </w:rPr>
        <w:t>basis. The correct base salaries are reflected in Item 5.02 set forth below. This Amendment No. 1 to the Current Report on Form 8-K amends and restates in its entirely the Prior Form 8-K.</w:t>
      </w:r>
    </w:p>
    <w:p>
      <w:pPr>
        <w:spacing w:after="0" w:line="164" w:lineRule="exact"/>
        <w:rPr>
          <w:sz w:val="24"/>
          <w:szCs w:val="24"/>
          <w:color w:val="auto"/>
        </w:rPr>
      </w:pPr>
    </w:p>
    <w:p>
      <w:pPr>
        <w:jc w:val="both"/>
        <w:ind w:left="1300" w:hanging="1296"/>
        <w:spacing w:after="0" w:line="235" w:lineRule="auto"/>
        <w:tabs>
          <w:tab w:leader="none" w:pos="128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color w:val="auto"/>
        </w:rPr>
        <w:t>Departure of Directors or Certain Officers; Election of Directors; Appointment of Certain Officers; Compensatory Arrangements of Certain Officers.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(a), (b),</w:t>
      </w:r>
    </w:p>
    <w:p>
      <w:pPr>
        <w:spacing w:after="0" w:line="15" w:lineRule="exact"/>
        <w:rPr>
          <w:sz w:val="24"/>
          <w:szCs w:val="24"/>
          <w:color w:val="auto"/>
        </w:rPr>
      </w:pPr>
    </w:p>
    <w:p>
      <w:pPr>
        <w:ind w:left="1300" w:hanging="1292"/>
        <w:spacing w:after="0" w:line="288" w:lineRule="auto"/>
        <w:tabs>
          <w:tab w:leader="none" w:pos="242"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(d)</w:t>
      </w:r>
      <w:r>
        <w:rPr>
          <w:rFonts w:ascii="Arial" w:cs="Arial" w:eastAsia="Arial" w:hAnsi="Arial"/>
          <w:sz w:val="16"/>
          <w:szCs w:val="16"/>
          <w:color w:val="auto"/>
        </w:rPr>
        <w:t xml:space="preserve">On March 26, 2008, the Board of Directors of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accepted the letter of resignation of Bruce Hertzke from the Board and from his position as Chairman of the Board and Chief Executive Officer effective May 5, 2008. Mr. Hertzke will remain an employee of the Company until May 30, 2008. The Board announced the appointment of Robert J. Olson to the Company’s Board of Directors and the election of Mr. Olson to the position of Chairman of the Board and Chief Executive Officer, in addition to his current position of President, also effective May 5, 2008. Information regarding Mr. Olson’s tenure with the Company and his business experience can be found in the Company’s Annual Report on Form 10-K filed with the Securities and Exchange Commission on October 24, 2007, the descriptions of which are incorporated herein by reference.</w:t>
      </w:r>
    </w:p>
    <w:p>
      <w:pPr>
        <w:spacing w:after="0" w:line="177" w:lineRule="exact"/>
        <w:rPr>
          <w:sz w:val="24"/>
          <w:szCs w:val="24"/>
          <w:color w:val="auto"/>
        </w:rPr>
      </w:pPr>
    </w:p>
    <w:p>
      <w:pPr>
        <w:ind w:left="1300"/>
        <w:spacing w:after="0" w:line="370" w:lineRule="auto"/>
        <w:rPr>
          <w:sz w:val="20"/>
          <w:szCs w:val="20"/>
          <w:color w:val="auto"/>
        </w:rPr>
      </w:pPr>
      <w:r>
        <w:rPr>
          <w:rFonts w:ascii="Arial" w:cs="Arial" w:eastAsia="Arial" w:hAnsi="Arial"/>
          <w:sz w:val="15"/>
          <w:szCs w:val="15"/>
          <w:color w:val="auto"/>
        </w:rPr>
        <w:t>In connection with Mr. Olson’s election as Chairman of the Board, Chief Executive Officer and President, his annual salary was increased from $364,000 to $464,000, effective May 5, 2008. On March 27, 2008, the Company issued a press release announcing the election of Mr. Olson to</w:t>
      </w:r>
    </w:p>
    <w:p>
      <w:pPr>
        <w:sectPr>
          <w:pgSz w:w="11900" w:h="16948" w:orient="portrait"/>
          <w:cols w:equalWidth="0" w:num="1">
            <w:col w:w="11420"/>
          </w:cols>
          <w:pgMar w:left="240" w:top="786" w:right="239" w:bottom="0" w:gutter="0" w:footer="0" w:header="0"/>
        </w:sectPr>
      </w:pPr>
    </w:p>
    <w:bookmarkStart w:id="1" w:name="page2"/>
    <w:bookmarkEnd w:id="1"/>
    <w:p>
      <w:pPr>
        <w:ind w:left="1300"/>
        <w:spacing w:after="0" w:line="268" w:lineRule="auto"/>
        <w:rPr>
          <w:sz w:val="20"/>
          <w:szCs w:val="20"/>
          <w:color w:val="auto"/>
        </w:rPr>
      </w:pPr>
      <w:r>
        <w:rPr>
          <w:rFonts w:ascii="Arial" w:cs="Arial" w:eastAsia="Arial" w:hAnsi="Arial"/>
          <w:sz w:val="18"/>
          <w:szCs w:val="18"/>
          <w:color w:val="auto"/>
        </w:rPr>
        <w:t>the position of Chairman of the Board, Chief Executive Officer and President of the Company. The press release is filed as Exhibit 99.1 to this Current Report on Form 8-K.</w:t>
      </w:r>
    </w:p>
    <w:p>
      <w:pPr>
        <w:spacing w:after="0" w:line="186" w:lineRule="exact"/>
        <w:rPr>
          <w:sz w:val="20"/>
          <w:szCs w:val="20"/>
          <w:color w:val="auto"/>
        </w:rPr>
      </w:pPr>
    </w:p>
    <w:p>
      <w:pPr>
        <w:jc w:val="both"/>
        <w:ind w:left="1300" w:hanging="1292"/>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26, 2008, the Board of Directors approved the grant of 20,000 shares of restricted common stock of the Company to Mr. Hertzke in recognition of his contributions to the Company’s success during his 36 years of service with the Company. The restrictions on the stock will lapse on final day of Mr. Hertzke’s employment with the Company, May 30, 2008.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40" w:type="dxa"/>
            <w:vAlign w:val="bottom"/>
          </w:tcPr>
          <w:p>
            <w:pPr>
              <w:jc w:val="right"/>
              <w:ind w:right="5512"/>
              <w:spacing w:after="0"/>
              <w:rPr>
                <w:sz w:val="20"/>
                <w:szCs w:val="20"/>
                <w:color w:val="auto"/>
              </w:rPr>
            </w:pPr>
            <w:r>
              <w:rPr>
                <w:rFonts w:ascii="Arial" w:cs="Arial" w:eastAsia="Arial" w:hAnsi="Arial"/>
                <w:sz w:val="18"/>
                <w:szCs w:val="18"/>
                <w:color w:val="auto"/>
              </w:rPr>
              <w:t>-2-</w:t>
            </w:r>
          </w:p>
        </w:tc>
      </w:tr>
      <w:tr>
        <w:trPr>
          <w:trHeight w:val="377"/>
        </w:trPr>
        <w:tc>
          <w:tcPr>
            <w:tcW w:w="106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gridSpan w:val="2"/>
          </w:tcPr>
          <w:p>
            <w:pPr>
              <w:spacing w:after="0"/>
              <w:rPr>
                <w:sz w:val="24"/>
                <w:szCs w:val="24"/>
                <w:color w:val="auto"/>
              </w:rPr>
            </w:pPr>
          </w:p>
        </w:tc>
      </w:tr>
      <w:tr>
        <w:trPr>
          <w:trHeight w:val="587"/>
        </w:trPr>
        <w:tc>
          <w:tcPr>
            <w:tcW w:w="106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10360" w:type="dxa"/>
            <w:vAlign w:val="bottom"/>
            <w:gridSpan w:val="2"/>
          </w:tcPr>
          <w:p>
            <w:pPr>
              <w:ind w:left="24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34"/>
        </w:trPr>
        <w:tc>
          <w:tcPr>
            <w:tcW w:w="1060" w:type="dxa"/>
            <w:vAlign w:val="bottom"/>
          </w:tcPr>
          <w:p>
            <w:pPr>
              <w:spacing w:after="0"/>
              <w:rPr>
                <w:sz w:val="20"/>
                <w:szCs w:val="20"/>
                <w:color w:val="auto"/>
              </w:rPr>
            </w:pPr>
            <w:r>
              <w:rPr>
                <w:rFonts w:ascii="Arial" w:cs="Arial" w:eastAsia="Arial" w:hAnsi="Arial"/>
                <w:sz w:val="18"/>
                <w:szCs w:val="18"/>
                <w:color w:val="auto"/>
              </w:rPr>
              <w:t>(d)</w:t>
            </w:r>
          </w:p>
        </w:tc>
        <w:tc>
          <w:tcPr>
            <w:tcW w:w="1120" w:type="dxa"/>
            <w:vAlign w:val="bottom"/>
          </w:tcPr>
          <w:p>
            <w:pPr>
              <w:ind w:left="240"/>
              <w:spacing w:after="0"/>
              <w:rPr>
                <w:sz w:val="20"/>
                <w:szCs w:val="20"/>
                <w:color w:val="auto"/>
              </w:rPr>
            </w:pPr>
            <w:r>
              <w:rPr>
                <w:rFonts w:ascii="Arial" w:cs="Arial" w:eastAsia="Arial" w:hAnsi="Arial"/>
                <w:sz w:val="18"/>
                <w:szCs w:val="18"/>
                <w:color w:val="auto"/>
              </w:rPr>
              <w:t>Exhibits</w:t>
            </w:r>
          </w:p>
        </w:tc>
        <w:tc>
          <w:tcPr>
            <w:tcW w:w="9240" w:type="dxa"/>
            <w:vAlign w:val="bottom"/>
          </w:tcPr>
          <w:p>
            <w:pPr>
              <w:spacing w:after="0"/>
              <w:rPr>
                <w:sz w:val="24"/>
                <w:szCs w:val="24"/>
                <w:color w:val="auto"/>
              </w:rPr>
            </w:pPr>
          </w:p>
        </w:tc>
      </w:tr>
      <w:tr>
        <w:trPr>
          <w:trHeight w:val="426"/>
        </w:trPr>
        <w:tc>
          <w:tcPr>
            <w:tcW w:w="106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EXHIBIT</w:t>
            </w:r>
          </w:p>
        </w:tc>
        <w:tc>
          <w:tcPr>
            <w:tcW w:w="924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1120" w:type="dxa"/>
            <w:vAlign w:val="bottom"/>
          </w:tcPr>
          <w:p>
            <w:pPr>
              <w:ind w:left="200"/>
              <w:spacing w:after="0"/>
              <w:rPr>
                <w:sz w:val="20"/>
                <w:szCs w:val="20"/>
                <w:color w:val="auto"/>
              </w:rPr>
            </w:pPr>
            <w:r>
              <w:rPr>
                <w:rFonts w:ascii="Arial" w:cs="Arial" w:eastAsia="Arial" w:hAnsi="Arial"/>
                <w:sz w:val="18"/>
                <w:szCs w:val="18"/>
                <w:color w:val="auto"/>
              </w:rPr>
              <w:t>NUMBER</w:t>
            </w:r>
          </w:p>
        </w:tc>
        <w:tc>
          <w:tcPr>
            <w:tcW w:w="9240" w:type="dxa"/>
            <w:vAlign w:val="bottom"/>
          </w:tcPr>
          <w:p>
            <w:pPr>
              <w:ind w:left="4100"/>
              <w:spacing w:after="0"/>
              <w:rPr>
                <w:sz w:val="20"/>
                <w:szCs w:val="20"/>
                <w:color w:val="auto"/>
              </w:rPr>
            </w:pPr>
            <w:r>
              <w:rPr>
                <w:rFonts w:ascii="Arial" w:cs="Arial" w:eastAsia="Arial" w:hAnsi="Arial"/>
                <w:sz w:val="18"/>
                <w:szCs w:val="18"/>
                <w:color w:val="auto"/>
              </w:rPr>
              <w:t>DESCRIPTION</w:t>
            </w:r>
          </w:p>
        </w:tc>
      </w:tr>
      <w:tr>
        <w:trPr>
          <w:trHeight w:val="358"/>
        </w:trPr>
        <w:tc>
          <w:tcPr>
            <w:tcW w:w="106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99.1</w:t>
            </w:r>
          </w:p>
        </w:tc>
        <w:tc>
          <w:tcPr>
            <w:tcW w:w="9240" w:type="dxa"/>
            <w:vAlign w:val="bottom"/>
          </w:tcPr>
          <w:p>
            <w:pPr>
              <w:ind w:left="200"/>
              <w:spacing w:after="0"/>
              <w:rPr>
                <w:sz w:val="20"/>
                <w:szCs w:val="20"/>
                <w:color w:val="auto"/>
              </w:rPr>
            </w:pPr>
            <w:r>
              <w:rPr>
                <w:rFonts w:ascii="Arial" w:cs="Arial" w:eastAsia="Arial" w:hAnsi="Arial"/>
                <w:sz w:val="18"/>
                <w:szCs w:val="18"/>
                <w:color w:val="auto"/>
                <w:w w:val="96"/>
              </w:rPr>
              <w:t>Press Release of Winnebago Industries, Inc. Announcing Election of Bob Olson to the Position of Chairman, CEO and</w:t>
            </w:r>
          </w:p>
        </w:tc>
      </w:tr>
      <w:tr>
        <w:trPr>
          <w:trHeight w:val="222"/>
        </w:trPr>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President, dated March 27,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-1457960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-1457960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00" w:type="dxa"/>
            <w:vAlign w:val="bottom"/>
          </w:tcPr>
          <w:p>
            <w:pPr>
              <w:spacing w:after="0"/>
              <w:rPr>
                <w:sz w:val="20"/>
                <w:szCs w:val="20"/>
                <w:color w:val="auto"/>
              </w:rPr>
            </w:pPr>
            <w:r>
              <w:rPr>
                <w:rFonts w:ascii="Arial" w:cs="Arial" w:eastAsia="Arial" w:hAnsi="Arial"/>
                <w:sz w:val="18"/>
                <w:szCs w:val="18"/>
                <w:color w:val="auto"/>
              </w:rPr>
              <w:t>Date: April 8, 2008</w:t>
            </w:r>
          </w:p>
        </w:tc>
        <w:tc>
          <w:tcPr>
            <w:tcW w:w="6580" w:type="dxa"/>
            <w:vAlign w:val="bottom"/>
            <w:gridSpan w:val="2"/>
          </w:tcPr>
          <w:p>
            <w:pPr>
              <w:ind w:left="2340"/>
              <w:spacing w:after="0"/>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INNEBAGO</w:t>
            </w:r>
            <w:r>
              <w:rPr>
                <w:rFonts w:ascii="Arial" w:cs="Arial" w:eastAsia="Arial" w:hAnsi="Arial"/>
                <w:sz w:val="22"/>
                <w:szCs w:val="22"/>
                <w:color w:val="auto"/>
              </w:rPr>
              <w:t xml:space="preserve"> I</w:t>
            </w:r>
            <w:r>
              <w:rPr>
                <w:rFonts w:ascii="Arial" w:cs="Arial" w:eastAsia="Arial" w:hAnsi="Arial"/>
                <w:sz w:val="17"/>
                <w:szCs w:val="17"/>
                <w:color w:val="auto"/>
              </w:rPr>
              <w:t>NDUSTRIES,</w:t>
            </w:r>
            <w:r>
              <w:rPr>
                <w:rFonts w:ascii="Arial" w:cs="Arial" w:eastAsia="Arial" w:hAnsi="Arial"/>
                <w:sz w:val="22"/>
                <w:szCs w:val="22"/>
                <w:color w:val="auto"/>
              </w:rPr>
              <w:t xml:space="preserve"> I</w:t>
            </w:r>
            <w:r>
              <w:rPr>
                <w:rFonts w:ascii="Arial" w:cs="Arial" w:eastAsia="Arial" w:hAnsi="Arial"/>
                <w:sz w:val="17"/>
                <w:szCs w:val="17"/>
                <w:color w:val="auto"/>
              </w:rPr>
              <w:t>NC.</w:t>
            </w:r>
          </w:p>
        </w:tc>
      </w:tr>
      <w:tr>
        <w:trPr>
          <w:trHeight w:val="447"/>
        </w:trPr>
        <w:tc>
          <w:tcPr>
            <w:tcW w:w="370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190"/>
        </w:trPr>
        <w:tc>
          <w:tcPr>
            <w:tcW w:w="3700" w:type="dxa"/>
            <w:vAlign w:val="bottom"/>
          </w:tcPr>
          <w:p>
            <w:pPr>
              <w:spacing w:after="0"/>
              <w:rPr>
                <w:sz w:val="16"/>
                <w:szCs w:val="16"/>
                <w:color w:val="auto"/>
              </w:rPr>
            </w:pPr>
          </w:p>
        </w:tc>
        <w:tc>
          <w:tcPr>
            <w:tcW w:w="2940" w:type="dxa"/>
            <w:vAlign w:val="bottom"/>
          </w:tcPr>
          <w:p>
            <w:pPr>
              <w:ind w:left="2340"/>
              <w:spacing w:after="0" w:line="190"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190" w:lineRule="exact"/>
              <w:rPr>
                <w:sz w:val="20"/>
                <w:szCs w:val="20"/>
                <w:color w:val="auto"/>
              </w:rPr>
            </w:pPr>
            <w:r>
              <w:rPr>
                <w:rFonts w:ascii="Arial" w:cs="Arial" w:eastAsia="Arial" w:hAnsi="Arial"/>
                <w:sz w:val="18"/>
                <w:szCs w:val="18"/>
                <w:color w:val="auto"/>
              </w:rPr>
              <w:t>Bruce D. Hertzke</w:t>
            </w:r>
          </w:p>
        </w:tc>
      </w:tr>
      <w:tr>
        <w:trPr>
          <w:trHeight w:val="236"/>
        </w:trPr>
        <w:tc>
          <w:tcPr>
            <w:tcW w:w="3700" w:type="dxa"/>
            <w:vAlign w:val="bottom"/>
          </w:tcPr>
          <w:p>
            <w:pPr>
              <w:spacing w:after="0"/>
              <w:rPr>
                <w:sz w:val="20"/>
                <w:szCs w:val="20"/>
                <w:color w:val="auto"/>
              </w:rPr>
            </w:pPr>
          </w:p>
        </w:tc>
        <w:tc>
          <w:tcPr>
            <w:tcW w:w="2940" w:type="dxa"/>
            <w:vAlign w:val="bottom"/>
          </w:tcPr>
          <w:p>
            <w:pPr>
              <w:ind w:left="234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19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News Release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Announces Election of Bob Olson to Position of Chairman, CEO and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Cash Dividend Announced –</w:t>
      </w:r>
    </w:p>
    <w:p>
      <w:pPr>
        <w:spacing w:after="0" w:line="225" w:lineRule="exact"/>
        <w:rPr>
          <w:sz w:val="20"/>
          <w:szCs w:val="20"/>
          <w:color w:val="auto"/>
        </w:rPr>
      </w:pPr>
    </w:p>
    <w:p>
      <w:pPr>
        <w:jc w:val="both"/>
        <w:ind w:right="400"/>
        <w:spacing w:after="0" w:line="298" w:lineRule="auto"/>
        <w:rPr>
          <w:sz w:val="20"/>
          <w:szCs w:val="20"/>
          <w:color w:val="auto"/>
        </w:rPr>
      </w:pPr>
      <w:r>
        <w:rPr>
          <w:rFonts w:ascii="Arial" w:cs="Arial" w:eastAsia="Arial" w:hAnsi="Arial"/>
          <w:sz w:val="16"/>
          <w:szCs w:val="16"/>
          <w:color w:val="auto"/>
        </w:rPr>
        <w:t>FOREST CITY, Iowa–(BUSINESS WIRE)–March 27, 2008–Winnebago Industries, Inc. (NYSE:WGO), Board of Directors yesterday accepted the letter of resignation of Bruce Hertzke from the Board and from his position as Chairman of the Board and Chief Executive Officer effective May 5, 2008. The Board announced the appointment of Bob Olson to the Company’s Board of Directors and the election of Olson to the position of Chairman of the Board and Chief Executive Officer, in addition to his current position of President, also effective May 5, 2008.</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Hertzke, 56, is a 36-year veteran of the Company and has held the position of Chairman and CEO since April 1998. He was elected to the additional position of President in May 1998 and relinquished that position in 2005 as part of the Company’s succession plan.</w:t>
      </w:r>
    </w:p>
    <w:p>
      <w:pPr>
        <w:spacing w:after="0" w:line="18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Olson, 56, is a career Winnebago Industries executive with 38 years of service with the Company. He has served as President since May 2007. Olson joined Winnebago Industries in 1969 as an hourly production employee, serving in various material and management positions prior to becoming the General Manager of Fabrication in 1986. In 1996 he was appointed Vice President of Manufacturing and in 2006 he became Senior Vice President of Operations.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Independent Board member John E. Herlitz, 65, who had served on the Company’s Board since 2005, died on March 23, 2008. Mr. Herlitz served on the Company’s Sales and Marketing and Human Resources Committees. No successor has yet been named to fill the resulting vacancy on the Board, Sales and Product Development and Human Resources Committees.</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separate action, the Board of Directors declared a quarterly cash dividend of 12 cents a share, payable on July 8, 2008 to shareholders of record as of June 6,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About Winnebago Industries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Winnebago Industries, Inc. is a leading United States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MULTIMEDIA AVAILABLE: </w:t>
      </w:r>
      <w:r>
        <w:rPr>
          <w:rFonts w:ascii="Arial" w:cs="Arial" w:eastAsia="Arial" w:hAnsi="Arial"/>
          <w:sz w:val="18"/>
          <w:szCs w:val="18"/>
          <w:u w:val="single" w:color="auto"/>
          <w:color w:val="auto"/>
        </w:rPr>
        <w:t>http://www.businesswire.com/cgi-bin/mmg.cgi?eid=5643772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Sheila Davis, 641-585-6803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PR/IR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sdavis@winnebagoind.com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2019-12-11T13:49:48Z</dcterms:created>
  <dcterms:modified xsi:type="dcterms:W3CDTF">2019-12-11T13:49:48Z</dcterms:modified>
</cp:coreProperties>
</file>