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Hughes Bryan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 &amp; Chief Financial Officer</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285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54.82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31,140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2020-10-20T14:29:53Z</dcterms:created>
  <dcterms:modified xsi:type="dcterms:W3CDTF">2020-10-20T14:29:53Z</dcterms:modified>
</cp:coreProperties>
</file>