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1"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42545</wp:posOffset>
            </wp:positionV>
            <wp:extent cx="1235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5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151765</wp:posOffset>
            </wp:positionV>
            <wp:extent cx="2272665" cy="909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Scott C. Folkers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Vice President, General Counsel and Secretary</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Winnebago Industries, Inc.</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P.O. Box 152</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(641) 585-6809</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Copies of Communications To:</w:t>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William M. Libit, Esq.</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Chapman and Cutler LLP</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111 West Monroe Street</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Chicago, Illinois 60603</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(312) 845-3000</w:t>
      </w:r>
    </w:p>
    <w:p>
      <w:pPr>
        <w:spacing w:after="0" w:line="363"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box</w:t>
      </w:r>
      <w:r>
        <w:rPr>
          <w:rFonts w:ascii="Arial" w:cs="Arial" w:eastAsia="Arial" w:hAnsi="Arial"/>
          <w:sz w:val="18"/>
          <w:szCs w:val="18"/>
          <w:color w:val="auto"/>
        </w:rPr>
        <w:t>. o</w:t>
      </w:r>
    </w:p>
    <w:p>
      <w:pPr>
        <w:spacing w:after="0" w:line="139" w:lineRule="exact"/>
        <w:rPr>
          <w:sz w:val="24"/>
          <w:szCs w:val="24"/>
          <w:color w:val="auto"/>
        </w:rPr>
      </w:pPr>
    </w:p>
    <w:p>
      <w:pPr>
        <w:ind w:right="20" w:firstLine="648"/>
        <w:spacing w:after="0" w:line="269"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r>
        <w:rPr>
          <w:rFonts w:ascii="Arial" w:cs="Arial" w:eastAsia="Arial" w:hAnsi="Arial"/>
          <w:sz w:val="18"/>
          <w:szCs w:val="18"/>
          <w:color w:val="auto"/>
        </w:rPr>
        <w:t>. x</w:t>
      </w:r>
    </w:p>
    <w:p>
      <w:pPr>
        <w:spacing w:after="0" w:line="102" w:lineRule="exact"/>
        <w:rPr>
          <w:sz w:val="24"/>
          <w:szCs w:val="24"/>
          <w:color w:val="auto"/>
        </w:rPr>
      </w:pPr>
    </w:p>
    <w:p>
      <w:pPr>
        <w:ind w:firstLine="648"/>
        <w:spacing w:after="0" w:line="269" w:lineRule="auto"/>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8"/>
          <w:szCs w:val="18"/>
          <w:color w:val="auto"/>
        </w:rPr>
        <w:t>o</w:t>
      </w:r>
    </w:p>
    <w:p>
      <w:pPr>
        <w:sectPr>
          <w:pgSz w:w="11900" w:h="16838" w:orient="portrait"/>
          <w:cols w:equalWidth="0" w:num="1">
            <w:col w:w="11360"/>
          </w:cols>
          <w:pgMar w:left="240" w:top="688" w:right="299" w:bottom="1440" w:gutter="0" w:footer="0" w:header="0"/>
        </w:sectPr>
      </w:pPr>
    </w:p>
    <w:bookmarkStart w:id="1" w:name="page2"/>
    <w:bookmarkEnd w:id="1"/>
    <w:p>
      <w:pPr>
        <w:ind w:right="240" w:firstLine="648"/>
        <w:spacing w:after="0" w:line="269" w:lineRule="auto"/>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o</w:t>
      </w:r>
    </w:p>
    <w:p>
      <w:pPr>
        <w:spacing w:after="0" w:line="102" w:lineRule="exact"/>
        <w:rPr>
          <w:sz w:val="20"/>
          <w:szCs w:val="20"/>
          <w:color w:val="auto"/>
        </w:rPr>
      </w:pPr>
    </w:p>
    <w:p>
      <w:pPr>
        <w:ind w:right="300" w:firstLine="648"/>
        <w:spacing w:after="0" w:line="269" w:lineRule="auto"/>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Arial" w:cs="Arial" w:eastAsia="Arial" w:hAnsi="Arial"/>
          <w:sz w:val="18"/>
          <w:szCs w:val="18"/>
          <w:color w:val="auto"/>
        </w:rPr>
        <w:t>o</w:t>
      </w:r>
    </w:p>
    <w:p>
      <w:pPr>
        <w:spacing w:after="0" w:line="10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Arial" w:cs="Arial" w:eastAsia="Arial" w:hAnsi="Arial"/>
          <w:sz w:val="18"/>
          <w:szCs w:val="18"/>
          <w:color w:val="auto"/>
        </w:rPr>
        <w:t>o</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See the definitions of “large accelerated filer,” “accelerated filer” and “smaller reporting company” in Rule 12b-2 of the Exchange Act. (Check one):</w:t>
      </w:r>
    </w:p>
    <w:p>
      <w:pPr>
        <w:spacing w:after="0" w:line="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320" w:type="dxa"/>
            <w:vAlign w:val="bottom"/>
          </w:tcPr>
          <w:p>
            <w:pPr>
              <w:ind w:left="460"/>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8"/>
                <w:szCs w:val="18"/>
                <w:color w:val="auto"/>
              </w:rPr>
              <w:t>x</w:t>
            </w:r>
          </w:p>
        </w:tc>
        <w:tc>
          <w:tcPr>
            <w:tcW w:w="2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43"/>
        </w:trPr>
        <w:tc>
          <w:tcPr>
            <w:tcW w:w="2320" w:type="dxa"/>
            <w:vAlign w:val="bottom"/>
          </w:tcPr>
          <w:p>
            <w:pPr>
              <w:ind w:left="460"/>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8"/>
                <w:szCs w:val="18"/>
                <w:color w:val="auto"/>
              </w:rPr>
              <w:t>o</w:t>
            </w:r>
          </w:p>
        </w:tc>
        <w:tc>
          <w:tcPr>
            <w:tcW w:w="6840" w:type="dxa"/>
            <w:vAlign w:val="bottom"/>
            <w:gridSpan w:val="4"/>
          </w:tcPr>
          <w:p>
            <w:pPr>
              <w:ind w:left="120"/>
              <w:spacing w:after="0"/>
              <w:rPr>
                <w:sz w:val="20"/>
                <w:szCs w:val="20"/>
                <w:color w:val="auto"/>
              </w:rPr>
            </w:pPr>
            <w:r>
              <w:rPr>
                <w:rFonts w:ascii="Arial" w:cs="Arial" w:eastAsia="Arial" w:hAnsi="Arial"/>
                <w:sz w:val="16"/>
                <w:szCs w:val="16"/>
                <w:color w:val="auto"/>
              </w:rPr>
              <w:t xml:space="preserve">(Do not check if a smaller reporting company)  Smaller reporting company </w:t>
            </w:r>
            <w:r>
              <w:rPr>
                <w:rFonts w:ascii="Arial" w:cs="Arial" w:eastAsia="Arial" w:hAnsi="Arial"/>
                <w:sz w:val="18"/>
                <w:szCs w:val="18"/>
                <w:color w:val="auto"/>
              </w:rPr>
              <w:t>o</w:t>
            </w:r>
          </w:p>
        </w:tc>
        <w:tc>
          <w:tcPr>
            <w:tcW w:w="1880" w:type="dxa"/>
            <w:vAlign w:val="bottom"/>
          </w:tcPr>
          <w:p>
            <w:pPr>
              <w:spacing w:after="0"/>
              <w:rPr>
                <w:sz w:val="21"/>
                <w:szCs w:val="21"/>
                <w:color w:val="auto"/>
              </w:rPr>
            </w:pPr>
          </w:p>
        </w:tc>
      </w:tr>
      <w:tr>
        <w:trPr>
          <w:trHeight w:val="440"/>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gridSpan w:val="2"/>
          </w:tcPr>
          <w:p>
            <w:pPr>
              <w:ind w:left="1460"/>
              <w:spacing w:after="0"/>
              <w:rPr>
                <w:sz w:val="20"/>
                <w:szCs w:val="20"/>
                <w:color w:val="auto"/>
              </w:rPr>
            </w:pPr>
            <w:r>
              <w:rPr>
                <w:rFonts w:ascii="Arial" w:cs="Arial" w:eastAsia="Arial" w:hAnsi="Arial"/>
                <w:sz w:val="16"/>
                <w:szCs w:val="16"/>
                <w:b w:val="1"/>
                <w:bCs w:val="1"/>
                <w:color w:val="auto"/>
              </w:rPr>
              <w:t>CALCULATION OF REGISTRATION FEE</w:t>
            </w:r>
          </w:p>
        </w:tc>
        <w:tc>
          <w:tcPr>
            <w:tcW w:w="1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17"/>
        </w:trPr>
        <w:tc>
          <w:tcPr>
            <w:tcW w:w="2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11"/>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20" w:type="dxa"/>
            <w:vAlign w:val="bottom"/>
          </w:tcPr>
          <w:p>
            <w:pPr>
              <w:jc w:val="center"/>
              <w:ind w:right="79"/>
              <w:spacing w:after="0"/>
              <w:rPr>
                <w:sz w:val="20"/>
                <w:szCs w:val="20"/>
                <w:color w:val="auto"/>
              </w:rPr>
            </w:pPr>
            <w:r>
              <w:rPr>
                <w:rFonts w:ascii="Arial" w:cs="Arial" w:eastAsia="Arial" w:hAnsi="Arial"/>
                <w:sz w:val="16"/>
                <w:szCs w:val="16"/>
                <w:color w:val="auto"/>
              </w:rPr>
              <w:t>Proposed maximum</w:t>
            </w:r>
          </w:p>
        </w:tc>
        <w:tc>
          <w:tcPr>
            <w:tcW w:w="1880" w:type="dxa"/>
            <w:vAlign w:val="bottom"/>
          </w:tcPr>
          <w:p>
            <w:pPr>
              <w:spacing w:after="0"/>
              <w:rPr>
                <w:sz w:val="18"/>
                <w:szCs w:val="18"/>
                <w:color w:val="auto"/>
              </w:rPr>
            </w:pPr>
          </w:p>
        </w:tc>
      </w:tr>
      <w:tr>
        <w:trPr>
          <w:trHeight w:val="184"/>
        </w:trPr>
        <w:tc>
          <w:tcPr>
            <w:tcW w:w="2320" w:type="dxa"/>
            <w:vAlign w:val="bottom"/>
          </w:tcPr>
          <w:p>
            <w:pPr>
              <w:ind w:left="700"/>
              <w:spacing w:after="0"/>
              <w:rPr>
                <w:sz w:val="20"/>
                <w:szCs w:val="20"/>
                <w:color w:val="auto"/>
              </w:rPr>
            </w:pPr>
            <w:r>
              <w:rPr>
                <w:rFonts w:ascii="Arial" w:cs="Arial" w:eastAsia="Arial" w:hAnsi="Arial"/>
                <w:sz w:val="16"/>
                <w:szCs w:val="16"/>
                <w:color w:val="auto"/>
              </w:rPr>
              <w:t>Title of each class of</w:t>
            </w:r>
          </w:p>
        </w:tc>
        <w:tc>
          <w:tcPr>
            <w:tcW w:w="220" w:type="dxa"/>
            <w:vAlign w:val="bottom"/>
          </w:tcPr>
          <w:p>
            <w:pPr>
              <w:spacing w:after="0"/>
              <w:rPr>
                <w:sz w:val="15"/>
                <w:szCs w:val="15"/>
                <w:color w:val="auto"/>
              </w:rPr>
            </w:pPr>
          </w:p>
        </w:tc>
        <w:tc>
          <w:tcPr>
            <w:tcW w:w="1920" w:type="dxa"/>
            <w:vAlign w:val="bottom"/>
          </w:tcPr>
          <w:p>
            <w:pPr>
              <w:jc w:val="center"/>
              <w:ind w:left="439"/>
              <w:spacing w:after="0"/>
              <w:rPr>
                <w:sz w:val="20"/>
                <w:szCs w:val="20"/>
                <w:color w:val="auto"/>
              </w:rPr>
            </w:pPr>
            <w:r>
              <w:rPr>
                <w:rFonts w:ascii="Arial" w:cs="Arial" w:eastAsia="Arial" w:hAnsi="Arial"/>
                <w:sz w:val="16"/>
                <w:szCs w:val="16"/>
                <w:color w:val="auto"/>
              </w:rPr>
              <w:t>Amount to be</w:t>
            </w:r>
          </w:p>
        </w:tc>
        <w:tc>
          <w:tcPr>
            <w:tcW w:w="2980" w:type="dxa"/>
            <w:vAlign w:val="bottom"/>
          </w:tcPr>
          <w:p>
            <w:pPr>
              <w:jc w:val="center"/>
              <w:ind w:left="59"/>
              <w:spacing w:after="0"/>
              <w:rPr>
                <w:sz w:val="20"/>
                <w:szCs w:val="20"/>
                <w:color w:val="auto"/>
              </w:rPr>
            </w:pPr>
            <w:r>
              <w:rPr>
                <w:rFonts w:ascii="Arial" w:cs="Arial" w:eastAsia="Arial" w:hAnsi="Arial"/>
                <w:sz w:val="16"/>
                <w:szCs w:val="16"/>
                <w:color w:val="auto"/>
              </w:rPr>
              <w:t>Proposed maximum offering price per</w:t>
            </w:r>
          </w:p>
        </w:tc>
        <w:tc>
          <w:tcPr>
            <w:tcW w:w="1720" w:type="dxa"/>
            <w:vAlign w:val="bottom"/>
          </w:tcPr>
          <w:p>
            <w:pPr>
              <w:jc w:val="center"/>
              <w:ind w:right="79"/>
              <w:spacing w:after="0"/>
              <w:rPr>
                <w:sz w:val="20"/>
                <w:szCs w:val="20"/>
                <w:color w:val="auto"/>
              </w:rPr>
            </w:pPr>
            <w:r>
              <w:rPr>
                <w:rFonts w:ascii="Arial" w:cs="Arial" w:eastAsia="Arial" w:hAnsi="Arial"/>
                <w:sz w:val="16"/>
                <w:szCs w:val="16"/>
                <w:color w:val="auto"/>
              </w:rPr>
              <w:t>aggregate offering</w:t>
            </w:r>
          </w:p>
        </w:tc>
        <w:tc>
          <w:tcPr>
            <w:tcW w:w="1880" w:type="dxa"/>
            <w:vAlign w:val="bottom"/>
          </w:tcPr>
          <w:p>
            <w:pPr>
              <w:jc w:val="center"/>
              <w:ind w:right="59"/>
              <w:spacing w:after="0"/>
              <w:rPr>
                <w:sz w:val="20"/>
                <w:szCs w:val="20"/>
                <w:color w:val="auto"/>
              </w:rPr>
            </w:pPr>
            <w:r>
              <w:rPr>
                <w:rFonts w:ascii="Arial" w:cs="Arial" w:eastAsia="Arial" w:hAnsi="Arial"/>
                <w:sz w:val="16"/>
                <w:szCs w:val="16"/>
                <w:color w:val="auto"/>
              </w:rPr>
              <w:t>Amount of</w:t>
            </w:r>
          </w:p>
        </w:tc>
      </w:tr>
      <w:tr>
        <w:trPr>
          <w:trHeight w:val="219"/>
        </w:trPr>
        <w:tc>
          <w:tcPr>
            <w:tcW w:w="2540" w:type="dxa"/>
            <w:vAlign w:val="bottom"/>
            <w:tcBorders>
              <w:bottom w:val="single" w:sz="8" w:color="auto"/>
            </w:tcBorders>
            <w:gridSpan w:val="2"/>
          </w:tcPr>
          <w:p>
            <w:pPr>
              <w:ind w:left="420"/>
              <w:spacing w:after="0" w:line="219" w:lineRule="exact"/>
              <w:rPr>
                <w:sz w:val="20"/>
                <w:szCs w:val="20"/>
                <w:color w:val="auto"/>
              </w:rPr>
            </w:pPr>
            <w:r>
              <w:rPr>
                <w:rFonts w:ascii="Arial" w:cs="Arial" w:eastAsia="Arial" w:hAnsi="Arial"/>
                <w:sz w:val="16"/>
                <w:szCs w:val="16"/>
                <w:color w:val="auto"/>
              </w:rPr>
              <w:t xml:space="preserve">securities to be registered </w:t>
            </w:r>
            <w:r>
              <w:rPr>
                <w:rFonts w:ascii="Arial" w:cs="Arial" w:eastAsia="Arial" w:hAnsi="Arial"/>
                <w:sz w:val="21"/>
                <w:szCs w:val="21"/>
                <w:color w:val="auto"/>
                <w:vertAlign w:val="superscript"/>
              </w:rPr>
              <w:t>(1)</w:t>
            </w:r>
          </w:p>
        </w:tc>
        <w:tc>
          <w:tcPr>
            <w:tcW w:w="1920" w:type="dxa"/>
            <w:vAlign w:val="bottom"/>
            <w:tcBorders>
              <w:bottom w:val="single" w:sz="8" w:color="auto"/>
            </w:tcBorders>
          </w:tcPr>
          <w:p>
            <w:pPr>
              <w:jc w:val="center"/>
              <w:ind w:left="439"/>
              <w:spacing w:after="0" w:line="219" w:lineRule="exact"/>
              <w:rPr>
                <w:sz w:val="20"/>
                <w:szCs w:val="20"/>
                <w:color w:val="auto"/>
              </w:rPr>
            </w:pPr>
            <w:r>
              <w:rPr>
                <w:rFonts w:ascii="Arial" w:cs="Arial" w:eastAsia="Arial" w:hAnsi="Arial"/>
                <w:sz w:val="16"/>
                <w:szCs w:val="16"/>
                <w:color w:val="auto"/>
                <w:w w:val="94"/>
              </w:rPr>
              <w:t xml:space="preserve">registered </w:t>
            </w:r>
            <w:r>
              <w:rPr>
                <w:rFonts w:ascii="Arial" w:cs="Arial" w:eastAsia="Arial" w:hAnsi="Arial"/>
                <w:sz w:val="21"/>
                <w:szCs w:val="21"/>
                <w:color w:val="auto"/>
                <w:w w:val="94"/>
                <w:vertAlign w:val="superscript"/>
              </w:rPr>
              <w:t>(1)</w:t>
            </w:r>
          </w:p>
        </w:tc>
        <w:tc>
          <w:tcPr>
            <w:tcW w:w="2980" w:type="dxa"/>
            <w:vAlign w:val="bottom"/>
            <w:tcBorders>
              <w:bottom w:val="single" w:sz="8" w:color="auto"/>
            </w:tcBorders>
          </w:tcPr>
          <w:p>
            <w:pPr>
              <w:jc w:val="center"/>
              <w:ind w:left="59"/>
              <w:spacing w:after="0" w:line="219" w:lineRule="exact"/>
              <w:rPr>
                <w:sz w:val="20"/>
                <w:szCs w:val="20"/>
                <w:color w:val="auto"/>
              </w:rPr>
            </w:pPr>
            <w:r>
              <w:rPr>
                <w:rFonts w:ascii="Arial" w:cs="Arial" w:eastAsia="Arial" w:hAnsi="Arial"/>
                <w:sz w:val="16"/>
                <w:szCs w:val="16"/>
                <w:color w:val="auto"/>
                <w:w w:val="90"/>
              </w:rPr>
              <w:t xml:space="preserve">share </w:t>
            </w:r>
            <w:r>
              <w:rPr>
                <w:rFonts w:ascii="Arial" w:cs="Arial" w:eastAsia="Arial" w:hAnsi="Arial"/>
                <w:sz w:val="21"/>
                <w:szCs w:val="21"/>
                <w:color w:val="auto"/>
                <w:w w:val="90"/>
                <w:vertAlign w:val="superscript"/>
              </w:rPr>
              <w:t>(1)</w:t>
            </w:r>
          </w:p>
        </w:tc>
        <w:tc>
          <w:tcPr>
            <w:tcW w:w="1720" w:type="dxa"/>
            <w:vAlign w:val="bottom"/>
            <w:tcBorders>
              <w:bottom w:val="single" w:sz="8" w:color="auto"/>
            </w:tcBorders>
          </w:tcPr>
          <w:p>
            <w:pPr>
              <w:jc w:val="center"/>
              <w:ind w:right="79"/>
              <w:spacing w:after="0" w:line="219" w:lineRule="exact"/>
              <w:rPr>
                <w:sz w:val="20"/>
                <w:szCs w:val="20"/>
                <w:color w:val="auto"/>
              </w:rPr>
            </w:pPr>
            <w:r>
              <w:rPr>
                <w:rFonts w:ascii="Arial" w:cs="Arial" w:eastAsia="Arial" w:hAnsi="Arial"/>
                <w:sz w:val="16"/>
                <w:szCs w:val="16"/>
                <w:color w:val="auto"/>
                <w:w w:val="92"/>
              </w:rPr>
              <w:t xml:space="preserve">price </w:t>
            </w:r>
            <w:r>
              <w:rPr>
                <w:rFonts w:ascii="Arial" w:cs="Arial" w:eastAsia="Arial" w:hAnsi="Arial"/>
                <w:sz w:val="21"/>
                <w:szCs w:val="21"/>
                <w:color w:val="auto"/>
                <w:w w:val="92"/>
                <w:vertAlign w:val="superscript"/>
              </w:rPr>
              <w:t>(1)</w:t>
            </w:r>
          </w:p>
        </w:tc>
        <w:tc>
          <w:tcPr>
            <w:tcW w:w="1880" w:type="dxa"/>
            <w:vAlign w:val="bottom"/>
            <w:tcBorders>
              <w:bottom w:val="single" w:sz="8" w:color="auto"/>
            </w:tcBorders>
          </w:tcPr>
          <w:p>
            <w:pPr>
              <w:jc w:val="center"/>
              <w:ind w:right="39"/>
              <w:spacing w:after="0" w:line="219" w:lineRule="exact"/>
              <w:rPr>
                <w:sz w:val="20"/>
                <w:szCs w:val="20"/>
                <w:color w:val="auto"/>
              </w:rPr>
            </w:pPr>
            <w:r>
              <w:rPr>
                <w:rFonts w:ascii="Arial" w:cs="Arial" w:eastAsia="Arial" w:hAnsi="Arial"/>
                <w:sz w:val="16"/>
                <w:szCs w:val="16"/>
                <w:color w:val="auto"/>
                <w:w w:val="98"/>
              </w:rPr>
              <w:t xml:space="preserve">Registration fee </w:t>
            </w:r>
            <w:r>
              <w:rPr>
                <w:rFonts w:ascii="Arial" w:cs="Arial" w:eastAsia="Arial" w:hAnsi="Arial"/>
                <w:sz w:val="21"/>
                <w:szCs w:val="21"/>
                <w:color w:val="auto"/>
                <w:w w:val="98"/>
                <w:vertAlign w:val="superscript"/>
              </w:rPr>
              <w:t>(2)</w:t>
            </w:r>
          </w:p>
        </w:tc>
      </w:tr>
      <w:tr>
        <w:trPr>
          <w:trHeight w:val="211"/>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 par value $.50 per</w:t>
            </w:r>
          </w:p>
        </w:tc>
        <w:tc>
          <w:tcPr>
            <w:tcW w:w="19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08"/>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2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rPr>
              <w:t>$35,000,000</w:t>
            </w:r>
          </w:p>
        </w:tc>
        <w:tc>
          <w:tcPr>
            <w:tcW w:w="1880" w:type="dxa"/>
            <w:vAlign w:val="bottom"/>
            <w:tcBorders>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98"/>
              </w:rPr>
              <w:t>$4,774</w:t>
            </w:r>
          </w:p>
        </w:tc>
      </w:tr>
    </w:tbl>
    <w:p>
      <w:pPr>
        <w:spacing w:after="0" w:line="191" w:lineRule="exact"/>
        <w:rPr>
          <w:sz w:val="20"/>
          <w:szCs w:val="20"/>
          <w:color w:val="auto"/>
        </w:rPr>
      </w:pPr>
    </w:p>
    <w:p>
      <w:pPr>
        <w:jc w:val="both"/>
        <w:ind w:left="660" w:right="100" w:hanging="328"/>
        <w:spacing w:after="0" w:line="25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is registering an indeterminate number of the identified securities up to a proposed maximum aggregate offering price of $35,000,000, which may be offered from time to time at indeterminate prices. The registrant has estimated the proposed maximum aggregate offering price solely for the purpose of calculating the registration fee pursuant to Rule 457(o) under the Securities Act of 1933.</w:t>
      </w:r>
    </w:p>
    <w:p>
      <w:pPr>
        <w:spacing w:after="0" w:line="174" w:lineRule="exact"/>
        <w:rPr>
          <w:rFonts w:ascii="Arial" w:cs="Arial" w:eastAsia="Arial" w:hAnsi="Arial"/>
          <w:sz w:val="16"/>
          <w:szCs w:val="16"/>
          <w:color w:val="auto"/>
        </w:rPr>
      </w:pPr>
    </w:p>
    <w:p>
      <w:pPr>
        <w:ind w:left="800" w:hanging="468"/>
        <w:spacing w:after="0" w:line="251" w:lineRule="auto"/>
        <w:tabs>
          <w:tab w:leader="none" w:pos="476"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457(p) under the Securities Act of 1933, the registrant is applying the filing fee of $2,496 associated with the unsold securities under its registration statement on Form S-3 (No. 333-165541) initially filed with the Securities and Exchange Commission on March 18, 2010, as amended by Amendment No. 1 to Form S-3 filed on March 30, 2010 against the total filing fee of $4,774 that would otherwise be due in connection with this registration statement.</w:t>
      </w:r>
    </w:p>
    <w:p>
      <w:pPr>
        <w:spacing w:after="0" w:line="1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DATED APRIL 4, 2013</w:t>
      </w:r>
    </w:p>
    <w:p>
      <w:pPr>
        <w:spacing w:after="0" w:line="223" w:lineRule="exact"/>
        <w:rPr>
          <w:sz w:val="20"/>
          <w:szCs w:val="20"/>
          <w:color w:val="auto"/>
        </w:rPr>
      </w:pPr>
    </w:p>
    <w:p>
      <w:pPr>
        <w:ind w:right="100" w:firstLine="648"/>
        <w:spacing w:after="0" w:line="253" w:lineRule="auto"/>
        <w:rPr>
          <w:sz w:val="20"/>
          <w:szCs w:val="20"/>
          <w:color w:val="auto"/>
        </w:rPr>
      </w:pPr>
      <w:r>
        <w:rPr>
          <w:rFonts w:ascii="Arial" w:cs="Arial" w:eastAsia="Arial" w:hAnsi="Arial"/>
          <w:sz w:val="16"/>
          <w:szCs w:val="16"/>
          <w:color w:val="auto"/>
        </w:rPr>
        <w:t>The information in this prospectus is not complete and may be changed. These securities may not be sold nor may offers to buy be accepted prior to the time the registration statement filed with the Securities and Exchange Commission becomes effective. This prospectus is not an offer to sell these securities and is not soliciting an offer to buy these securities in any state or other jurisdiction where the offer or sale is not permitted.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194"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WINNEBAGO INDUSTRIES, INC.</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P.O. Box 152</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(641) 585-3535</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COMMON STOCK, $0.50 PAR VALUE PER SHARE</w:t>
      </w:r>
    </w:p>
    <w:p>
      <w:pPr>
        <w:spacing w:after="0" w:line="25"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________________________</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offer for sale from time to time in one or more issuances shares of our common stock with an aggregate initial offering price of up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$35,000,000. We will offer the shares of common stock in an amount and at prices to be determined by market conditions at the time of the offering. We will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provide the specific offering terms in supplements to this prospectus. You should read this prospectus and the applicable prospectus supplement carefully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before you invest.</w:t>
      </w:r>
    </w:p>
    <w:p>
      <w:pPr>
        <w:sectPr>
          <w:pgSz w:w="11900" w:h="16838" w:orient="portrait"/>
          <w:cols w:equalWidth="0" w:num="1">
            <w:col w:w="11380"/>
          </w:cols>
          <w:pgMar w:left="240" w:top="614" w:right="279" w:bottom="1440" w:gutter="0" w:footer="0" w:header="0"/>
        </w:sectPr>
      </w:pPr>
    </w:p>
    <w:bookmarkStart w:id="2" w:name="page3"/>
    <w:bookmarkEnd w:id="2"/>
    <w:p>
      <w:pPr>
        <w:ind w:right="200" w:firstLine="648"/>
        <w:spacing w:after="0" w:line="260" w:lineRule="auto"/>
        <w:rPr>
          <w:sz w:val="20"/>
          <w:szCs w:val="20"/>
          <w:color w:val="auto"/>
        </w:rPr>
      </w:pPr>
      <w:r>
        <w:rPr>
          <w:rFonts w:ascii="Arial" w:cs="Arial" w:eastAsia="Arial" w:hAnsi="Arial"/>
          <w:sz w:val="16"/>
          <w:szCs w:val="16"/>
          <w:color w:val="auto"/>
        </w:rPr>
        <w:t>Our common stock trades on the New York Stock Exchange and the Chicago Stock Exchange under the symbol “WGO.” On April 3, 2013, the last reported sale price of our common stock on the New York Stock Exchange was $18.78 per share.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This prospectus may not be used to sell shares of common stock unless accompanied by a prospectus supplement.</w:t>
      </w:r>
    </w:p>
    <w:p>
      <w:pPr>
        <w:spacing w:after="0" w:line="194" w:lineRule="exact"/>
        <w:rPr>
          <w:sz w:val="20"/>
          <w:szCs w:val="20"/>
          <w:color w:val="auto"/>
        </w:rPr>
      </w:pPr>
    </w:p>
    <w:p>
      <w:pPr>
        <w:ind w:right="60" w:firstLine="648"/>
        <w:spacing w:after="0" w:line="266" w:lineRule="auto"/>
        <w:rPr>
          <w:sz w:val="20"/>
          <w:szCs w:val="20"/>
          <w:color w:val="auto"/>
        </w:rPr>
      </w:pPr>
      <w:r>
        <w:rPr>
          <w:rFonts w:ascii="Arial" w:cs="Arial" w:eastAsia="Arial" w:hAnsi="Arial"/>
          <w:sz w:val="16"/>
          <w:szCs w:val="16"/>
          <w:b w:val="1"/>
          <w:bCs w:val="1"/>
          <w:color w:val="auto"/>
        </w:rPr>
        <w:t>Prior to making a decision about investing in our shares of common stock, you should consider carefully the risk factors beginning on page 2 of this prospectus, in any prospectus supplement relating to a specific offering, in our most recently filed Annual Report on Form 10-K and in other filings we may make from time to time with the Securities and Exchange Commission.</w:t>
      </w:r>
    </w:p>
    <w:p>
      <w:pPr>
        <w:spacing w:after="0" w:line="14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3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The date of this prospectus is _________________.</w:t>
      </w:r>
    </w:p>
    <w:p>
      <w:pPr>
        <w:sectPr>
          <w:pgSz w:w="11900" w:h="16838" w:orient="portrait"/>
          <w:cols w:equalWidth="0" w:num="1">
            <w:col w:w="11320"/>
          </w:cols>
          <w:pgMar w:left="240" w:top="79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994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r>
      <w:tr>
        <w:trPr>
          <w:trHeight w:val="891"/>
        </w:trPr>
        <w:tc>
          <w:tcPr>
            <w:tcW w:w="9940" w:type="dxa"/>
            <w:vAlign w:val="bottom"/>
          </w:tcPr>
          <w:p>
            <w:pPr>
              <w:spacing w:after="0"/>
              <w:rPr>
                <w:sz w:val="20"/>
                <w:szCs w:val="20"/>
                <w:color w:val="auto"/>
              </w:rPr>
            </w:pPr>
            <w:r>
              <w:rPr>
                <w:rFonts w:ascii="Arial" w:cs="Arial" w:eastAsia="Arial" w:hAnsi="Arial"/>
                <w:sz w:val="16"/>
                <w:szCs w:val="16"/>
                <w:color w:val="auto"/>
              </w:rPr>
              <w:t>ABOUT THIS PROSPECTUS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1</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1</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THE COMPANY</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1</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RISK FACTORS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2</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USE OF PROCEEDS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3</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DESCRIPTION OF CAPITAL STOCK</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3</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PLAN OF DISTRIBUTION</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0">
              <w:r>
                <w:rPr>
                  <w:rFonts w:ascii="Arial" w:cs="Arial" w:eastAsia="Arial" w:hAnsi="Arial"/>
                  <w:sz w:val="15"/>
                  <w:szCs w:val="15"/>
                  <w:color w:val="0000FF"/>
                  <w:w w:val="71"/>
                </w:rPr>
                <w:t>6</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LEGAL OPINIONS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7</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EXPERTS</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7</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7</w:t>
              </w:r>
            </w:hyperlink>
          </w:p>
        </w:tc>
      </w:tr>
      <w:tr>
        <w:trPr>
          <w:trHeight w:val="223"/>
        </w:trPr>
        <w:tc>
          <w:tcPr>
            <w:tcW w:w="994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1">
              <w:r>
                <w:rPr>
                  <w:rFonts w:ascii="Arial" w:cs="Arial" w:eastAsia="Arial" w:hAnsi="Arial"/>
                  <w:sz w:val="15"/>
                  <w:szCs w:val="15"/>
                  <w:color w:val="0000FF"/>
                  <w:w w:val="71"/>
                </w:rPr>
                <w:t>8</w:t>
              </w:r>
            </w:hyperlink>
          </w:p>
        </w:tc>
      </w:tr>
    </w:tbl>
    <w:p>
      <w:pPr>
        <w:sectPr>
          <w:pgSz w:w="11900" w:h="16838" w:orient="portrait"/>
          <w:cols w:equalWidth="0" w:num="1">
            <w:col w:w="10179"/>
          </w:cols>
          <w:pgMar w:left="280" w:top="792"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77" w:lineRule="exact"/>
        <w:rPr>
          <w:sz w:val="20"/>
          <w:szCs w:val="20"/>
          <w:color w:val="auto"/>
        </w:rPr>
      </w:pPr>
    </w:p>
    <w:p>
      <w:pPr>
        <w:ind w:right="200" w:firstLine="648"/>
        <w:spacing w:after="0" w:line="25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utilizing a "shelf" registration process. Under this shelf registration process, we may sell shares of our common stock in one or more offerings to the public up to a maximum aggregate offering of $35,000,000. This prospectus provides you with a general description of these securities. We will provide a prospectus supplement that contains specific information about any offering by us.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prospectus supplement also may add, update or change information contained in the prospectus. You should read both this prospectus, including the additional information described under the heading "WHERE YOU CAN FIND MORE INFORMATION," as well as the prospectus supplement related to any offering.</w:t>
      </w:r>
    </w:p>
    <w:p>
      <w:pPr>
        <w:spacing w:after="0" w:line="174" w:lineRule="exact"/>
        <w:rPr>
          <w:sz w:val="20"/>
          <w:szCs w:val="20"/>
          <w:color w:val="auto"/>
        </w:rPr>
      </w:pPr>
    </w:p>
    <w:p>
      <w:pPr>
        <w:ind w:right="60" w:firstLine="648"/>
        <w:spacing w:after="0" w:line="248" w:lineRule="auto"/>
        <w:rPr>
          <w:sz w:val="20"/>
          <w:szCs w:val="20"/>
          <w:color w:val="auto"/>
        </w:rPr>
      </w:pPr>
      <w:r>
        <w:rPr>
          <w:rFonts w:ascii="Arial" w:cs="Arial" w:eastAsia="Arial" w:hAnsi="Arial"/>
          <w:sz w:val="16"/>
          <w:szCs w:val="16"/>
          <w:color w:val="auto"/>
        </w:rPr>
        <w:t>We have not authorized anyone to provide you with information different from that contained or incorporated by reference in this prospectus or any accompanying prospectus supplement or any "free writing prospectus." We are offering to sell, and seeking offers to buy, securities only in jurisdictions in which offers and sales are permitted. The information contained in this prospectus and in any accompanying prospectus supplement is accurate only as of the date of their covers, regardless of the time of delivery of this prospectus or any prospectus supplement or of any sale of our securities. Our business, financial condition, results of operations and prospects may have changed since those dates. You should rely only on the information contained or incorporated by reference in this prospectus or any accompanying prospectus supplement.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into this prospectus or any prospectus supplement - the statement in the document having the later date modifies or supersedes the earlier statement.</w:t>
      </w:r>
    </w:p>
    <w:p>
      <w:pPr>
        <w:spacing w:after="0" w:line="160" w:lineRule="exact"/>
        <w:rPr>
          <w:sz w:val="20"/>
          <w:szCs w:val="20"/>
          <w:color w:val="auto"/>
        </w:rPr>
      </w:pPr>
    </w:p>
    <w:p>
      <w:pPr>
        <w:ind w:right="820" w:firstLine="648"/>
        <w:spacing w:after="0" w:line="286" w:lineRule="auto"/>
        <w:rPr>
          <w:sz w:val="20"/>
          <w:szCs w:val="20"/>
          <w:color w:val="auto"/>
        </w:rPr>
      </w:pPr>
      <w:r>
        <w:rPr>
          <w:rFonts w:ascii="Arial" w:cs="Arial" w:eastAsia="Arial" w:hAnsi="Arial"/>
          <w:sz w:val="16"/>
          <w:szCs w:val="16"/>
          <w:b w:val="1"/>
          <w:bCs w:val="1"/>
          <w:color w:val="auto"/>
        </w:rPr>
        <w:t xml:space="preserve">Unless otherwise indicated or the context requires otherwise, all references to the </w:t>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our</w:t>
      </w:r>
      <w:r>
        <w:rPr>
          <w:rFonts w:ascii="Arial" w:cs="Arial" w:eastAsia="Arial" w:hAnsi="Arial"/>
          <w:sz w:val="16"/>
          <w:szCs w:val="16"/>
          <w:color w:val="auto"/>
        </w:rPr>
        <w:t>"</w:t>
      </w:r>
      <w:r>
        <w:rPr>
          <w:rFonts w:ascii="Arial" w:cs="Arial" w:eastAsia="Arial" w:hAnsi="Arial"/>
          <w:sz w:val="16"/>
          <w:szCs w:val="16"/>
          <w:b w:val="1"/>
          <w:bCs w:val="1"/>
          <w:color w:val="auto"/>
        </w:rPr>
        <w:t xml:space="preserve"> and </w:t>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w:t>
      </w:r>
      <w:r>
        <w:rPr>
          <w:rFonts w:ascii="Arial" w:cs="Arial" w:eastAsia="Arial" w:hAnsi="Arial"/>
          <w:sz w:val="16"/>
          <w:szCs w:val="16"/>
          <w:b w:val="1"/>
          <w:bCs w:val="1"/>
          <w:color w:val="auto"/>
        </w:rPr>
        <w:t xml:space="preserve"> are used interchangeably to refer to Winnebago Industries, Inc., an Iowa corporation and Winnebago of Indiana, LLC, as appropriate in the context.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77" w:lineRule="exact"/>
        <w:rPr>
          <w:sz w:val="20"/>
          <w:szCs w:val="20"/>
          <w:color w:val="auto"/>
        </w:rPr>
      </w:pPr>
    </w:p>
    <w:p>
      <w:pPr>
        <w:ind w:right="360" w:firstLine="648"/>
        <w:spacing w:after="0" w:line="251" w:lineRule="auto"/>
        <w:rPr>
          <w:sz w:val="20"/>
          <w:szCs w:val="20"/>
          <w:color w:val="auto"/>
        </w:rPr>
      </w:pPr>
      <w:r>
        <w:rPr>
          <w:rFonts w:ascii="Arial" w:cs="Arial" w:eastAsia="Arial" w:hAnsi="Arial"/>
          <w:sz w:val="16"/>
          <w:szCs w:val="16"/>
          <w:color w:val="auto"/>
        </w:rPr>
        <w:t>This prospectus and each prospectus supplement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176" w:lineRule="exact"/>
        <w:rPr>
          <w:sz w:val="20"/>
          <w:szCs w:val="20"/>
          <w:color w:val="auto"/>
        </w:rPr>
      </w:pPr>
    </w:p>
    <w:p>
      <w:pPr>
        <w:ind w:right="40" w:firstLine="648"/>
        <w:spacing w:after="0" w:line="247" w:lineRule="auto"/>
        <w:rPr>
          <w:sz w:val="20"/>
          <w:szCs w:val="20"/>
          <w:color w:val="auto"/>
        </w:rPr>
      </w:pPr>
      <w:r>
        <w:rPr>
          <w:rFonts w:ascii="Arial" w:cs="Arial" w:eastAsia="Arial" w:hAnsi="Arial"/>
          <w:sz w:val="16"/>
          <w:szCs w:val="16"/>
          <w:color w:val="auto"/>
        </w:rPr>
        <w:t>Actual results or events could differ materially from the forward-looking statements we make. Factors that could cause actual results to differ materially include, but are not limited to, increases in interest rates, availability of credit, low consumer confidence, significant increase in repurchase obligations, inadequate liquidity or capital resources, availability and price of fuel, slowdown in the economy, increased material and component parts,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activity, the information described under the heading "RISK FACTORS" beginning on page 3 of this prospectus, the factors discussed under "Item 1A. Risk Factors," "Management's Discussion and Analysis of Financial Conditions and Results of Operations" and "Notes to Consolidated Financial Statements" in our Annual Report on Form 10-K for the fiscal year ended August 25, 2012 and any updates in subsequent reports filed with the SEC. We also will include or incorporate by reference in each prospectus supplement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77" w:lineRule="exact"/>
        <w:rPr>
          <w:sz w:val="20"/>
          <w:szCs w:val="20"/>
          <w:color w:val="auto"/>
        </w:rPr>
      </w:pPr>
    </w:p>
    <w:p>
      <w:pPr>
        <w:ind w:right="380" w:firstLine="648"/>
        <w:spacing w:after="0" w:line="192" w:lineRule="exact"/>
        <w:rPr>
          <w:sz w:val="20"/>
          <w:szCs w:val="20"/>
          <w:color w:val="auto"/>
        </w:rPr>
      </w:pPr>
      <w:r>
        <w:rPr>
          <w:rFonts w:ascii="Arial" w:cs="Arial" w:eastAsia="Arial" w:hAnsi="Arial"/>
          <w:sz w:val="16"/>
          <w:szCs w:val="16"/>
          <w:color w:val="auto"/>
        </w:rPr>
        <w:t>Winnebago Industries, Inc., headquartered in Forest City, Iowa, is a leading United States manufacturer of motor homes which are self</w:t>
      </w:r>
      <w:r>
        <w:rPr>
          <w:rFonts w:ascii="MS PGothic" w:cs="MS PGothic" w:eastAsia="MS PGothic" w:hAnsi="MS PGothic"/>
          <w:sz w:val="16"/>
          <w:szCs w:val="16"/>
          <w:color w:val="auto"/>
        </w:rPr>
        <w:t>‑</w:t>
      </w:r>
      <w:r>
        <w:rPr>
          <w:rFonts w:ascii="Arial" w:cs="Arial" w:eastAsia="Arial" w:hAnsi="Arial"/>
          <w:sz w:val="16"/>
          <w:szCs w:val="16"/>
          <w:color w:val="auto"/>
        </w:rPr>
        <w:t>contained recreation vehicles (RV) used primarily in leisure travel and outdoor recreation activities. We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2" w:right="239" w:bottom="1440" w:gutter="0" w:footer="0" w:header="0"/>
        </w:sectPr>
      </w:pPr>
    </w:p>
    <w:bookmarkStart w:id="5" w:name="page6"/>
    <w:bookmarkEnd w:id="5"/>
    <w:p>
      <w:pPr>
        <w:ind w:right="60"/>
        <w:spacing w:after="0" w:line="253" w:lineRule="auto"/>
        <w:rPr>
          <w:sz w:val="20"/>
          <w:szCs w:val="20"/>
          <w:color w:val="auto"/>
        </w:rPr>
      </w:pPr>
      <w:r>
        <w:rPr>
          <w:rFonts w:ascii="Arial" w:cs="Arial" w:eastAsia="Arial" w:hAnsi="Arial"/>
          <w:sz w:val="16"/>
          <w:szCs w:val="16"/>
          <w:color w:val="auto"/>
        </w:rPr>
        <w:t>sell motor homes through independent dealers under the Winnebago, Itasca and ERA brand names. Our subsidiary, Winnebago of Indiana, LLC manufactures travel trailers and fifth wheel RVs under the SunnyBrook and Winnebago brand names. Other products manufactured by us consist primarily of original equipment manufacturing parts, including extruded aluminum and other component products for other manufacturers and commercial vehicles.</w:t>
      </w:r>
    </w:p>
    <w:p>
      <w:pPr>
        <w:spacing w:after="0" w:line="174"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69"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Our web site (</w:t>
      </w:r>
      <w:r>
        <w:rPr>
          <w:rFonts w:ascii="Arial" w:cs="Arial" w:eastAsia="Arial" w:hAnsi="Arial"/>
          <w:sz w:val="16"/>
          <w:szCs w:val="16"/>
          <w:u w:val="single" w:color="auto"/>
          <w:color w:val="0000FF"/>
        </w:rPr>
        <w:t>www.winnebagoind.com</w:t>
      </w:r>
      <w:r>
        <w:rPr>
          <w:rFonts w:ascii="Arial" w:cs="Arial" w:eastAsia="Arial" w:hAnsi="Arial"/>
          <w:sz w:val="16"/>
          <w:szCs w:val="16"/>
          <w:color w:val="auto"/>
        </w:rPr>
        <w:t>) provides additional information about us. On our web site, you can obtain, free of charge, our Annual Report on Form 10-K, Quarterly Reports on Form 10-Q, Current Reports on Form 8-K and all of our other filings with the SEC. Our recent press releases are also available on our web site. Our web site also contains important information regarding our corporate governance practices. Information contained on our web site is not incorporated into this prospectus or any related prospectus supplement.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61" w:lineRule="exact"/>
        <w:rPr>
          <w:sz w:val="20"/>
          <w:szCs w:val="20"/>
          <w:color w:val="auto"/>
        </w:rPr>
      </w:pPr>
    </w:p>
    <w:p>
      <w:pPr>
        <w:ind w:right="20" w:firstLine="648"/>
        <w:spacing w:after="0" w:line="252" w:lineRule="auto"/>
        <w:rPr>
          <w:sz w:val="20"/>
          <w:szCs w:val="20"/>
          <w:color w:val="auto"/>
        </w:rPr>
      </w:pPr>
      <w:r>
        <w:rPr>
          <w:rFonts w:ascii="Arial" w:cs="Arial" w:eastAsia="Arial" w:hAnsi="Arial"/>
          <w:sz w:val="16"/>
          <w:szCs w:val="16"/>
          <w:i w:val="1"/>
          <w:iCs w:val="1"/>
          <w:color w:val="auto"/>
        </w:rPr>
        <w:t>An investment in our shares of common stock involves risk. Prior to making a decision about investing in our shares of common stock, you should carefully consider the risk factors described below, the risk factors contained in a prospectus supplement relating to a specific offering, as well as the risk factors set forth in our most recently filed Annual Report on Form 10-K and any updates in subsequent reports filed with the SEC, together with all of the information appearing in this prospectus or incorporated in this prospectus by reference and any prospectus supplement and other filings we may make from time to time with the SEC. Such factors could affect actual results and cause results to differ materially from those expressed in any forward-looking statements made by or on our behalf. Additional risks and uncertainties not currently known to us or that we currently view as immaterial may also affect our business operations.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common stock can be volatile and may decline substantially.</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pacing w:after="0" w:line="8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actual or anticipated variations in quarterly results of operations;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developments in our business or the RV industry generally;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availability of wholesale and retail credit to finance the purchase of RVs;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overall consumer confidence levels;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and stock price performance of other companies that investors deem comparable to us;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perceptions in the marketplace regarding us or our competitors;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new models or services offered by competitors; and</w:t>
      </w:r>
    </w:p>
    <w:p>
      <w:pPr>
        <w:spacing w:after="0" w:line="5"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 or capital commitments by or involving us, our competitors or our suppliers.</w:t>
      </w:r>
    </w:p>
    <w:p>
      <w:pPr>
        <w:spacing w:after="0" w:line="223"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General market fluctuations, general economic and political conditions and events, such as economic slowdowns or interest rate changes, could also cause our stock price to decrease regardless of operating results. Our common stock has experienced significant volatility in recent years, and may experience significant price and volume volatility in the future. As a result, the market price of our common stock may continue to be subject to similar market fluctuations that may be unrelated to our operating performance or prospects.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authorization to issue shares of preferred stock with greater rights than our common stock.</w:t>
      </w:r>
    </w:p>
    <w:p>
      <w:pPr>
        <w:spacing w:after="0" w:line="268" w:lineRule="exact"/>
        <w:rPr>
          <w:sz w:val="20"/>
          <w:szCs w:val="20"/>
          <w:color w:val="auto"/>
        </w:rPr>
      </w:pPr>
    </w:p>
    <w:p>
      <w:pPr>
        <w:ind w:right="220" w:firstLine="648"/>
        <w:spacing w:after="0" w:line="253" w:lineRule="auto"/>
        <w:rPr>
          <w:sz w:val="20"/>
          <w:szCs w:val="20"/>
          <w:color w:val="auto"/>
        </w:rPr>
      </w:pPr>
      <w:r>
        <w:rPr>
          <w:rFonts w:ascii="Arial" w:cs="Arial" w:eastAsia="Arial" w:hAnsi="Arial"/>
          <w:sz w:val="16"/>
          <w:szCs w:val="16"/>
          <w:color w:val="auto"/>
        </w:rPr>
        <w:t>Although we have no current plans, arrangements, understandings or agreements to do so, our articles of incorporation authorize the board of directors to issue one or more series of preferred stock and set the terms of the stock without seeking approval from holders of our common stock. Preferred stock that is issued may have preferential rights over the common stock, in terms of dividends, liquidation rights and voting rights.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equity issuances and exercises of outstanding options could result in dilution and depress stock prices.</w:t>
      </w:r>
    </w:p>
    <w:p>
      <w:pPr>
        <w:spacing w:after="0" w:line="268"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From time to time, we issue restricted stock and deferred stock units settled in our common stock and options to purchase our common stock to employees and directors as compensation and as incentives. Vesting of restricted stock and stock units and the exercises of options could result in dilution to existing shareholders. In addition, although we do not presently intend to do so, we may seek to raise capital from the equity markets at discounted prices, which could result in dilution to existing shareholders.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0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We do not currently pay common stock dividends and cannot assure you that we will pay dividends in the future.</w:t>
      </w:r>
    </w:p>
    <w:p>
      <w:pPr>
        <w:spacing w:after="0" w:line="268"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We do not currently pay common stock dividends, and any resumption would require approval under our credit facility. In addition, we may not pay dividends on our common stock unless we have paid dividends on any outstanding preferred stock. Any future dividends will be made at the discretion of our board of directors and will depend upon, among other things, the approval of the lenders participating in our credit facility, our earnings, financial condition and such other factors as our board of directors may deem relevant from time to time.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articles of incorporation, by-laws and rights plan, as well as Iowa law, may have an anti-takeover effect.</w:t>
      </w:r>
    </w:p>
    <w:p>
      <w:pPr>
        <w:spacing w:after="0" w:line="268"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Provisions of our articles of incorporation, by-laws, rights plan and the Iowa Business Corporation Act, or “Iowa law,”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will have broad discretion as to the use of the proceeds from this offering, and we may not use the proceeds effectively.</w:t>
      </w:r>
    </w:p>
    <w:p>
      <w:pPr>
        <w:spacing w:after="0" w:line="268"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We have not designated the amount of net proceeds from this offering that we will use for any particular purpose. Accordingly, our management will have broad discretion as to the application of the net proceeds. Our shareholders may not agree with the manner in which our management chooses to allocate and spend the net proceeds. Moreover, our management may use the net proceeds for corporate purposes that may not increase our profitability or market value.</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77" w:lineRule="exact"/>
        <w:rPr>
          <w:sz w:val="20"/>
          <w:szCs w:val="20"/>
          <w:color w:val="auto"/>
        </w:rPr>
      </w:pPr>
    </w:p>
    <w:p>
      <w:pPr>
        <w:ind w:right="120" w:firstLine="648"/>
        <w:spacing w:after="0" w:line="251" w:lineRule="auto"/>
        <w:rPr>
          <w:sz w:val="20"/>
          <w:szCs w:val="20"/>
          <w:color w:val="auto"/>
        </w:rPr>
      </w:pPr>
      <w:r>
        <w:rPr>
          <w:rFonts w:ascii="Arial" w:cs="Arial" w:eastAsia="Arial" w:hAnsi="Arial"/>
          <w:sz w:val="16"/>
          <w:szCs w:val="16"/>
          <w:color w:val="auto"/>
        </w:rPr>
        <w:t>Except as may be otherwise set forth in any prospectus supplement accompanying this prospectus, we will use the net proceeds we receive from sales of common stock offered pursuant to this prospectus for working capital, capital expenditures and general corporate purposes, which may include the repayment of any indebtedness outstanding from time to time or for acquisitions. Pending these uses, the net proceeds may be temporarily invested in short-term securities.</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77" w:lineRule="exact"/>
        <w:rPr>
          <w:sz w:val="20"/>
          <w:szCs w:val="20"/>
          <w:color w:val="auto"/>
        </w:rPr>
      </w:pPr>
    </w:p>
    <w:p>
      <w:pPr>
        <w:ind w:firstLine="648"/>
        <w:spacing w:after="0" w:line="190" w:lineRule="exact"/>
        <w:rPr>
          <w:sz w:val="20"/>
          <w:szCs w:val="20"/>
          <w:color w:val="auto"/>
        </w:rPr>
      </w:pPr>
      <w:r>
        <w:rPr>
          <w:rFonts w:ascii="Arial" w:cs="Arial" w:eastAsia="Arial" w:hAnsi="Arial"/>
          <w:sz w:val="16"/>
          <w:szCs w:val="16"/>
          <w:color w:val="auto"/>
        </w:rPr>
        <w:t>This section describes the general terms of our capital stock. A prospectus supplement may provide information that is different from this prospectus. If the information in the prospectus supplement differs from this prospectus, you should rely on the information in the prospectus supplement. The description of our capital stock in this prospectus and any description in a prospectus supplement may not be complete and is subject to and qualified in its entirety by reference to Iowa law, the actual terms and provisions contained in our articles of incorporation and by-laws, each as amended from time to time, and other documents incorporated in this prospectus by reference. A copy of our articles of incorporation and by</w:t>
      </w:r>
      <w:r>
        <w:rPr>
          <w:rFonts w:ascii="MS PGothic" w:cs="MS PGothic" w:eastAsia="MS PGothic" w:hAnsi="MS PGothic"/>
          <w:sz w:val="16"/>
          <w:szCs w:val="16"/>
          <w:color w:val="auto"/>
        </w:rPr>
        <w:t>‑</w:t>
      </w:r>
      <w:r>
        <w:rPr>
          <w:rFonts w:ascii="Arial" w:cs="Arial" w:eastAsia="Arial" w:hAnsi="Arial"/>
          <w:sz w:val="16"/>
          <w:szCs w:val="16"/>
          <w:color w:val="auto"/>
        </w:rPr>
        <w:t>laws, as amended, has been incorporated by reference from our filings with the SEC as exhibits to the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w:t>
      </w:r>
    </w:p>
    <w:p>
      <w:pPr>
        <w:spacing w:after="0" w:line="214"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Under our articles of incorporation, we are authorized to issue 60,000,000 shares of common stock, par value $.50 per share. As of April 3, 2013, 51,776,380 shares of our common stock were issued, of which 23,712,136 shares of common stock were held in treasury. Shares of common stock issued pursuant to this prospectus and any applicable prospectus supplement may consist in whole or in part of treasury shares. We are also authorized to issue 10,000,000 shares of preferred stock, par value $.01 per share. In 2000,we created a series of preferred stock designated as "Series A Preferred Stock" in connection with a shareholder rights plan adopted by the Company. The number of shares constituting such series is 300,000. The shareholders rights plan expired in 2010, and no shares of such Series A Preferred Stock or any other preferred stock are currently outstanding. 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4"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16"/>
          <w:szCs w:val="16"/>
          <w:color w:val="auto"/>
        </w:rPr>
        <w:t>Each outstanding share of our common stock is entitled to one vote per share of record on all matters submitted to vote of shareholders and, except as otherwise required by law or in any certificate of designation creating a series of preferred stock, will vote together as a single class with the holders of any outstanding preferred stock and any other capital stock having general</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60"/>
          </w:cols>
          <w:pgMar w:left="240" w:top="824" w:right="299" w:bottom="1440" w:gutter="0" w:footer="0" w:header="0"/>
        </w:sectPr>
      </w:pPr>
    </w:p>
    <w:bookmarkStart w:id="7" w:name="page8"/>
    <w:bookmarkEnd w:id="7"/>
    <w:p>
      <w:pPr>
        <w:ind w:right="20"/>
        <w:spacing w:after="0" w:line="250" w:lineRule="auto"/>
        <w:rPr>
          <w:sz w:val="20"/>
          <w:szCs w:val="20"/>
          <w:color w:val="auto"/>
        </w:rPr>
      </w:pPr>
      <w:r>
        <w:rPr>
          <w:rFonts w:ascii="Arial" w:cs="Arial" w:eastAsia="Arial" w:hAnsi="Arial"/>
          <w:sz w:val="16"/>
          <w:szCs w:val="16"/>
          <w:color w:val="auto"/>
        </w:rPr>
        <w:t>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casts by shareholders opposing the action, unless the matter is one upon which a different vote is required by express provision of Iowa law, the New York Stock Exchange or our articles of incorporation or by-laws. Directors will be elected by a plurality of the votes of the shares present at a meeting at which a quorum is present. Holders of shares of common stock do not have cumulative voting rights with respect to the election of directors or any other matter.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Rights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Holders of our common stock are entitled to receive dividends or other distributions when, as and if declared by our board of directors. The right of our board of directors to declare dividends, however, is subject to the possible prior rights of holders of preferred stock that may be issued in the future, and the availability of sufficient funds under Iowa law to pay dividends. Whenever any dividends or other distributions payable on any outstanding Series A Preferred Stock are in arrears, no dividends or other distributions may be declared or paid on the common stock.</w:t>
      </w:r>
    </w:p>
    <w:p>
      <w:pPr>
        <w:spacing w:after="0" w:line="176"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Under our current credit facility with General Electric Capital Corporation, as agent, we may not make cash dividends, distributions or payments with respect to our common stock without the consent of General Electric Capital Corporation, as agent and any lenders thereunder, in their sole discretion.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holders of our common stock do not have preemptive rights to purchase or subscribe for any of our capital stock or other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214" w:lineRule="exact"/>
        <w:rPr>
          <w:sz w:val="20"/>
          <w:szCs w:val="20"/>
          <w:color w:val="auto"/>
        </w:rPr>
      </w:pPr>
    </w:p>
    <w:p>
      <w:pPr>
        <w:ind w:right="520" w:firstLine="648"/>
        <w:spacing w:after="0" w:line="260" w:lineRule="auto"/>
        <w:rPr>
          <w:sz w:val="20"/>
          <w:szCs w:val="20"/>
          <w:color w:val="auto"/>
        </w:rPr>
      </w:pPr>
      <w:r>
        <w:rPr>
          <w:rFonts w:ascii="Arial" w:cs="Arial" w:eastAsia="Arial" w:hAnsi="Arial"/>
          <w:sz w:val="16"/>
          <w:szCs w:val="16"/>
          <w:color w:val="auto"/>
        </w:rPr>
        <w:t>The shares of our common stock are not subject to redemption by operation of a sinking fund or otherwise. Any outstanding shares of Series A Preferred Stock will be subject to redemption as described in “Anti-takeover Measures - Rights to Purchase Series A Preferred Stock” below.</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214"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In the event of any liquidation, dissolution or winding up of the Company, subject to the possible prior rights of holders of preferred stock that may be issued in the future, the holders of shares of our common stock are entitled to receive any of our remaining assets available for distribution to our shareholders ratably in proportion to the number of shares of common stock held by them.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Restricted Shares and Deferred Stock Units</w:t>
      </w:r>
    </w:p>
    <w:p>
      <w:pPr>
        <w:spacing w:after="0" w:line="214"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As of April 3, 2013, we had outstanding (i) stock options to purchase 673,328 shares of our common stock, all of which were issuable upon exercise of vested stock options as of that date, (ii) 190,962 unvested restricted stock awards and (iii) 75,849 stock units held by certain of our directors, which are to be settled 100% in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and the Chicago Stock Exchange under the symbol "WGO."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14" w:lineRule="exact"/>
        <w:rPr>
          <w:sz w:val="20"/>
          <w:szCs w:val="20"/>
          <w:color w:val="auto"/>
        </w:rPr>
      </w:pPr>
    </w:p>
    <w:p>
      <w:pPr>
        <w:ind w:right="220" w:firstLine="648"/>
        <w:spacing w:after="0" w:line="260" w:lineRule="auto"/>
        <w:rPr>
          <w:sz w:val="20"/>
          <w:szCs w:val="20"/>
          <w:color w:val="auto"/>
        </w:rPr>
      </w:pPr>
      <w:r>
        <w:rPr>
          <w:rFonts w:ascii="Arial" w:cs="Arial" w:eastAsia="Arial" w:hAnsi="Arial"/>
          <w:sz w:val="16"/>
          <w:szCs w:val="16"/>
          <w:color w:val="auto"/>
        </w:rPr>
        <w:t>The transfer agent and registrar for our common stock is Wells Fargo Bank, N.A., Attention: Wells Fargo Shareowner Services, 1110 Centre Pointe Curve, Suite 101, Mendota Heights, Minnesota 55120.</w:t>
      </w:r>
    </w:p>
    <w:p>
      <w:pPr>
        <w:spacing w:after="0" w:line="14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Anti</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takeover Measures</w:t>
      </w:r>
    </w:p>
    <w:p>
      <w:pPr>
        <w:spacing w:after="0" w:line="214"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Certain provisions of our articles of incorporation and by-laws, as amended, and Iowa law, as well as other actions that the Company has taken, could make our acquisition by a third party, a change in our incumbent management or a similar change in control more difficult, including:</w:t>
      </w:r>
    </w:p>
    <w:p>
      <w:pPr>
        <w:spacing w:after="0" w:line="16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acquisition of us by means of a tender or exchange offer;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acquisition of us by means of a proxy contest or otherwise; or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removal of a majority or all of our incumbent officers and directors.</w:t>
      </w:r>
    </w:p>
    <w:p>
      <w:pPr>
        <w:spacing w:after="0" w:line="194" w:lineRule="exact"/>
        <w:rPr>
          <w:sz w:val="20"/>
          <w:szCs w:val="20"/>
          <w:color w:val="auto"/>
        </w:rPr>
      </w:pPr>
    </w:p>
    <w:p>
      <w:pPr>
        <w:ind w:right="240" w:firstLine="648"/>
        <w:spacing w:after="0" w:line="260"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us to first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601" w:right="259" w:bottom="1440" w:gutter="0" w:footer="0" w:header="0"/>
        </w:sectPr>
      </w:pPr>
    </w:p>
    <w:bookmarkStart w:id="8" w:name="page9"/>
    <w:bookmarkEnd w:id="8"/>
    <w:p>
      <w:pPr>
        <w:ind w:right="240"/>
        <w:spacing w:after="0" w:line="250" w:lineRule="auto"/>
        <w:rPr>
          <w:sz w:val="20"/>
          <w:szCs w:val="20"/>
          <w:color w:val="auto"/>
        </w:rPr>
      </w:pPr>
      <w:r>
        <w:rPr>
          <w:rFonts w:ascii="Arial" w:cs="Arial" w:eastAsia="Arial" w:hAnsi="Arial"/>
          <w:sz w:val="16"/>
          <w:szCs w:val="16"/>
          <w:color w:val="auto"/>
        </w:rPr>
        <w:t>negotiate with our board of directors. We believe that these provisions help to protect our potential ability to negotiate with the proponent of an unfriendly or unsolicited proposal to acquire or restructure us, and that this benefit outweighs the potential disadvantages of discouraging such a proposal because our ability to negotiate with the proponent could result in an improvement of the terms of the proposal. The existence of these provisions which are described below could limit the price that investors might otherwise pay in the future for our common stock. This description is intended as a summary only and is qualified in its entirety by reference to our articles of incorporation and by-laws, as amended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Articles of Incorporation, By-laws and Iowa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Authorized But Unissued Capital Stock</w:t>
      </w:r>
    </w:p>
    <w:p>
      <w:pPr>
        <w:spacing w:after="0" w:line="210"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We have shares of common stock, including treasury shares, and preferred stock available for future issuance without shareholder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 contest or otherwise. In addition, if we issue preferred stock, the issuance could adversely affect the likelihood that common shareholders will receive dividend payments and payments upon liquidation.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Blank Check Preferred Stock</w:t>
      </w:r>
    </w:p>
    <w:p>
      <w:pPr>
        <w:spacing w:after="0" w:line="210"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Our board of directors, without shareholder approval, has the authority under our articles of incorporation, as amended,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Number of Directors; Removal; Filling Vacancies</w:t>
      </w:r>
    </w:p>
    <w:p>
      <w:pPr>
        <w:spacing w:after="0" w:line="210"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Our articles of incorporation, as amended, provide that the number of directors shall be not more than 15 and not less than three, the precise number to be determined by resolution of the Board of Directors from time to time. Iowa law provides that a director cannot be removed by written consent of shareholders unless written consents are obtained from the holders of all the outstanding shares entitled to vote on the removal of the director. Iowa law further provides that vacancies on our board of directors may be filled by the remaining directors, even if there is less than a quorum of director votes to fill such vacancy. These provisions may make it more difficult for shareholders to remove a director or fill a director vacancy.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Shareholder Action</w:t>
      </w:r>
    </w:p>
    <w:p>
      <w:pPr>
        <w:spacing w:after="0" w:line="210" w:lineRule="exact"/>
        <w:rPr>
          <w:sz w:val="20"/>
          <w:szCs w:val="20"/>
          <w:color w:val="auto"/>
        </w:rPr>
      </w:pPr>
    </w:p>
    <w:p>
      <w:pPr>
        <w:ind w:right="100" w:firstLine="648"/>
        <w:spacing w:after="0" w:line="248" w:lineRule="auto"/>
        <w:rPr>
          <w:sz w:val="20"/>
          <w:szCs w:val="20"/>
          <w:color w:val="auto"/>
        </w:rPr>
      </w:pPr>
      <w:r>
        <w:rPr>
          <w:rFonts w:ascii="Arial" w:cs="Arial" w:eastAsia="Arial" w:hAnsi="Arial"/>
          <w:sz w:val="16"/>
          <w:szCs w:val="16"/>
          <w:color w:val="auto"/>
        </w:rPr>
        <w:t>Iowa law provides that shareholders may act outside of a meeting by written consent only if one or more written consents describing the action taken are signed by the holders of outstanding shares having not less than ninety percent 90% of the votes entitled to be cast at a meeting at which all shares entitled to vote on the action were present and voted. Our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unless such person or entity acquires a sufficient amount of our outstanding voting stock, the person or entity would not be able to call a shareholder meeting or act by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Requirements for Advance Notification of Shareholder Nominations and Proposals</w:t>
      </w:r>
    </w:p>
    <w:p>
      <w:pPr>
        <w:spacing w:after="0" w:line="210"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Our by-laws, as amended,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our Corporate Secretary at our principal executive offices not less than 90 and nor more than 120 days prior to the first anniversary of the preceding year's annual meeting, subject to certain exceptions. Our by-laws also specify requirements as to the form and content of the shareholder's notice. These provisions could delay shareholder actions that are favored by the holders of a majority of our outstanding shares until the next shareholders' meeting.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Classified Board of Directors</w:t>
      </w:r>
    </w:p>
    <w:p>
      <w:pPr>
        <w:spacing w:after="0" w:line="210"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Our board of directors is divided into three classes, as nearly equal in number as is reasonably possible, serving staggered terms. One class of directors is elected at each annual meeting to serve a term of three years. Amendments to the staggered board provisions require that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601" w:right="279" w:bottom="1440" w:gutter="0" w:footer="0" w:header="0"/>
        </w:sectPr>
      </w:pPr>
    </w:p>
    <w:bookmarkStart w:id="9" w:name="page10"/>
    <w:bookmarkEnd w:id="9"/>
    <w:p>
      <w:pPr>
        <w:ind w:left="660"/>
        <w:spacing w:after="0"/>
        <w:rPr>
          <w:sz w:val="20"/>
          <w:szCs w:val="20"/>
          <w:color w:val="auto"/>
        </w:rPr>
      </w:pPr>
      <w:r>
        <w:rPr>
          <w:rFonts w:ascii="Arial" w:cs="Arial" w:eastAsia="Arial" w:hAnsi="Arial"/>
          <w:sz w:val="16"/>
          <w:szCs w:val="16"/>
          <w:i w:val="1"/>
          <w:iCs w:val="1"/>
          <w:color w:val="auto"/>
        </w:rPr>
        <w:t>Iowa Business Combination Statute</w:t>
      </w:r>
    </w:p>
    <w:p>
      <w:pPr>
        <w:spacing w:after="0" w:line="210" w:lineRule="exact"/>
        <w:rPr>
          <w:sz w:val="20"/>
          <w:szCs w:val="20"/>
          <w:color w:val="auto"/>
        </w:rPr>
      </w:pPr>
    </w:p>
    <w:p>
      <w:pPr>
        <w:ind w:firstLine="648"/>
        <w:spacing w:after="0" w:line="246" w:lineRule="auto"/>
        <w:rPr>
          <w:sz w:val="20"/>
          <w:szCs w:val="20"/>
          <w:color w:val="auto"/>
        </w:rPr>
      </w:pPr>
      <w:r>
        <w:rPr>
          <w:rFonts w:ascii="Arial" w:cs="Arial" w:eastAsia="Arial" w:hAnsi="Arial"/>
          <w:sz w:val="16"/>
          <w:szCs w:val="16"/>
          <w:color w:val="auto"/>
        </w:rPr>
        <w:t>We are subject to the provisions of Section 490.1110 of the Iowa Business Corporation Act (the "Business Combination Statute"). Under the Business Combination Statute, certain "business combinations" between an Iowa corporation whose stock is publicly traded or held by more than 2,000 shareholders and an "interested shareholder" are prohibited for a three-year period following the date that such a shareholder became an interested shareholder,</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(such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(excluding voting stock owned by directors who are also officers or held in employee stock plans in which the employee participants do not have a confidential right to tender or vote stock held by the plan). The three-year prohibition also does not apply to certain business combinations proposed by an interested shareholder following the announcement or notification, but prior to the consummation or abandonment, of certain extraordinary transactions involving the corporation and a person who had not been an interested shareholder during the previous three years, subject to certain exceptions. The term "business combination" is defined generally to include mergers or consolidations between an Iowa corporation and an "interested shareholder," transactions with an "interested shareholder" involving the assets or stock of the corporation or its majority-owned subsidiaries and transactions which increase an interested shareholder's percentage ownership of stock. The term "interested shareholder" is defined generally as a shareholder who, together with affiliates and associates, owns (or, within three years prior, did own) 10% or more of an Iowa corporation's voting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Potential Payments Upon a Change of Control</w:t>
      </w:r>
    </w:p>
    <w:p>
      <w:pPr>
        <w:spacing w:after="0" w:line="214"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Our executive officers have entered into change of control agreements with the Company. In the event of a “change of control” of the Company, as that term is defined in the agreements, each such executive (provided such change of control occurs when the executive is in the employ of the Company) would generally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Company's three fiscal years preceding the change of control. In addition, under the change of control agreements, if it is determined that any payment or distribution made by the Company to the executive would be subject to federal excise tax, the Company would pay to the executive officer an additional payment, or "gross-up benefit," so that he or she would not be subject to a net reduction in compensation due to the imposition of the excise tax.</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These agreements were designed to reinforce and encourage our executives to maintain objectivity and a high level of attention to their duties without distraction from the possibility of a change of control of the Company. However, the existence of these provisions could limit the price that a potential acquirer might otherwise pay in the future for our common stock.</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7"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We may sell the shares of common stock offered by this prospectus through underwriters, through dealers, through agents, directly to other purchasers or through a combination of these methods, as described in the prospectus supplement relating to an offering of shares of common stock. The distribution of the shares of common stock may be effected from time to time in one or more transactions at a fixed price or prices, which may be changed, at market prices prevailing at the time of sale, at prices related to such prevailing market prices, or at negotiated prices.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applicable prospectus supplement will contain specific information relating to the terms of the offering, including:</w:t>
      </w:r>
    </w:p>
    <w:p>
      <w:pPr>
        <w:spacing w:after="0" w:line="19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name or names of any underwriters or agents;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purchase price of the shares of common stock;</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net proceeds from the sale of the shares of common stock;</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underwriting discounts and other items constituting underwriters' compensation;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initial public offering price and any discounts or concessions allowed or re-allowed or paid to dealers.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Underwriters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If underwriters are used in the sale, the shares of common stock will be acquired by the underwriters for their own account. Underwriters may offer the common stock directly or through underwriting syndicates represented by one or more managing underwriters. The underwriters may resell the common stock in one or more transactions, including negotiated transactions, at a fixed public offering price, which may be changed, or at varying prices determined at the time of sale. The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774" w:right="259" w:bottom="1440" w:gutter="0" w:footer="0" w:header="0"/>
        </w:sectPr>
      </w:pPr>
    </w:p>
    <w:bookmarkStart w:id="10" w:name="page11"/>
    <w:bookmarkEnd w:id="10"/>
    <w:p>
      <w:pPr>
        <w:ind w:right="140"/>
        <w:spacing w:after="0" w:line="260" w:lineRule="auto"/>
        <w:rPr>
          <w:sz w:val="20"/>
          <w:szCs w:val="20"/>
          <w:color w:val="auto"/>
        </w:rPr>
      </w:pPr>
      <w:r>
        <w:rPr>
          <w:rFonts w:ascii="Arial" w:cs="Arial" w:eastAsia="Arial" w:hAnsi="Arial"/>
          <w:sz w:val="16"/>
          <w:szCs w:val="16"/>
          <w:color w:val="auto"/>
        </w:rPr>
        <w:t>obligations of the underwriters to purchase the shares of common stock will be subject to certain conditions. The initial public offering price and any discounts or concessions allowed or re-allowed or paid to dealers may be changed from time to time.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Dealers</w:t>
      </w:r>
    </w:p>
    <w:p>
      <w:pPr>
        <w:spacing w:after="0" w:line="214"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If dealers are used in the sale, unless otherwise specified in the applicable prospectus supplement, we will sell the shares of common stock to the dealers as principals. The dealers may then resell the common stock to the public at varying prices to be determined by the dealers at the time of resale. The applicable prospectus supplement will contain more information about the dealers, including the names of the dealers and the terms of our agreement with them.</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Agents and Direct Sales</w:t>
      </w:r>
    </w:p>
    <w:p>
      <w:pPr>
        <w:spacing w:after="0" w:line="214"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may sell the shares of common stock directly to the public, without the use of underwriters, dealers or agents. We may also sell the common stock through agents we designate from time to time. The applicable prospectus supplement will contain more information about the agents, including the names of the agents and any commission we agree to pay the agents.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14"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Underwriters, dealers and agents that participate in the distribution of shares of common stock may be deemed to be underwriters, and any discounts or commissions received by them from us and any profit on the resale of shares of common stock by them may be deemed to be underwriting discounts and commissions under the Securities Act. Any person who may be deemed to be an underwriter will be identified, and any compensation received from us will be described in the prospectus supplement. Our outstanding common stock is listed for trading on the New York Stock Exchange and the Chicago Stock Exchange. We may engage in at-the-market offerings into an existing trading market in accordance with Securities Act Rule 415(a)(4). Any at-the-market offering will be through an underwriter or underwriters acting as principal or agent for us.</w:t>
      </w:r>
    </w:p>
    <w:p>
      <w:pPr>
        <w:spacing w:after="0" w:line="178" w:lineRule="exact"/>
        <w:rPr>
          <w:sz w:val="20"/>
          <w:szCs w:val="20"/>
          <w:color w:val="auto"/>
        </w:rPr>
      </w:pPr>
    </w:p>
    <w:p>
      <w:pPr>
        <w:ind w:right="100" w:firstLine="648"/>
        <w:spacing w:after="0" w:line="260" w:lineRule="auto"/>
        <w:rPr>
          <w:sz w:val="20"/>
          <w:szCs w:val="20"/>
          <w:color w:val="auto"/>
        </w:rPr>
      </w:pPr>
      <w:r>
        <w:rPr>
          <w:rFonts w:ascii="Arial" w:cs="Arial" w:eastAsia="Arial" w:hAnsi="Arial"/>
          <w:sz w:val="16"/>
          <w:szCs w:val="16"/>
          <w:color w:val="auto"/>
        </w:rPr>
        <w:t>Under agreements into which we may enter in connection with the sale of shares of common stock, underwriters, dealers and agents who participate in the distribution of shares of common stock may be entitled to indemnification by us against specified liabilities, including liabilities under the Securities Act.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Agents, dealers and underwriters may be customers of, engage in transactions with, or perform services for us in the ordinary course of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OPINIONS</w:t>
      </w:r>
    </w:p>
    <w:p>
      <w:pPr>
        <w:spacing w:after="0" w:line="277"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The validity of the securities offered hereby will be passed upon by Chapman and Cutler LLP, Chicago, Illinois. Certain legal matters may be passed upon for any agents or underwriters by counsel for such agents or underwriters identified in the applicable prospectus supplement.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77" w:lineRule="exact"/>
        <w:rPr>
          <w:sz w:val="20"/>
          <w:szCs w:val="20"/>
          <w:color w:val="auto"/>
        </w:rPr>
      </w:pPr>
    </w:p>
    <w:p>
      <w:pPr>
        <w:ind w:right="100" w:firstLine="648"/>
        <w:spacing w:after="0" w:line="251" w:lineRule="auto"/>
        <w:rPr>
          <w:sz w:val="20"/>
          <w:szCs w:val="20"/>
          <w:color w:val="auto"/>
        </w:rPr>
      </w:pPr>
      <w:r>
        <w:rPr>
          <w:rFonts w:ascii="Arial" w:cs="Arial" w:eastAsia="Arial" w:hAnsi="Arial"/>
          <w:sz w:val="16"/>
          <w:szCs w:val="16"/>
          <w:color w:val="auto"/>
        </w:rPr>
        <w:t>The consolidated balance sheets of Winnebago Industries, Inc. as of August 25, 2012 and August 27, 2011, and the related consolidated statements of operations, changes in stockholders' equity, and cash flows for each of the three years in the period ended August 25, 2012, and the effectiveness of Winnebago Industries, Inc.'s internal control over financial reporting as of August 25, 2012 included in this registration statement, have been so included in reliance on the report of Deloitte &amp; Touche LLP, independent auditors, given on the authority of that firm as experts in auditing and accounting.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7"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174"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601"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other than any portion of any such documents that are not deemed "filed" under the Exchange Act in accordance with the Exchange Act and applicable SEC rules:</w:t>
      </w:r>
    </w:p>
    <w:p>
      <w:pPr>
        <w:spacing w:after="0" w:line="20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Annual Report on Form 10-K for the year ended August 25, 2012;</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Quarterly Reports on Form 10-Q for the three months ended December 1, 2012 and March 2, 2013;</w:t>
      </w:r>
    </w:p>
    <w:p>
      <w:pPr>
        <w:spacing w:after="0" w:line="5" w:lineRule="exact"/>
        <w:rPr>
          <w:rFonts w:ascii="Arial" w:cs="Arial" w:eastAsia="Arial" w:hAnsi="Arial"/>
          <w:sz w:val="16"/>
          <w:szCs w:val="16"/>
          <w:color w:val="auto"/>
        </w:rPr>
      </w:pPr>
    </w:p>
    <w:p>
      <w:pPr>
        <w:ind w:left="660" w:right="380" w:hanging="328"/>
        <w:spacing w:after="0" w:line="24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(to the extent such Current Report, or portion thereof, is deemed filed for the purpose of the Exchange Act) on November 5, 2012, December 19, 2012, December 20, 2012 and March 28, 2013; and</w:t>
      </w:r>
    </w:p>
    <w:p>
      <w:pPr>
        <w:ind w:left="660" w:right="540" w:hanging="328"/>
        <w:spacing w:after="0" w:line="26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specifically incorporated by reference into our Annual Report on Form 10-K for the fiscal year ended August 25, 2012 from our definitive proxy statement on Schedule 14A filed with the SEC on October 23, 2012.</w:t>
      </w:r>
    </w:p>
    <w:p>
      <w:pPr>
        <w:spacing w:after="0" w:line="16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We also incorporate by reference all future filings we make with the SEC under Section 13(a), 13(c), 14 or 15(d) of the Exchange Act (other than portions of documents not deemed filed in accordance with the Exchange Act and applicable SEC rules) on or after the date of this prospectus until we sell all of the shares of common stock referred to herein.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request a copy of these filings, which we shall deliver to you, together with all exhibits thereto, at no cost, by writing or telephoning us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605 W. Crystal Lake Rd.</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Forest City, IA</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Phone: (641) 585-6803</w:t>
      </w:r>
    </w:p>
    <w:p>
      <w:pPr>
        <w:spacing w:after="0" w:line="19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Any statement contained in a document that is incorporated by reference will be modified or superseded for all purposes to the extent that a statement contained in this prospectus or any accompanying prospectus supplement, or in any other document that is subsequently filed with the SEC and incorporated by reference, modifies or is contrary to that previous statement. Any statement so modified or superseded will not be deemed a part of this prospectus or any accompanying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any accompanying prospectus supplement or in any documents previously incorporated by reference have been modified or superseded.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792"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42" w:lineRule="exact"/>
        <w:rPr>
          <w:sz w:val="20"/>
          <w:szCs w:val="20"/>
          <w:color w:val="auto"/>
        </w:rPr>
      </w:pPr>
    </w:p>
    <w:p>
      <w:pPr>
        <w:ind w:right="800" w:firstLine="648"/>
        <w:spacing w:after="0" w:line="260" w:lineRule="auto"/>
        <w:rPr>
          <w:sz w:val="20"/>
          <w:szCs w:val="20"/>
          <w:color w:val="auto"/>
        </w:rPr>
      </w:pPr>
      <w:r>
        <w:rPr>
          <w:rFonts w:ascii="Arial" w:cs="Arial" w:eastAsia="Arial" w:hAnsi="Arial"/>
          <w:sz w:val="16"/>
          <w:szCs w:val="16"/>
          <w:color w:val="auto"/>
        </w:rPr>
        <w:t>Set forth below is an estimate of the approximate amount of our fees and expenses (other than underwriting discounts and commissions) in connection with the issuance of the Securities: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Registration fee under the Securities Act of 1933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4,774</w:t>
            </w: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Printing and engraving*</w:t>
            </w:r>
          </w:p>
        </w:tc>
        <w:tc>
          <w:tcPr>
            <w:tcW w:w="3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25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Accounting services*</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Legal fees of company counsel*</w:t>
            </w:r>
          </w:p>
        </w:tc>
        <w:tc>
          <w:tcPr>
            <w:tcW w:w="3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25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 and counsel fees for qualification or registration of the Securities under state securities laws*</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r>
      <w:tr>
        <w:trPr>
          <w:trHeight w:val="23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including traveling, telephone, copying, shipping, and other out-of-pocket expenses*</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5,226</w:t>
            </w: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r>
      <w:tr>
        <w:trPr>
          <w:trHeight w:val="251"/>
        </w:trPr>
        <w:tc>
          <w:tcPr>
            <w:tcW w:w="8480" w:type="dxa"/>
            <w:vAlign w:val="bottom"/>
          </w:tcPr>
          <w:p>
            <w:pPr>
              <w:ind w:left="20"/>
              <w:spacing w:after="0"/>
              <w:rPr>
                <w:sz w:val="20"/>
                <w:szCs w:val="20"/>
                <w:color w:val="auto"/>
              </w:rPr>
            </w:pPr>
            <w:r>
              <w:rPr>
                <w:rFonts w:ascii="Arial" w:cs="Arial" w:eastAsia="Arial" w:hAnsi="Arial"/>
                <w:sz w:val="16"/>
                <w:szCs w:val="16"/>
                <w:color w:val="auto"/>
              </w:rPr>
              <w:t>_______________________</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6"/>
                <w:szCs w:val="16"/>
                <w:color w:val="auto"/>
              </w:rPr>
              <w:t>* Estimated. Actual amounts to be determined from time to time.</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09" w:lineRule="exact"/>
        <w:rPr>
          <w:sz w:val="20"/>
          <w:szCs w:val="20"/>
          <w:color w:val="auto"/>
        </w:rPr>
      </w:pPr>
    </w:p>
    <w:p>
      <w:pPr>
        <w:ind w:right="120" w:firstLine="648"/>
        <w:spacing w:after="0" w:line="248" w:lineRule="auto"/>
        <w:rPr>
          <w:sz w:val="20"/>
          <w:szCs w:val="20"/>
          <w:color w:val="auto"/>
        </w:rPr>
      </w:pPr>
      <w:r>
        <w:rPr>
          <w:rFonts w:ascii="Arial" w:cs="Arial" w:eastAsia="Arial" w:hAnsi="Arial"/>
          <w:sz w:val="16"/>
          <w:szCs w:val="16"/>
          <w:color w:val="auto"/>
        </w:rPr>
        <w:t>Section 490.851 of the Iowa Business Corporation Act gives Iowa corporations the power to indemnify directors under certain circumstances. The Articles of Incorporation of the Company provide for indemnification by the Company to the fullest extent possible of current and former directors against all expenses, liabilities and loss (including attorney's fees, judgments, fines or penalties and amounts paid or to be paid in settlement) actually incurred by such person relating to his or her conduct as a director of the Company, except that the aforesaid mandatory indemnification shall not apply (i) to a breach of a director's duty of loyalty to the Company or its shareholders, (ii) for acts or omissions not in good faith or which involve intentional misconduct or knowing violation of the law, (iii) for a transaction from which a director derived an improper personal benefit, (iv) under Section 496A.44 of the Iowa Business Corporation Act, or (v) against judgments, penalties, fines and settlements arising from any proceeding by or in the right of the Company, or against expenses in any such case where such director shall be adjudged liable to the Company. The Articles of Incorporation further provide that the indemnification provided thereunder shall not be exclusive of any other rights to which those indemnified may be entitled under any bylaw, agreement, vote of shareholders or disinterested directors or otherwise.</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Iowa Business Corporation Act provides that the Company may purchase and maintain insurance on behalf of an individual who is a director or officer of the Company against liability asserted against or incurred by that individual in that capacity or arising from the individual's status as a director or officer, whether or not the Company would have power to indemnify that individual against the same liability under the Iowa Business Corporation Act. The Company maintains a directors' and officers' liability insurance policy to insure individual directors and officers against these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10620" w:type="dxa"/>
            <w:vAlign w:val="bottom"/>
          </w:tcPr>
          <w:p>
            <w:pPr>
              <w:spacing w:after="0"/>
              <w:rPr>
                <w:sz w:val="16"/>
                <w:szCs w:val="16"/>
                <w:color w:val="auto"/>
              </w:rPr>
            </w:pPr>
          </w:p>
        </w:tc>
      </w:tr>
      <w:tr>
        <w:trPr>
          <w:trHeight w:val="228"/>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Number</w:t>
            </w:r>
          </w:p>
        </w:tc>
        <w:tc>
          <w:tcPr>
            <w:tcW w:w="10620" w:type="dxa"/>
            <w:vAlign w:val="bottom"/>
            <w:tcBorders>
              <w:bottom w:val="single" w:sz="8" w:color="auto"/>
            </w:tcBorders>
          </w:tcPr>
          <w:p>
            <w:pPr>
              <w:ind w:left="4500"/>
              <w:spacing w:after="0"/>
              <w:rPr>
                <w:sz w:val="20"/>
                <w:szCs w:val="20"/>
                <w:color w:val="auto"/>
              </w:rPr>
            </w:pPr>
            <w:r>
              <w:rPr>
                <w:rFonts w:ascii="Arial" w:cs="Arial" w:eastAsia="Arial" w:hAnsi="Arial"/>
                <w:sz w:val="16"/>
                <w:szCs w:val="16"/>
                <w:b w:val="1"/>
                <w:bCs w:val="1"/>
                <w:color w:val="auto"/>
              </w:rPr>
              <w:t>Description of Exhibits</w:t>
            </w:r>
          </w:p>
        </w:tc>
      </w:tr>
      <w:tr>
        <w:trPr>
          <w:trHeight w:val="224"/>
        </w:trPr>
        <w:tc>
          <w:tcPr>
            <w:tcW w:w="800" w:type="dxa"/>
            <w:vAlign w:val="bottom"/>
          </w:tcPr>
          <w:p>
            <w:pPr>
              <w:ind w:left="40"/>
              <w:spacing w:after="0"/>
              <w:rPr>
                <w:sz w:val="20"/>
                <w:szCs w:val="20"/>
                <w:color w:val="auto"/>
              </w:rPr>
            </w:pPr>
            <w:r>
              <w:rPr>
                <w:rFonts w:ascii="Arial" w:cs="Arial" w:eastAsia="Arial" w:hAnsi="Arial"/>
                <w:sz w:val="16"/>
                <w:szCs w:val="16"/>
                <w:color w:val="auto"/>
              </w:rPr>
              <w:t>1.1</w:t>
            </w:r>
          </w:p>
        </w:tc>
        <w:tc>
          <w:tcPr>
            <w:tcW w:w="10620" w:type="dxa"/>
            <w:vAlign w:val="bottom"/>
          </w:tcPr>
          <w:p>
            <w:pPr>
              <w:ind w:left="160"/>
              <w:spacing w:after="0"/>
              <w:rPr>
                <w:sz w:val="20"/>
                <w:szCs w:val="20"/>
                <w:color w:val="auto"/>
              </w:rPr>
            </w:pPr>
            <w:r>
              <w:rPr>
                <w:rFonts w:ascii="Arial" w:cs="Arial" w:eastAsia="Arial" w:hAnsi="Arial"/>
                <w:sz w:val="16"/>
                <w:szCs w:val="16"/>
                <w:color w:val="auto"/>
              </w:rPr>
              <w:t>Form of Underwriting or Distribution Agreement for Common Stock*</w:t>
            </w:r>
          </w:p>
        </w:tc>
      </w:tr>
      <w:tr>
        <w:trPr>
          <w:trHeight w:val="238"/>
        </w:trPr>
        <w:tc>
          <w:tcPr>
            <w:tcW w:w="800" w:type="dxa"/>
            <w:vAlign w:val="bottom"/>
          </w:tcPr>
          <w:p>
            <w:pPr>
              <w:spacing w:after="0"/>
              <w:rPr>
                <w:sz w:val="20"/>
                <w:szCs w:val="20"/>
                <w:color w:val="auto"/>
              </w:rPr>
            </w:pPr>
          </w:p>
        </w:tc>
        <w:tc>
          <w:tcPr>
            <w:tcW w:w="10620" w:type="dxa"/>
            <w:vAlign w:val="bottom"/>
          </w:tcPr>
          <w:p>
            <w:pPr>
              <w:ind w:left="160"/>
              <w:spacing w:after="0"/>
              <w:rPr>
                <w:sz w:val="20"/>
                <w:szCs w:val="20"/>
                <w:color w:val="auto"/>
              </w:rPr>
            </w:pPr>
            <w:r>
              <w:rPr>
                <w:rFonts w:ascii="Arial" w:cs="Arial" w:eastAsia="Arial" w:hAnsi="Arial"/>
                <w:sz w:val="16"/>
                <w:szCs w:val="16"/>
                <w:color w:val="auto"/>
              </w:rPr>
              <w:t>Articles of Incorporation, incorporated by reference in Exhibit 3a of the Company's Quarterly Report on Form 10-Q for the quarter ended May 27,</w:t>
            </w:r>
          </w:p>
        </w:tc>
      </w:tr>
      <w:tr>
        <w:trPr>
          <w:trHeight w:val="195"/>
        </w:trPr>
        <w:tc>
          <w:tcPr>
            <w:tcW w:w="800" w:type="dxa"/>
            <w:vAlign w:val="bottom"/>
          </w:tcPr>
          <w:p>
            <w:pPr>
              <w:ind w:left="40"/>
              <w:spacing w:after="0"/>
              <w:rPr>
                <w:sz w:val="20"/>
                <w:szCs w:val="20"/>
                <w:color w:val="auto"/>
              </w:rPr>
            </w:pPr>
            <w:r>
              <w:rPr>
                <w:rFonts w:ascii="Arial" w:cs="Arial" w:eastAsia="Arial" w:hAnsi="Arial"/>
                <w:sz w:val="16"/>
                <w:szCs w:val="16"/>
                <w:color w:val="auto"/>
              </w:rPr>
              <w:t>4.1</w:t>
            </w:r>
          </w:p>
        </w:tc>
        <w:tc>
          <w:tcPr>
            <w:tcW w:w="10620" w:type="dxa"/>
            <w:vAlign w:val="bottom"/>
          </w:tcPr>
          <w:p>
            <w:pPr>
              <w:ind w:left="160"/>
              <w:spacing w:after="0" w:line="184" w:lineRule="exact"/>
              <w:rPr>
                <w:sz w:val="20"/>
                <w:szCs w:val="20"/>
                <w:color w:val="auto"/>
              </w:rPr>
            </w:pPr>
            <w:r>
              <w:rPr>
                <w:rFonts w:ascii="Arial" w:cs="Arial" w:eastAsia="Arial" w:hAnsi="Arial"/>
                <w:sz w:val="16"/>
                <w:szCs w:val="16"/>
                <w:color w:val="auto"/>
              </w:rPr>
              <w:t>2000 (Commission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tc>
      </w:tr>
      <w:tr>
        <w:trPr>
          <w:trHeight w:val="238"/>
        </w:trPr>
        <w:tc>
          <w:tcPr>
            <w:tcW w:w="800" w:type="dxa"/>
            <w:vAlign w:val="bottom"/>
          </w:tcPr>
          <w:p>
            <w:pPr>
              <w:spacing w:after="0"/>
              <w:rPr>
                <w:sz w:val="20"/>
                <w:szCs w:val="20"/>
                <w:color w:val="auto"/>
              </w:rPr>
            </w:pPr>
          </w:p>
        </w:tc>
        <w:tc>
          <w:tcPr>
            <w:tcW w:w="10620" w:type="dxa"/>
            <w:vAlign w:val="bottom"/>
          </w:tcPr>
          <w:p>
            <w:pPr>
              <w:ind w:left="160"/>
              <w:spacing w:after="0" w:line="184" w:lineRule="exact"/>
              <w:rPr>
                <w:sz w:val="20"/>
                <w:szCs w:val="20"/>
                <w:color w:val="auto"/>
              </w:rPr>
            </w:pPr>
            <w:r>
              <w:rPr>
                <w:rFonts w:ascii="Arial" w:cs="Arial" w:eastAsia="Arial" w:hAnsi="Arial"/>
                <w:sz w:val="16"/>
                <w:szCs w:val="16"/>
                <w:color w:val="auto"/>
              </w:rPr>
              <w:t>Amended By</w:t>
            </w:r>
            <w:r>
              <w:rPr>
                <w:rFonts w:ascii="MS PGothic" w:cs="MS PGothic" w:eastAsia="MS PGothic" w:hAnsi="MS PGothic"/>
                <w:sz w:val="16"/>
                <w:szCs w:val="16"/>
                <w:color w:val="auto"/>
              </w:rPr>
              <w:t>‑</w:t>
            </w:r>
            <w:r>
              <w:rPr>
                <w:rFonts w:ascii="Arial" w:cs="Arial" w:eastAsia="Arial" w:hAnsi="Arial"/>
                <w:sz w:val="16"/>
                <w:szCs w:val="16"/>
                <w:color w:val="auto"/>
              </w:rPr>
              <w:t>Laws of the Registrant, incorporated by reference in Exhibit 3.1 of the Company's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dated March 24,</w:t>
            </w:r>
          </w:p>
        </w:tc>
      </w:tr>
      <w:tr>
        <w:trPr>
          <w:trHeight w:val="195"/>
        </w:trPr>
        <w:tc>
          <w:tcPr>
            <w:tcW w:w="800" w:type="dxa"/>
            <w:vAlign w:val="bottom"/>
          </w:tcPr>
          <w:p>
            <w:pPr>
              <w:ind w:left="40"/>
              <w:spacing w:after="0"/>
              <w:rPr>
                <w:sz w:val="20"/>
                <w:szCs w:val="20"/>
                <w:color w:val="auto"/>
              </w:rPr>
            </w:pPr>
            <w:r>
              <w:rPr>
                <w:rFonts w:ascii="Arial" w:cs="Arial" w:eastAsia="Arial" w:hAnsi="Arial"/>
                <w:sz w:val="16"/>
                <w:szCs w:val="16"/>
                <w:color w:val="auto"/>
              </w:rPr>
              <w:t>4.2</w:t>
            </w:r>
          </w:p>
        </w:tc>
        <w:tc>
          <w:tcPr>
            <w:tcW w:w="10620" w:type="dxa"/>
            <w:vAlign w:val="bottom"/>
          </w:tcPr>
          <w:p>
            <w:pPr>
              <w:ind w:left="160"/>
              <w:spacing w:after="0"/>
              <w:rPr>
                <w:sz w:val="20"/>
                <w:szCs w:val="20"/>
                <w:color w:val="auto"/>
              </w:rPr>
            </w:pPr>
            <w:r>
              <w:rPr>
                <w:rFonts w:ascii="Arial" w:cs="Arial" w:eastAsia="Arial" w:hAnsi="Arial"/>
                <w:sz w:val="16"/>
                <w:szCs w:val="16"/>
                <w:color w:val="auto"/>
              </w:rPr>
              <w:t>2010 (Commission File Number 001-06403).</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5.1</w:t>
            </w:r>
          </w:p>
        </w:tc>
        <w:tc>
          <w:tcPr>
            <w:tcW w:w="10620" w:type="dxa"/>
            <w:vAlign w:val="bottom"/>
          </w:tcPr>
          <w:p>
            <w:pPr>
              <w:ind w:left="160"/>
              <w:spacing w:after="0"/>
              <w:rPr>
                <w:sz w:val="20"/>
                <w:szCs w:val="20"/>
                <w:color w:val="auto"/>
              </w:rPr>
            </w:pPr>
            <w:r>
              <w:rPr>
                <w:rFonts w:ascii="Arial" w:cs="Arial" w:eastAsia="Arial" w:hAnsi="Arial"/>
                <w:sz w:val="16"/>
                <w:szCs w:val="16"/>
                <w:color w:val="auto"/>
              </w:rPr>
              <w:t>Opinion of counsel as to legality of the shares of common stock.</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23.1</w:t>
            </w:r>
          </w:p>
        </w:tc>
        <w:tc>
          <w:tcPr>
            <w:tcW w:w="10620" w:type="dxa"/>
            <w:vAlign w:val="bottom"/>
          </w:tcPr>
          <w:p>
            <w:pPr>
              <w:ind w:left="16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23.2</w:t>
            </w:r>
          </w:p>
        </w:tc>
        <w:tc>
          <w:tcPr>
            <w:tcW w:w="10620" w:type="dxa"/>
            <w:vAlign w:val="bottom"/>
          </w:tcPr>
          <w:p>
            <w:pPr>
              <w:ind w:left="160"/>
              <w:spacing w:after="0"/>
              <w:rPr>
                <w:sz w:val="20"/>
                <w:szCs w:val="20"/>
                <w:color w:val="auto"/>
              </w:rPr>
            </w:pPr>
            <w:r>
              <w:rPr>
                <w:rFonts w:ascii="Arial" w:cs="Arial" w:eastAsia="Arial" w:hAnsi="Arial"/>
                <w:sz w:val="16"/>
                <w:szCs w:val="16"/>
                <w:color w:val="auto"/>
              </w:rPr>
              <w:t>Legal counsel's consent (included in Exhibit 5.1 hereto).</w:t>
            </w:r>
          </w:p>
        </w:tc>
      </w:tr>
      <w:tr>
        <w:trPr>
          <w:trHeight w:val="243"/>
        </w:trPr>
        <w:tc>
          <w:tcPr>
            <w:tcW w:w="800" w:type="dxa"/>
            <w:vAlign w:val="bottom"/>
          </w:tcPr>
          <w:p>
            <w:pPr>
              <w:ind w:left="40"/>
              <w:spacing w:after="0"/>
              <w:rPr>
                <w:sz w:val="20"/>
                <w:szCs w:val="20"/>
                <w:color w:val="auto"/>
              </w:rPr>
            </w:pPr>
            <w:r>
              <w:rPr>
                <w:rFonts w:ascii="Arial" w:cs="Arial" w:eastAsia="Arial" w:hAnsi="Arial"/>
                <w:sz w:val="16"/>
                <w:szCs w:val="16"/>
                <w:color w:val="auto"/>
              </w:rPr>
              <w:t>24</w:t>
            </w:r>
          </w:p>
        </w:tc>
        <w:tc>
          <w:tcPr>
            <w:tcW w:w="10620" w:type="dxa"/>
            <w:vAlign w:val="bottom"/>
          </w:tcPr>
          <w:p>
            <w:pPr>
              <w:ind w:left="160"/>
              <w:spacing w:after="0"/>
              <w:rPr>
                <w:sz w:val="20"/>
                <w:szCs w:val="20"/>
                <w:color w:val="auto"/>
              </w:rPr>
            </w:pPr>
            <w:r>
              <w:rPr>
                <w:rFonts w:ascii="Arial" w:cs="Arial" w:eastAsia="Arial" w:hAnsi="Arial"/>
                <w:sz w:val="16"/>
                <w:szCs w:val="16"/>
                <w:color w:val="auto"/>
              </w:rPr>
              <w:t>Power of attorney (included on the signature page of the Registration Statement).</w:t>
            </w:r>
          </w:p>
        </w:tc>
      </w:tr>
    </w:tbl>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To be filed by Current Report on Form 8-K.</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 - 1</w:t>
      </w:r>
    </w:p>
    <w:p>
      <w:pPr>
        <w:sectPr>
          <w:pgSz w:w="11900" w:h="16838" w:orient="portrait"/>
          <w:cols w:equalWidth="0" w:num="1">
            <w:col w:w="11420"/>
          </w:cols>
          <w:pgMar w:left="240" w:top="5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17. UNDERTAKINGS.</w:t>
      </w:r>
    </w:p>
    <w:p>
      <w:pPr>
        <w:spacing w:after="0" w:line="11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5" w:lineRule="exact"/>
        <w:rPr>
          <w:rFonts w:ascii="Arial" w:cs="Arial" w:eastAsia="Arial" w:hAnsi="Arial"/>
          <w:sz w:val="16"/>
          <w:szCs w:val="16"/>
          <w:color w:val="auto"/>
        </w:rPr>
      </w:pPr>
    </w:p>
    <w:p>
      <w:pPr>
        <w:ind w:left="1620" w:hanging="153"/>
        <w:spacing w:after="0"/>
        <w:tabs>
          <w:tab w:leader="none" w:pos="1620"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5" w:lineRule="exact"/>
        <w:rPr>
          <w:rFonts w:ascii="Arial" w:cs="Arial" w:eastAsia="Arial" w:hAnsi="Arial"/>
          <w:sz w:val="16"/>
          <w:szCs w:val="16"/>
          <w:color w:val="auto"/>
        </w:rPr>
      </w:pPr>
    </w:p>
    <w:p>
      <w:pPr>
        <w:ind w:left="1620" w:right="20" w:hanging="153"/>
        <w:spacing w:after="0" w:line="246" w:lineRule="auto"/>
        <w:tabs>
          <w:tab w:leader="none" w:pos="1620"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w:t>
      </w:r>
    </w:p>
    <w:p>
      <w:pPr>
        <w:spacing w:after="0" w:line="1" w:lineRule="exact"/>
        <w:rPr>
          <w:sz w:val="20"/>
          <w:szCs w:val="20"/>
          <w:color w:val="auto"/>
        </w:rPr>
      </w:pPr>
    </w:p>
    <w:p>
      <w:pPr>
        <w:ind w:left="1620" w:right="120"/>
        <w:spacing w:after="0" w:line="246" w:lineRule="auto"/>
        <w:rPr>
          <w:sz w:val="20"/>
          <w:szCs w:val="20"/>
          <w:color w:val="auto"/>
        </w:rPr>
      </w:pPr>
      <w:r>
        <w:rPr>
          <w:rFonts w:ascii="Arial" w:cs="Arial" w:eastAsia="Arial" w:hAnsi="Arial"/>
          <w:sz w:val="16"/>
          <w:szCs w:val="16"/>
          <w:color w:val="auto"/>
        </w:rPr>
        <w:t>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 w:lineRule="exact"/>
        <w:rPr>
          <w:sz w:val="20"/>
          <w:szCs w:val="20"/>
          <w:color w:val="auto"/>
        </w:rPr>
      </w:pPr>
    </w:p>
    <w:p>
      <w:pPr>
        <w:ind w:left="1620" w:right="240" w:hanging="161"/>
        <w:spacing w:after="0" w:line="260" w:lineRule="auto"/>
        <w:rPr>
          <w:sz w:val="20"/>
          <w:szCs w:val="20"/>
          <w:color w:val="auto"/>
        </w:rPr>
      </w:pPr>
      <w:r>
        <w:rPr>
          <w:rFonts w:ascii="Arial" w:cs="Arial" w:eastAsia="Arial" w:hAnsi="Arial"/>
          <w:sz w:val="16"/>
          <w:szCs w:val="16"/>
          <w:color w:val="auto"/>
        </w:rPr>
        <w:t>iii.To include any material information with respect to the plan of distribution not previously disclosed in the registration statement or any material change to such information in the registration statement;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w:t>
      </w:r>
    </w:p>
    <w:p>
      <w:pPr>
        <w:spacing w:after="0" w:line="197" w:lineRule="exact"/>
        <w:rPr>
          <w:sz w:val="20"/>
          <w:szCs w:val="20"/>
          <w:color w:val="auto"/>
        </w:rPr>
      </w:pPr>
    </w:p>
    <w:p>
      <w:pPr>
        <w:ind w:left="2280" w:hanging="327"/>
        <w:spacing w:after="0" w:line="246" w:lineRule="auto"/>
        <w:tabs>
          <w:tab w:leader="none" w:pos="2280" w:val="left"/>
        </w:tabs>
        <w:numPr>
          <w:ilvl w:val="2"/>
          <w:numId w:val="7"/>
        </w:numPr>
        <w:rPr>
          <w:rFonts w:ascii="Arial" w:cs="Arial" w:eastAsia="Arial" w:hAnsi="Arial"/>
          <w:sz w:val="16"/>
          <w:szCs w:val="16"/>
          <w:color w:val="auto"/>
        </w:rPr>
      </w:pPr>
      <w:r>
        <w:rPr>
          <w:rFonts w:ascii="Arial" w:cs="Arial" w:eastAsia="Arial" w:hAnsi="Arial"/>
          <w:sz w:val="16"/>
          <w:szCs w:val="16"/>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w:t>
      </w:r>
    </w:p>
    <w:p>
      <w:pPr>
        <w:spacing w:after="0" w:line="1" w:lineRule="exact"/>
        <w:rPr>
          <w:rFonts w:ascii="Arial" w:cs="Arial" w:eastAsia="Arial" w:hAnsi="Arial"/>
          <w:sz w:val="16"/>
          <w:szCs w:val="16"/>
          <w:color w:val="auto"/>
        </w:rPr>
      </w:pPr>
    </w:p>
    <w:p>
      <w:pPr>
        <w:ind w:left="2280"/>
        <w:spacing w:after="0"/>
        <w:rPr>
          <w:rFonts w:ascii="Arial" w:cs="Arial" w:eastAsia="Arial" w:hAnsi="Arial"/>
          <w:sz w:val="16"/>
          <w:szCs w:val="16"/>
          <w:color w:val="auto"/>
        </w:rPr>
      </w:pPr>
      <w:r>
        <w:rPr>
          <w:rFonts w:ascii="Arial" w:cs="Arial" w:eastAsia="Arial" w:hAnsi="Arial"/>
          <w:sz w:val="16"/>
          <w:szCs w:val="16"/>
          <w:color w:val="auto"/>
        </w:rPr>
        <w:t>Rule 424(b) that is part of the registration statement.</w:t>
      </w:r>
    </w:p>
    <w:p>
      <w:pPr>
        <w:spacing w:after="0" w:line="194" w:lineRule="exact"/>
        <w:rPr>
          <w:rFonts w:ascii="Arial" w:cs="Arial" w:eastAsia="Arial" w:hAnsi="Arial"/>
          <w:sz w:val="16"/>
          <w:szCs w:val="16"/>
          <w:color w:val="auto"/>
        </w:rPr>
      </w:pPr>
    </w:p>
    <w:p>
      <w:pPr>
        <w:ind w:left="980" w:hanging="324"/>
        <w:spacing w:after="0" w:line="246"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 w:lineRule="exact"/>
        <w:rPr>
          <w:rFonts w:ascii="Arial" w:cs="Arial" w:eastAsia="Arial" w:hAnsi="Arial"/>
          <w:sz w:val="16"/>
          <w:szCs w:val="16"/>
          <w:color w:val="auto"/>
        </w:rPr>
      </w:pPr>
    </w:p>
    <w:p>
      <w:pPr>
        <w:ind w:left="980" w:right="820" w:hanging="324"/>
        <w:spacing w:after="0" w:line="246"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w:t>
      </w:r>
    </w:p>
    <w:p>
      <w:pPr>
        <w:spacing w:after="0" w:line="5" w:lineRule="exact"/>
        <w:rPr>
          <w:rFonts w:ascii="Arial" w:cs="Arial" w:eastAsia="Arial" w:hAnsi="Arial"/>
          <w:sz w:val="16"/>
          <w:szCs w:val="16"/>
          <w:color w:val="auto"/>
        </w:rPr>
      </w:pPr>
    </w:p>
    <w:p>
      <w:pPr>
        <w:ind w:left="1620" w:hanging="153"/>
        <w:spacing w:after="0"/>
        <w:tabs>
          <w:tab w:leader="none" w:pos="1620"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the registrant is relying on Rule 430B:</w:t>
      </w:r>
    </w:p>
    <w:p>
      <w:pPr>
        <w:spacing w:after="0" w:line="5" w:lineRule="exact"/>
        <w:rPr>
          <w:rFonts w:ascii="Arial" w:cs="Arial" w:eastAsia="Arial" w:hAnsi="Arial"/>
          <w:sz w:val="16"/>
          <w:szCs w:val="16"/>
          <w:color w:val="auto"/>
        </w:rPr>
      </w:pPr>
    </w:p>
    <w:p>
      <w:pPr>
        <w:ind w:left="2280" w:right="60" w:hanging="327"/>
        <w:spacing w:after="0" w:line="246" w:lineRule="auto"/>
        <w:tabs>
          <w:tab w:leader="none" w:pos="2280" w:val="left"/>
        </w:tabs>
        <w:numPr>
          <w:ilvl w:val="2"/>
          <w:numId w:val="8"/>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424(b)(3)shall be deemed to be part of the registration statement as of the date the filed prospectus was deemed part of and included in the registration statement; and</w:t>
      </w:r>
    </w:p>
    <w:p>
      <w:pPr>
        <w:ind w:left="2280" w:right="40" w:hanging="327"/>
        <w:spacing w:after="0" w:line="246" w:lineRule="auto"/>
        <w:tabs>
          <w:tab w:leader="none" w:pos="2280" w:val="left"/>
        </w:tabs>
        <w:numPr>
          <w:ilvl w:val="2"/>
          <w:numId w:val="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6" w:lineRule="exact"/>
        <w:rPr>
          <w:rFonts w:ascii="Arial" w:cs="Arial" w:eastAsia="Arial" w:hAnsi="Arial"/>
          <w:sz w:val="16"/>
          <w:szCs w:val="16"/>
          <w:color w:val="auto"/>
        </w:rPr>
      </w:pPr>
    </w:p>
    <w:p>
      <w:pPr>
        <w:ind w:left="1620" w:right="60" w:hanging="153"/>
        <w:spacing w:after="0" w:line="246" w:lineRule="auto"/>
        <w:tabs>
          <w:tab w:leader="none" w:pos="1620"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 w:lineRule="exact"/>
        <w:rPr>
          <w:rFonts w:ascii="Arial" w:cs="Arial" w:eastAsia="Arial" w:hAnsi="Arial"/>
          <w:sz w:val="16"/>
          <w:szCs w:val="16"/>
          <w:color w:val="auto"/>
        </w:rPr>
      </w:pPr>
    </w:p>
    <w:p>
      <w:pPr>
        <w:ind w:left="980" w:right="400" w:hanging="324"/>
        <w:spacing w:after="0" w:line="260"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w:t>
      </w:r>
    </w:p>
    <w:p>
      <w:pPr>
        <w:spacing w:after="0" w:line="222" w:lineRule="exact"/>
        <w:rPr>
          <w:rFonts w:ascii="Arial" w:cs="Arial" w:eastAsia="Arial" w:hAnsi="Arial"/>
          <w:sz w:val="16"/>
          <w:szCs w:val="16"/>
          <w:color w:val="auto"/>
        </w:rPr>
      </w:pPr>
    </w:p>
    <w:p>
      <w:pPr>
        <w:ind w:left="5680" w:hanging="128"/>
        <w:spacing w:after="0"/>
        <w:tabs>
          <w:tab w:leader="none" w:pos="5680" w:val="left"/>
        </w:tabs>
        <w:numPr>
          <w:ilvl w:val="3"/>
          <w:numId w:val="8"/>
        </w:numPr>
        <w:rPr>
          <w:rFonts w:ascii="Arial" w:cs="Arial" w:eastAsia="Arial" w:hAnsi="Arial"/>
          <w:sz w:val="16"/>
          <w:szCs w:val="16"/>
          <w:color w:val="auto"/>
        </w:rPr>
      </w:pPr>
      <w:r>
        <w:rPr>
          <w:rFonts w:ascii="Arial" w:cs="Arial" w:eastAsia="Arial" w:hAnsi="Arial"/>
          <w:sz w:val="16"/>
          <w:szCs w:val="16"/>
          <w:color w:val="auto"/>
        </w:rPr>
        <w:t>- 2</w:t>
      </w:r>
    </w:p>
    <w:p>
      <w:pPr>
        <w:sectPr>
          <w:pgSz w:w="11900" w:h="16838" w:orient="portrait"/>
          <w:cols w:equalWidth="0" w:num="1">
            <w:col w:w="11400"/>
          </w:cols>
          <w:pgMar w:left="240" w:top="657" w:right="259" w:bottom="1440" w:gutter="0" w:footer="0" w:header="0"/>
        </w:sectPr>
      </w:pPr>
    </w:p>
    <w:bookmarkStart w:id="14" w:name="page15"/>
    <w:bookmarkEnd w:id="14"/>
    <w:p>
      <w:pPr>
        <w:ind w:right="20" w:firstLine="648"/>
        <w:spacing w:after="0" w:line="24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 w:lineRule="exact"/>
        <w:rPr>
          <w:sz w:val="20"/>
          <w:szCs w:val="20"/>
          <w:color w:val="auto"/>
        </w:rPr>
      </w:pPr>
    </w:p>
    <w:p>
      <w:pPr>
        <w:ind w:left="1660" w:hanging="193"/>
        <w:spacing w:after="0"/>
        <w:tabs>
          <w:tab w:leader="none" w:pos="1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5" w:lineRule="exact"/>
        <w:rPr>
          <w:rFonts w:ascii="Arial" w:cs="Arial" w:eastAsia="Arial" w:hAnsi="Arial"/>
          <w:sz w:val="16"/>
          <w:szCs w:val="16"/>
          <w:color w:val="auto"/>
        </w:rPr>
      </w:pPr>
    </w:p>
    <w:p>
      <w:pPr>
        <w:ind w:left="1620" w:right="200" w:hanging="153"/>
        <w:spacing w:after="0" w:line="246"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1" w:lineRule="exact"/>
        <w:rPr>
          <w:sz w:val="20"/>
          <w:szCs w:val="20"/>
          <w:color w:val="auto"/>
        </w:rPr>
      </w:pPr>
    </w:p>
    <w:p>
      <w:pPr>
        <w:ind w:left="1620" w:right="100" w:hanging="161"/>
        <w:spacing w:after="0" w:line="246" w:lineRule="auto"/>
        <w:rPr>
          <w:sz w:val="20"/>
          <w:szCs w:val="20"/>
          <w:color w:val="auto"/>
        </w:rPr>
      </w:pPr>
      <w:r>
        <w:rPr>
          <w:rFonts w:ascii="Arial" w:cs="Arial" w:eastAsia="Arial" w:hAnsi="Arial"/>
          <w:sz w:val="16"/>
          <w:szCs w:val="16"/>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iv.Any other communication that is an offer in the offering made by the undersigned registrant to the purchaser.</w:t>
      </w:r>
    </w:p>
    <w:p>
      <w:pPr>
        <w:spacing w:after="0" w:line="86"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9"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 - 3</w:t>
      </w:r>
    </w:p>
    <w:p>
      <w:pPr>
        <w:sectPr>
          <w:pgSz w:w="11900" w:h="16838" w:orient="portrait"/>
          <w:cols w:equalWidth="0" w:num="1">
            <w:col w:w="11360"/>
          </w:cols>
          <w:pgMar w:left="240" w:top="601" w:right="29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on April 4, 2013.</w:t>
      </w:r>
    </w:p>
    <w:p>
      <w:pPr>
        <w:spacing w:after="0" w:line="200" w:lineRule="exact"/>
        <w:rPr>
          <w:sz w:val="20"/>
          <w:szCs w:val="20"/>
          <w:color w:val="auto"/>
        </w:rPr>
      </w:pPr>
    </w:p>
    <w:p>
      <w:pPr>
        <w:spacing w:after="0" w:line="317"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200"/>
        <w:spacing w:after="0"/>
        <w:tabs>
          <w:tab w:leader="none" w:pos="38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229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66"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Randy J. Potts</w:t>
      </w:r>
    </w:p>
    <w:p>
      <w:pPr>
        <w:spacing w:after="0" w:line="383"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Chairman of the Board, Chief Executive</w:t>
      </w:r>
    </w:p>
    <w:p>
      <w:pPr>
        <w:spacing w:after="0" w:line="86"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Officer, President and Director</w:t>
      </w:r>
    </w:p>
    <w:p>
      <w:pPr>
        <w:spacing w:after="0" w:line="86"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(Principal Executive Officer)</w:t>
      </w:r>
    </w:p>
    <w:p>
      <w:pPr>
        <w:spacing w:after="0" w:line="221" w:lineRule="exact"/>
        <w:rPr>
          <w:sz w:val="20"/>
          <w:szCs w:val="20"/>
          <w:color w:val="auto"/>
        </w:rPr>
      </w:pPr>
    </w:p>
    <w:p>
      <w:pPr>
        <w:ind w:right="540" w:firstLine="648"/>
        <w:spacing w:after="0" w:line="260"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below on April 4, 2013, by the following persons on behalf of the Registrant and in the capacities indicated.</w:t>
      </w:r>
    </w:p>
    <w:p>
      <w:pPr>
        <w:spacing w:after="0" w:line="169"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Each person whose signature appears below hereby constitutes and appoints Randy J. Potts, Scott C. Folkers and Sarah N. Nielsen as such person's true and lawful attorney-in-fact and agent with full power and substitution for such person and in such person's name, place and stead, in any and all capacities, to sign and to file with the Securities and Exchange Commission, any and all amendments and post-effective amendments to this registration statement, with exhibits thereto and other documents in connection therewith, including any registration statements or amendments thereto filed pursuant to Rule 462(b) under the Securities Act,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therefor,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 - 4</w:t>
      </w:r>
    </w:p>
    <w:p>
      <w:pPr>
        <w:sectPr>
          <w:pgSz w:w="11900" w:h="16838" w:orient="portrait"/>
          <w:cols w:equalWidth="0" w:num="1">
            <w:col w:w="11400"/>
          </w:cols>
          <w:pgMar w:left="240" w:top="576" w:right="259" w:bottom="1440" w:gutter="0" w:footer="0" w:header="0"/>
        </w:sectPr>
      </w:pPr>
    </w:p>
    <w:bookmarkStart w:id="16" w:name="page17"/>
    <w:bookmarkEnd w:id="16"/>
    <w:p>
      <w:pPr>
        <w:jc w:val="right"/>
        <w:ind w:right="1400"/>
        <w:spacing w:after="0"/>
        <w:rPr>
          <w:sz w:val="20"/>
          <w:szCs w:val="20"/>
          <w:color w:val="auto"/>
        </w:rPr>
      </w:pPr>
      <w:r>
        <w:rPr>
          <w:rFonts w:ascii="Arial" w:cs="Arial" w:eastAsia="Arial" w:hAnsi="Arial"/>
          <w:sz w:val="16"/>
          <w:szCs w:val="16"/>
          <w:b w:val="1"/>
          <w:bCs w:val="1"/>
          <w:u w:val="single" w:color="auto"/>
          <w:color w:val="auto"/>
        </w:rPr>
        <w:t>Signature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Randy J. Potts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Sarah N. Nielsen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 Irvin E. 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Irvin E. Aal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Robert M. Chiusano</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 Jerry N.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Jerry N. Currie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Lawrence A. Erickson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Robert J. Olson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 Martha T. Rodamaker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Martha T. Rodamaker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 Mark T. Schroepfer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Mark T. Schroepfer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Scott C. Folkers</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6"/>
          <w:szCs w:val="16"/>
          <w:b w:val="1"/>
          <w:bCs w:val="1"/>
          <w:u w:val="single" w:color="auto"/>
          <w:color w:val="auto"/>
        </w:rPr>
        <w:t>Capacity</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Chief Executive Officer,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II - 5</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6"/>
          <w:szCs w:val="16"/>
          <w:b w:val="1"/>
          <w:bCs w:val="1"/>
          <w:u w:val="single" w:color="auto"/>
          <w:color w:val="auto"/>
        </w:rPr>
        <w:t>Date</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p>
      <w:pPr>
        <w:sectPr>
          <w:pgSz w:w="11900" w:h="16838" w:orient="portrait"/>
          <w:cols w:equalWidth="0" w:num="3">
            <w:col w:w="3860" w:space="720"/>
            <w:col w:w="4320" w:space="720"/>
            <w:col w:w="900"/>
          </w:cols>
          <w:pgMar w:left="280" w:top="770" w:right="1099" w:bottom="1440" w:gutter="0" w:footer="0" w:header="0"/>
        </w:sectPr>
      </w:pPr>
    </w:p>
    <w:bookmarkStart w:id="17" w:name="page18"/>
    <w:bookmarkEnd w:id="17"/>
    <w:p>
      <w:pPr>
        <w:jc w:val="center"/>
        <w:ind w:right="-100"/>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9099"/>
          </w:cols>
          <w:pgMar w:left="1360" w:top="576" w:right="1440" w:bottom="1440" w:gutter="0" w:footer="0" w:header="0"/>
        </w:sect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31750</wp:posOffset>
            </wp:positionV>
            <wp:extent cx="5857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3000" w:space="720"/>
            <w:col w:w="5379"/>
          </w:cols>
          <w:pgMar w:left="1360" w:top="576" w:right="1440" w:bottom="1440" w:gutter="0" w:footer="0" w:header="0"/>
          <w:type w:val="continuous"/>
        </w:sectPr>
      </w:pPr>
    </w:p>
    <w:p>
      <w:pPr>
        <w:spacing w:after="0"/>
        <w:tabs>
          <w:tab w:leader="none" w:pos="7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Form of Underwriting or Distribution Agreement for Common Stock*</w:t>
      </w:r>
    </w:p>
    <w:p>
      <w:pPr>
        <w:spacing w:after="0" w:line="86" w:lineRule="exact"/>
        <w:rPr>
          <w:sz w:val="20"/>
          <w:szCs w:val="20"/>
          <w:color w:val="auto"/>
        </w:rPr>
      </w:pPr>
    </w:p>
    <w:p>
      <w:pPr>
        <w:ind w:left="760" w:right="999" w:hanging="755"/>
        <w:spacing w:after="0" w:line="192" w:lineRule="exact"/>
        <w:tabs>
          <w:tab w:leader="none" w:pos="74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Articles of Incorporation, incorporated by reference in Exhibit 3a of the Company's Quarterly Report on Form 10-Q for the quarter ended May 27, 2000 (Commission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49" w:lineRule="exact"/>
        <w:rPr>
          <w:sz w:val="20"/>
          <w:szCs w:val="20"/>
          <w:color w:val="auto"/>
        </w:rPr>
      </w:pPr>
    </w:p>
    <w:p>
      <w:pPr>
        <w:ind w:left="760" w:right="939" w:hanging="755"/>
        <w:spacing w:after="0" w:line="192" w:lineRule="exact"/>
        <w:tabs>
          <w:tab w:leader="none" w:pos="7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Amended By</w:t>
      </w:r>
      <w:r>
        <w:rPr>
          <w:rFonts w:ascii="MS PGothic" w:cs="MS PGothic" w:eastAsia="MS PGothic" w:hAnsi="MS PGothic"/>
          <w:sz w:val="16"/>
          <w:szCs w:val="16"/>
          <w:color w:val="auto"/>
        </w:rPr>
        <w:t>‑</w:t>
      </w:r>
      <w:r>
        <w:rPr>
          <w:rFonts w:ascii="Arial" w:cs="Arial" w:eastAsia="Arial" w:hAnsi="Arial"/>
          <w:sz w:val="16"/>
          <w:szCs w:val="16"/>
          <w:color w:val="auto"/>
        </w:rPr>
        <w:t>Laws of the Registrant, incorporated by reference in Exhibit 3.1 of the Company's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dated March 24, 2010 (Commission File Number 001-06403).</w:t>
      </w:r>
    </w:p>
    <w:p>
      <w:pPr>
        <w:spacing w:after="0" w:line="4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Opinion of counsel as to legality of the shares of common stock.</w:t>
      </w:r>
    </w:p>
    <w:p>
      <w:pPr>
        <w:spacing w:after="0" w:line="8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8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6"/>
          <w:szCs w:val="16"/>
          <w:color w:val="auto"/>
        </w:rPr>
        <w:t>Legal counsel's consent (included in Exhibit 5.1 hereto).</w:t>
      </w:r>
    </w:p>
    <w:p>
      <w:pPr>
        <w:spacing w:after="0" w:line="86" w:lineRule="exact"/>
        <w:rPr>
          <w:sz w:val="20"/>
          <w:szCs w:val="20"/>
          <w:color w:val="auto"/>
        </w:rPr>
      </w:pPr>
    </w:p>
    <w:p>
      <w:pPr>
        <w:ind w:left="760" w:hanging="751"/>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Power of attorney (included on the signature page of the Registration Statement).</w:t>
      </w:r>
    </w:p>
    <w:p>
      <w:pPr>
        <w:spacing w:after="0" w:line="1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_________________________</w:t>
      </w:r>
    </w:p>
    <w:p>
      <w:pPr>
        <w:spacing w:after="0" w:line="8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To be filed by Current Report on Form 8-K.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4560" w:hanging="128"/>
        <w:spacing w:after="0"/>
        <w:tabs>
          <w:tab w:leader="none" w:pos="45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- 6</w:t>
      </w:r>
    </w:p>
    <w:p>
      <w:pPr>
        <w:sectPr>
          <w:pgSz w:w="11900" w:h="16838" w:orient="portrait"/>
          <w:cols w:equalWidth="0" w:num="1">
            <w:col w:w="9099"/>
          </w:cols>
          <w:pgMar w:left="1360" w:top="576"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Chapman and Cutler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Attorneys at Law</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4, 2013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 50436</w:t>
      </w:r>
    </w:p>
    <w:p>
      <w:pPr>
        <w:spacing w:after="0" w:line="383" w:lineRule="exact"/>
        <w:rPr>
          <w:sz w:val="20"/>
          <w:szCs w:val="20"/>
          <w:color w:val="auto"/>
        </w:rPr>
      </w:pPr>
    </w:p>
    <w:p>
      <w:pPr>
        <w:ind w:left="2040"/>
        <w:spacing w:after="0"/>
        <w:tabs>
          <w:tab w:leader="none" w:pos="468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Winnebago Industries, Inc.</w:t>
      </w:r>
    </w:p>
    <w:p>
      <w:pPr>
        <w:spacing w:after="0" w:line="86" w:lineRule="exact"/>
        <w:rPr>
          <w:sz w:val="20"/>
          <w:szCs w:val="20"/>
          <w:color w:val="auto"/>
        </w:rPr>
      </w:pPr>
    </w:p>
    <w:p>
      <w:pPr>
        <w:ind w:left="4700"/>
        <w:spacing w:after="0"/>
        <w:rPr>
          <w:sz w:val="20"/>
          <w:szCs w:val="20"/>
          <w:color w:val="auto"/>
        </w:rPr>
      </w:pPr>
      <w:r>
        <w:rPr>
          <w:rFonts w:ascii="Arial" w:cs="Arial" w:eastAsia="Arial" w:hAnsi="Arial"/>
          <w:sz w:val="16"/>
          <w:szCs w:val="16"/>
          <w:u w:val="single" w:color="auto"/>
          <w:color w:val="auto"/>
        </w:rPr>
        <w:t>Registration Statement on Form S-3</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32" w:lineRule="exact"/>
        <w:rPr>
          <w:sz w:val="20"/>
          <w:szCs w:val="20"/>
          <w:color w:val="auto"/>
        </w:rPr>
      </w:pPr>
    </w:p>
    <w:p>
      <w:pPr>
        <w:jc w:val="both"/>
        <w:ind w:firstLine="648"/>
        <w:spacing w:after="0" w:line="194" w:lineRule="exact"/>
        <w:rPr>
          <w:sz w:val="20"/>
          <w:szCs w:val="20"/>
          <w:color w:val="auto"/>
        </w:rPr>
      </w:pPr>
      <w:r>
        <w:rPr>
          <w:rFonts w:ascii="Arial" w:cs="Arial" w:eastAsia="Arial" w:hAnsi="Arial"/>
          <w:sz w:val="16"/>
          <w:szCs w:val="16"/>
          <w:color w:val="auto"/>
        </w:rPr>
        <w:t xml:space="preserve">We have acted as counsel to Winnebago Industries, Inc., an Iowa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in connection with the preparation and filing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xml:space="preserve">)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of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 xml:space="preserve">3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xml:space="preserve">) relating to the offering from time to time, of shares of the Company's common stock, par value $0.50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The Common Stock offered hereunder is to be offered by the Company on a delayed or continuous basis pursuant to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Rule 415 under the Securities Act.</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connection with this opinion, we have examined such corporate records, documents, instruments, certificates of public officials and of the Company and such questions of law we have deemed necessary for the purpose of rendering the opinions set forth herein. We have also examined the Registration Statement. In such examination,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documents reviewed by us had the legal capacity to do so and (v) each person signing in a representative capacity (other than on behalf of the Company) any document reviewed by us had authority to sign in such capacity. As to any facts material to our opinion, we have made no independent investigation of such facts and have relied, to the extent that we deem such reliance proper, upon certificates of public officials and officers or other representatives of the Company.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opinions hereinafter expressed are subject to the following qualifications and exceptions:</w:t>
      </w:r>
    </w:p>
    <w:p>
      <w:pPr>
        <w:spacing w:after="0" w:line="248" w:lineRule="exact"/>
        <w:rPr>
          <w:sz w:val="20"/>
          <w:szCs w:val="20"/>
          <w:color w:val="auto"/>
        </w:rPr>
      </w:pPr>
    </w:p>
    <w:p>
      <w:pPr>
        <w:jc w:val="both"/>
        <w:ind w:left="660" w:firstLine="645"/>
        <w:spacing w:after="0" w:line="253" w:lineRule="auto"/>
        <w:tabs>
          <w:tab w:leader="none" w:pos="172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bankruptcy, insolvency, reorganization, arrangement, moratorium or other similar laws relating to or affecting the rights of creditors generally, including, without limitation, laws relating to fraudulent transfers or conveyances, preferences and equitable subordination, and without limiting the generality of the foregoing qualification;</w:t>
      </w:r>
    </w:p>
    <w:p>
      <w:pPr>
        <w:spacing w:after="0" w:line="228" w:lineRule="exact"/>
        <w:rPr>
          <w:rFonts w:ascii="Arial" w:cs="Arial" w:eastAsia="Arial" w:hAnsi="Arial"/>
          <w:sz w:val="16"/>
          <w:szCs w:val="16"/>
          <w:color w:val="auto"/>
        </w:rPr>
      </w:pPr>
    </w:p>
    <w:p>
      <w:pPr>
        <w:jc w:val="both"/>
        <w:ind w:left="660" w:firstLine="645"/>
        <w:spacing w:after="0" w:line="253" w:lineRule="auto"/>
        <w:tabs>
          <w:tab w:leader="none" w:pos="17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limitations imposed by general principles of equity upon the availability of equitable remedies and the effect of judicial decisions which have held that certain provisions are unenforceable where their enforcement would violate the implied covenant of good faith and fair dealing, or which would be commercially unreasonable, or where their breach is not material;</w:t>
      </w:r>
    </w:p>
    <w:p>
      <w:pPr>
        <w:spacing w:after="0" w:line="228" w:lineRule="exact"/>
        <w:rPr>
          <w:rFonts w:ascii="Arial" w:cs="Arial" w:eastAsia="Arial" w:hAnsi="Arial"/>
          <w:sz w:val="16"/>
          <w:szCs w:val="16"/>
          <w:color w:val="auto"/>
        </w:rPr>
      </w:pPr>
    </w:p>
    <w:p>
      <w:pPr>
        <w:ind w:left="660" w:right="20" w:firstLine="645"/>
        <w:spacing w:after="0" w:line="260" w:lineRule="auto"/>
        <w:tabs>
          <w:tab w:leader="none" w:pos="1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any provisions of any agreement providing for indemnification or contribution, to the extent such indemnification or contribution is against public policy;</w:t>
      </w:r>
    </w:p>
    <w:p>
      <w:pPr>
        <w:spacing w:after="0" w:line="222" w:lineRule="exact"/>
        <w:rPr>
          <w:rFonts w:ascii="Arial" w:cs="Arial" w:eastAsia="Arial" w:hAnsi="Arial"/>
          <w:sz w:val="16"/>
          <w:szCs w:val="16"/>
          <w:color w:val="auto"/>
        </w:rPr>
      </w:pPr>
    </w:p>
    <w:p>
      <w:pPr>
        <w:ind w:left="660" w:right="20" w:firstLine="645"/>
        <w:spacing w:after="0" w:line="260" w:lineRule="auto"/>
        <w:tabs>
          <w:tab w:leader="none" w:pos="171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opinion is based upon current statutes, rules, regulations, cases and official interpretative opinions, and it covers certain items that are not directly or definitively addressed by such authorities.</w:t>
      </w:r>
    </w:p>
    <w:p>
      <w:pPr>
        <w:spacing w:after="0" w:line="22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Based upon the foregoing and subject to the qualifications and limitations set forth herein, we are of the opinion that when (i) the Board of Directors of the Company has taken all necessary corporate action to approve the issuance and terms of the Common Stock, the terms of the offering thereof and related matters, (ii) the Registration Statement, as finally amended (including all necessary post-effective amendments), has become effective under the Securities Act and (iii) the Common Stock has been</w:t>
      </w:r>
    </w:p>
    <w:p>
      <w:pPr>
        <w:sectPr>
          <w:pgSz w:w="11900" w:h="16838" w:orient="portrait"/>
          <w:cols w:equalWidth="0" w:num="1">
            <w:col w:w="11420"/>
          </w:cols>
          <w:pgMar w:left="240" w:top="601" w:right="239" w:bottom="144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16"/>
          <w:szCs w:val="16"/>
          <w:color w:val="auto"/>
        </w:rPr>
        <w:t>delivered by the Company upon purchase thereof and payment in full therefore as contemplated by the prospectus contained in the Registration Statement and any prospectus supplements, the Common Stock will be validly issued, fully paid and nonassessable.</w:t>
      </w:r>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In rendering the opinions expressed above, we have further assumed that (i) the Registration Statement, and any amendments thereto (including any post-effective amendments), will comply with all applicable laws and such effectiveness shall not have been terminated or rescinded, (ii) a prospectus supplement will have been prepared and timely filed with the Commission describing the Common Stock, (iii) all Common Stock will be issued and sold in compliance with applicable federal and state securities laws and in the manner stated in the Registration Statement and the applicable prospectus supplement,</w:t>
      </w:r>
    </w:p>
    <w:p>
      <w:pPr>
        <w:spacing w:after="0" w:line="2" w:lineRule="exact"/>
        <w:rPr>
          <w:sz w:val="20"/>
          <w:szCs w:val="20"/>
          <w:color w:val="auto"/>
        </w:rPr>
      </w:pPr>
    </w:p>
    <w:p>
      <w:pPr>
        <w:jc w:val="both"/>
        <w:ind w:firstLine="8"/>
        <w:spacing w:after="0" w:line="248" w:lineRule="auto"/>
        <w:tabs>
          <w:tab w:leader="none" w:pos="2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required by the transaction, a definitive purchase, underwriting or similar agreement with respect to any offer and sale of the Common Stock covered by the Registration Statement will have been duly authorized and validly executed and delivered by the Company and the other parties thereto, (v) the Company will authorize the offering and issuance of the Common Stock and will authorize, execute and deliver any and all documents contemplated thereby or by the Registration Statement or any applicable prospectus supplement relating thereto, and will take any other appropriate additional corporate action with respect thereto, (vi) certificates, if required, representing the Common Stock will be duly executed and delivered and, to the extent required by any applicable agreement, duly authenticated and countersigned and (vii) a sufficient number of shares of Common Stock will be authorized and available for issuance and the consideration therefor will not be less than the par value of the shares of the Common Stock.</w:t>
      </w:r>
    </w:p>
    <w:p>
      <w:pPr>
        <w:spacing w:after="0" w:line="23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foregoing opinions are limited in all respects to the corporate laws of the State of Iowa and the federal laws of United States of America, in each case, that, in our experience, are normally applicable to transactions of the type contemplated by the Registration Statement and, to the extent that judicial or regulatory orders or decrees or consents, approvals, licenses, authorizations, validations, filings, recordings or registrations with governmental authorities are relevant, to those required under such laws, and we do not express any opinions as to the laws of any other jurisdiction. The Common Stock may be issued from time to time on a delayed or continuous basis, and this opinion is limited to the laws, including the rules and regulations, as in effect on the date hereof, which laws are subject to change with possible retroactive effect and to the facts as they presently exist.</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hereby consent to the use of our name under the heading “Legal Opinions” in the Registration Statement to be filed by the Company with the Commission. We further consent to your filing a copy of this opinion as Exhibit 5.1 to the Registration Statement. In giving such permission, we do not admit hereby that we come within the category of persons whose consent is required under Section 7 of the Securities Act, or the rules and regulations of the Commission thereunder. We disclaim any undertaking to advise you of any subsequent changes of the facts stated or assumed herein or any subsequent changes in applicable law.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Sincerely,</w:t>
      </w:r>
    </w:p>
    <w:p>
      <w:pPr>
        <w:spacing w:after="0" w:line="356" w:lineRule="exact"/>
        <w:rPr>
          <w:sz w:val="20"/>
          <w:szCs w:val="20"/>
          <w:color w:val="auto"/>
        </w:rPr>
      </w:pPr>
    </w:p>
    <w:p>
      <w:pPr>
        <w:ind w:left="3620"/>
        <w:spacing w:after="0"/>
        <w:tabs>
          <w:tab w:leader="none" w:pos="3940" w:val="left"/>
        </w:tabs>
        <w:rPr>
          <w:sz w:val="20"/>
          <w:szCs w:val="20"/>
          <w:color w:val="auto"/>
        </w:rPr>
      </w:pPr>
      <w:r>
        <w:rPr>
          <w:rFonts w:ascii="Arial" w:cs="Arial" w:eastAsia="Arial" w:hAnsi="Arial"/>
          <w:sz w:val="16"/>
          <w:szCs w:val="16"/>
          <w:color w:val="auto"/>
        </w:rPr>
        <w:t>/s/</w:t>
        <w:tab/>
        <w:t>Chapman and Cutler LLP</w:t>
      </w:r>
    </w:p>
    <w:p>
      <w:pPr>
        <w:sectPr>
          <w:pgSz w:w="11900" w:h="16838" w:orient="portrait"/>
          <w:cols w:equalWidth="0" w:num="1">
            <w:col w:w="11420"/>
          </w:cols>
          <w:pgMar w:left="240" w:top="844" w:right="23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Exhibit 23.1</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CONSENT OF INDEPENDENT</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REGISTERED PUBLIC ACCOUNTING FIRM</w:t>
      </w:r>
    </w:p>
    <w:p>
      <w:pPr>
        <w:spacing w:after="0" w:line="383"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We consent to the incorporation by reference in the Registration Statement on Form S-3 of our reports dated October 23, 2012, relating to the financial statements of Winnebago Industries, Inc. (the "Company"), and the effectiveness of the Company's internal control over financial reporting, appearing in the Annual Report on Form 10-K of Winnebago Industries, Inc. for the year ended August 25, 2012, and the reference to us under the heading "Experts"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Deloitte &amp; Touche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4, 2013</w:t>
      </w: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1220085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7">
    <w:nsid w:val="4DB127F8"/>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lvl w:ilvl="3">
      <w:lvlJc w:val="left"/>
      <w:lvlText w:val="%4"/>
      <w:numFmt w:val="upperLetter"/>
      <w:start w:val="35"/>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decimal"/>
      <w:start w:val="24"/>
    </w:lvl>
    <w:lvl w:ilvl="1">
      <w:lvlJc w:val="left"/>
      <w:lvlText w:val="%2"/>
      <w:numFmt w:val="upperLetter"/>
      <w:start w:val="3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2019-12-05T16:37:58Z</dcterms:created>
  <dcterms:modified xsi:type="dcterms:W3CDTF">2019-12-05T16:37:58Z</dcterms:modified>
</cp:coreProperties>
</file>