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15, 2009, as Exhibit 99.1 which is included herein. The press release was issued to report its financial results for the fourth quarter and fiscal 2009 ended August 29, 2009.</w:t>
      </w:r>
    </w:p>
    <w:p>
      <w:pPr>
        <w:spacing w:after="0" w:line="167"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158"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In connection with the release of its financial results, Winnebago Industries will host a conference call on October 15, 2009 at 9:00 a.m. Central time. Details regarding the conference call are contained in the press release included herein.</w:t>
      </w:r>
    </w:p>
    <w:p>
      <w:pPr>
        <w:spacing w:after="0" w:line="27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46" w:lineRule="exact"/>
        <w:rPr>
          <w:sz w:val="24"/>
          <w:szCs w:val="24"/>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15, 2009.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ectPr>
          <w:pgSz w:w="11900" w:h="16838" w:orient="portrait"/>
          <w:cols w:equalWidth="0" w:num="1">
            <w:col w:w="11420"/>
          </w:cols>
          <w:pgMar w:left="240" w:top="786" w:right="239" w:bottom="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October 15, 2009</w:t>
      </w:r>
      <w:r>
        <w:rPr>
          <w:sz w:val="20"/>
          <w:szCs w:val="20"/>
          <w:color w:val="auto"/>
        </w:rPr>
        <w:tab/>
      </w:r>
      <w:r>
        <w:rPr>
          <w:rFonts w:ascii="Arial" w:cs="Arial" w:eastAsia="Arial" w:hAnsi="Arial"/>
          <w:sz w:val="21"/>
          <w:szCs w:val="21"/>
          <w:color w:val="auto"/>
        </w:rPr>
        <w:t>W</w:t>
      </w:r>
      <w:r>
        <w:rPr>
          <w:rFonts w:ascii="Arial" w:cs="Arial" w:eastAsia="Arial" w:hAnsi="Arial"/>
          <w:sz w:val="16"/>
          <w:szCs w:val="16"/>
          <w:color w:val="auto"/>
        </w:rPr>
        <w:t>INNEBAGO INDUSTRIES,</w:t>
      </w:r>
      <w:r>
        <w:rPr>
          <w:rFonts w:ascii="Arial" w:cs="Arial" w:eastAsia="Arial" w:hAnsi="Arial"/>
          <w:sz w:val="21"/>
          <w:szCs w:val="21"/>
          <w:color w:val="auto"/>
        </w:rPr>
        <w:t xml:space="preserve"> I</w:t>
      </w:r>
      <w:r>
        <w:rPr>
          <w:rFonts w:ascii="Arial" w:cs="Arial" w:eastAsia="Arial" w:hAnsi="Arial"/>
          <w:sz w:val="16"/>
          <w:szCs w:val="16"/>
          <w:color w:val="auto"/>
        </w:rPr>
        <w:t>NC.</w:t>
      </w:r>
    </w:p>
    <w:p>
      <w:pPr>
        <w:spacing w:after="0" w:line="258"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18"/>
          <w:szCs w:val="18"/>
          <w:color w:val="auto"/>
        </w:rPr>
        <w:t>By:</w:t>
        <w:tab/>
        <w:t>/s/ Robert J. Olson</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-129540</wp:posOffset>
            </wp:positionV>
            <wp:extent cx="2444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ind w:left="590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NDEX</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1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 FOR FOURTH QUARTER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FISCAL 2009</w:t>
      </w:r>
    </w:p>
    <w:p>
      <w:pPr>
        <w:jc w:val="center"/>
        <w:spacing w:after="0"/>
        <w:rPr>
          <w:sz w:val="20"/>
          <w:szCs w:val="20"/>
          <w:color w:val="auto"/>
        </w:rPr>
      </w:pPr>
      <w:r>
        <w:rPr>
          <w:rFonts w:ascii="Arial" w:cs="Arial" w:eastAsia="Arial" w:hAnsi="Arial"/>
          <w:sz w:val="22"/>
          <w:szCs w:val="22"/>
          <w:color w:val="auto"/>
        </w:rPr>
        <w:t>-- Sales Order Backlog Increase of 58 Percent; Net Loss Includes Non-Cash Tax Charges --</w:t>
      </w:r>
    </w:p>
    <w:p>
      <w:pPr>
        <w:spacing w:after="0" w:line="20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FOREST CITY, IOWA, October 15, 2009 – Winnebago Industries, Inc. (NYSE:WGO), the leading United States motor home manufacturer, today reported financial results for the Company’s fourth quarter and fiscal year ended August 29, 2009.</w:t>
      </w:r>
    </w:p>
    <w:p>
      <w:pPr>
        <w:spacing w:after="0" w:line="18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Revenues for the fourth quarter ended August 29, 2009 were $59.5 million versus $85.3 million for the fourth quarter last year. The Company reported an operating loss of $9.2 million for the quarter versus an operating loss of $18.9 million for the fourth quarter of fiscal 2008. Included in the operating loss for the quarter was a non-cash charge of $855,000 related to the asset impairment of the Hampton, Iowa fiberglass facility during the quarter. Net loss for the fourth quarter was $50.2 million versus $12.7 million for the fourth quarter of fiscal 2008. On a diluted per share basis, the Company had a net loss of $1.73 for the fourth quarter of fiscal 2009 versus a net loss of 44 cents for the fourth quarter last year. The net loss for the quarter included a non-cash charge of $41.1 million, or $1.41 per diluted share, related to the establishment of a full valuation allowance against its deferred tax assets. Details of this charge are discussed elsewhere in this news release. Excluding these non-cash charges, the Company’s tax-benefited net loss for the fourth quarter would have been $5.4 million, or 19 cents per diluted share.</w:t>
      </w:r>
    </w:p>
    <w:p>
      <w:pPr>
        <w:spacing w:after="0" w:line="1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fourth quarter was negatively impacted by lower motor home deliveries resulting in a reduction in plant utilization. Revenues were also negatively impacted by a continuation of wholesale and retail product incentives, but benefited from a better mix of Class A diesel products. There was a positive benefit to cost of goods sold, however, from the liquidation of last-in, first-out (LIFO) inventory values due to a significant reduction of inventory levels. This had the effect of decreasing gross deficit by $2.9 million.</w:t>
      </w:r>
    </w:p>
    <w:p>
      <w:pPr>
        <w:spacing w:after="0" w:line="19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Revenues for the 52 weeks of fiscal 2009 were $211.5 million versus $604.4 million for the 53 weeks of fiscal 2008. Net loss for fiscal 2009 was $78.8 million versus net income of $2.8 million for 2008. On a diluted per share basis, the Company had a net loss of $2.71 for fiscal 2009, versus earnings of 10 cents for 2008. Excluding non-cash charges, the Company’s tax-benefited net loss for fiscal 2009 would have been $37.2 million, or $1.28 per diluted share.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“While fiscal 2009 was one of the most challenging in our 51 year history and in the history of the RV industry, we have taken many necessary steps to preserve adequate liquidity, manage our balance sheet and costs, and maintain our ability to make investments in products and processes important to our long term growth and profitability,” said Winnebago Industries’ Chairman, CEO and President Bob Olson. “As an example, we increased our cash flow by dramatically cutting our inventories by 58 percent from the end of fiscal 2008 to the end of fiscal 2009.”</w:t>
      </w:r>
    </w:p>
    <w:p>
      <w:pPr>
        <w:spacing w:after="0" w:line="197"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“Just as important as managing our balance sheet and costs for today’s market, however, is planning for growth once the economy recovers,” continued Olson. “Research and product development was a top priority, with over 50 percent of our lineup new or redesigned for the 2010 model year. From top to bottom, we raised the bar in creating innovative products with exciting floorplans and features with an emphasis on form, function and styling.”</w:t>
      </w:r>
    </w:p>
    <w:p>
      <w:pPr>
        <w:spacing w:after="0" w:line="16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According to Statistical Surveys, Inc., the retail reporting service for the RV industry, Winnebago Industries’ gained market share in the combined Class A and C markets with 19.1 percent for the first eight months of calendar 2009, compared to 18.5 percent for the same period last year.</w:t>
      </w:r>
    </w:p>
    <w:p>
      <w:pPr>
        <w:spacing w:after="0" w:line="13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are pleased with our market share gains and believe we have further opportunities to gain share going forward with our innovative new products,” said Olson. “As testament to the appeal of our new motor home offerings, our sales order backlog was 940 motor homes at August 29, 2009, an increase of approximately 58 percent compared to the end of fiscal 2008; and an increase of 146 percent from May 30, 2009, the end of our third quarter. We have seen particular strength in the backlog for our Class A gas and diesel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“Nevertheless, the economic environment and the level of retail demand remain uncertain. Additionally, credit availability remains difficult on both the wholesale and retail level,” said Olson. “Floor plan lending institutions continue to manage dealer inventories very closely with an emphasis on the aging of inventory and the number of times a dealer turns his inventory each year. As a result, dealer inventory declined 54 percent during fiscal 2009, to 1,694 motor homes as of August 29, 2009. Since retail sales have been much higher than wholesale shipments throughout the past year, we believe dealer inventory is very close to reaching the bottom, and our dealer partners will need to start to replenish soon to satisfy retail demand going forward. The increase in our sales order backlog referenced above may also be a sign that the replenishment process is now beginning.”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the end of the third quarter of fiscal 2009, the Company’s ability to claim refunds of taxes previously paid was exhausted due to the size of our operating losses at that time. During the fourth quarter of fiscal 2009 the Company discontinued recording tax benefits related to current operating losses. In conjunction with the decision to discontinue recording tax benefits for operating losses, a valuation allowance was recorded against all other future tax benefits that had previously been recognized. The decision not to reflect these deferred tax assets in the financial statements is in accordance with the applicable accounting rules; however, it has no impact on cash flow. The Company has recorded a tax refund receivable related to the fiscal 2009 operating losses of $17.4 million which is expected to be received in the second quarter of fiscal 2010. The economic benefit of the future tax deductions has not been lost and when the Company returns to profitability the tax deductions will be taken and the benefits will be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October 13, 2009, the revolving credit facility with Wells Fargo Bank, National Association was terminated in accordance with the underlying agreement and concurrently, the Company entered into a new $20.0 million credit facility, based on accounts receivable and inventory, with Burdale Capital Finance, Inc. as Agent. The new credit facility provides increased financial flexibility for the Company with a three year term, and the ability to borrow up to $12.5 million without financial covenant restrictions, if there is adequate asset coverage. Subject to certain provisions, the facility also includes an option that can be exercised to increase the facility size up to $50.0 million. This potential additional borrowing capacity may be beneficial to the Company if inventory levels need to substantially increase as a result of product demand.</w:t>
      </w:r>
    </w:p>
    <w:p>
      <w:pPr>
        <w:sectPr>
          <w:pgSz w:w="11900" w:h="16838" w:orient="portrait"/>
          <w:cols w:equalWidth="0" w:num="1">
            <w:col w:w="11420"/>
          </w:cols>
          <w:pgMar w:left="240" w:top="355"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Non-GAAP Financial Measures</w:t>
      </w:r>
    </w:p>
    <w:p>
      <w:pPr>
        <w:spacing w:after="0" w:line="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Management has included non-GAAP financial measures in this release of net loss excluding non-cash charges. We believe that our net loss financial measures presented with these adjustments best reflect our ongoing performance and business operations during the periods presented. Management believes that this information allows investors to make a more meaningful comparison of the financial results over different periods of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October 15, 2009.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Winnebago Industries, Inc. is the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440" w:type="dxa"/>
            <w:vAlign w:val="bottom"/>
            <w:tcBorders>
              <w:bottom w:val="single" w:sz="8" w:color="D6F3E8"/>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87"/>
              </w:rPr>
              <w:t>Aug. 29, 2009</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D6F3E8"/>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4"/>
                <w:szCs w:val="14"/>
                <w:b w:val="1"/>
                <w:bCs w:val="1"/>
                <w:color w:val="auto"/>
                <w:w w:val="87"/>
              </w:rPr>
              <w:t>Aug. 30, 2008</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59,465</w:t>
            </w:r>
          </w:p>
        </w:tc>
        <w:tc>
          <w:tcPr>
            <w:tcW w:w="34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85,271</w:t>
            </w:r>
          </w:p>
        </w:tc>
        <w:tc>
          <w:tcPr>
            <w:tcW w:w="320" w:type="dxa"/>
            <w:vAlign w:val="bottom"/>
            <w:shd w:val="clear" w:color="auto" w:fill="D6F3E8"/>
          </w:tcPr>
          <w:p>
            <w:pPr>
              <w:spacing w:after="0"/>
              <w:rPr>
                <w:sz w:val="20"/>
                <w:szCs w:val="20"/>
                <w:color w:val="auto"/>
              </w:rPr>
            </w:pPr>
          </w:p>
        </w:tc>
        <w:tc>
          <w:tcPr>
            <w:tcW w:w="500" w:type="dxa"/>
            <w:vAlign w:val="bottom"/>
            <w:shd w:val="clear" w:color="auto" w:fill="D6F3E8"/>
          </w:tcPr>
          <w:p>
            <w:pPr>
              <w:spacing w:after="0"/>
              <w:rPr>
                <w:sz w:val="20"/>
                <w:szCs w:val="20"/>
                <w:color w:val="auto"/>
              </w:rPr>
            </w:pPr>
          </w:p>
        </w:tc>
        <w:tc>
          <w:tcPr>
            <w:tcW w:w="8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61,240</w:t>
            </w:r>
          </w:p>
        </w:tc>
        <w:tc>
          <w:tcPr>
            <w:tcW w:w="34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32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90,932</w:t>
            </w:r>
          </w:p>
        </w:tc>
        <w:tc>
          <w:tcPr>
            <w:tcW w:w="320" w:type="dxa"/>
            <w:vAlign w:val="bottom"/>
            <w:tcBorders>
              <w:bottom w:val="single" w:sz="8" w:color="D6F3E8"/>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Gross deficit</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(1,775)</w:t>
            </w:r>
          </w:p>
        </w:tc>
        <w:tc>
          <w:tcPr>
            <w:tcW w:w="4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(5,661)</w:t>
            </w:r>
          </w:p>
        </w:tc>
        <w:tc>
          <w:tcPr>
            <w:tcW w:w="500" w:type="dxa"/>
            <w:vAlign w:val="bottom"/>
            <w:shd w:val="clear" w:color="auto" w:fill="D6F3E8"/>
          </w:tcPr>
          <w:p>
            <w:pPr>
              <w:spacing w:after="0"/>
              <w:rPr>
                <w:sz w:val="20"/>
                <w:szCs w:val="20"/>
                <w:color w:val="auto"/>
              </w:rPr>
            </w:pPr>
          </w:p>
        </w:tc>
        <w:tc>
          <w:tcPr>
            <w:tcW w:w="8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8"/>
        </w:trPr>
        <w:tc>
          <w:tcPr>
            <w:tcW w:w="544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Borders>
              <w:top w:val="single" w:sz="8" w:color="D6F3E8"/>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D6F3E8"/>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D6F3E8"/>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D6F3E8"/>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8"/>
                <w:szCs w:val="18"/>
                <w:color w:val="auto"/>
              </w:rPr>
              <w:t>Selling</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3,052</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3,550</w:t>
            </w:r>
          </w:p>
        </w:tc>
        <w:tc>
          <w:tcPr>
            <w:tcW w:w="3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5,009</w:t>
            </w:r>
          </w:p>
        </w:tc>
        <w:tc>
          <w:tcPr>
            <w:tcW w:w="32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D6F3E8"/>
            </w:tcBorders>
          </w:tcPr>
          <w:p>
            <w:pPr>
              <w:ind w:left="100"/>
              <w:spacing w:after="0"/>
              <w:rPr>
                <w:sz w:val="20"/>
                <w:szCs w:val="20"/>
                <w:color w:val="auto"/>
              </w:rPr>
            </w:pPr>
            <w:r>
              <w:rPr>
                <w:rFonts w:ascii="Arial" w:cs="Arial" w:eastAsia="Arial" w:hAnsi="Arial"/>
                <w:sz w:val="18"/>
                <w:szCs w:val="18"/>
                <w:color w:val="auto"/>
              </w:rPr>
              <w:t>Asset impairment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320" w:type="dxa"/>
            <w:vAlign w:val="bottom"/>
            <w:tcBorders>
              <w:bottom w:val="single" w:sz="8" w:color="D6F3E8"/>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7,457</w:t>
            </w:r>
          </w:p>
        </w:tc>
        <w:tc>
          <w:tcPr>
            <w:tcW w:w="340" w:type="dxa"/>
            <w:vAlign w:val="bottom"/>
            <w:shd w:val="clear" w:color="auto" w:fill="D6F3E8"/>
          </w:tcPr>
          <w:p>
            <w:pPr>
              <w:spacing w:after="0"/>
              <w:rPr>
                <w:sz w:val="18"/>
                <w:szCs w:val="18"/>
                <w:color w:val="auto"/>
              </w:rPr>
            </w:pPr>
          </w:p>
        </w:tc>
        <w:tc>
          <w:tcPr>
            <w:tcW w:w="480" w:type="dxa"/>
            <w:vAlign w:val="bottom"/>
            <w:tcBorders>
              <w:bottom w:val="single" w:sz="8" w:color="auto"/>
            </w:tcBorders>
            <w:shd w:val="clear" w:color="auto" w:fill="D6F3E8"/>
          </w:tcPr>
          <w:p>
            <w:pPr>
              <w:spacing w:after="0"/>
              <w:rPr>
                <w:sz w:val="18"/>
                <w:szCs w:val="18"/>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D6F3E8"/>
          </w:tcPr>
          <w:p>
            <w:pPr>
              <w:spacing w:after="0"/>
              <w:rPr>
                <w:sz w:val="18"/>
                <w:szCs w:val="18"/>
                <w:color w:val="auto"/>
              </w:rPr>
            </w:pPr>
          </w:p>
        </w:tc>
        <w:tc>
          <w:tcPr>
            <w:tcW w:w="48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13,229</w:t>
            </w:r>
          </w:p>
        </w:tc>
        <w:tc>
          <w:tcPr>
            <w:tcW w:w="320" w:type="dxa"/>
            <w:vAlign w:val="bottom"/>
            <w:shd w:val="clear" w:color="auto" w:fill="D6F3E8"/>
          </w:tcPr>
          <w:p>
            <w:pPr>
              <w:spacing w:after="0"/>
              <w:rPr>
                <w:sz w:val="18"/>
                <w:szCs w:val="18"/>
                <w:color w:val="auto"/>
              </w:rPr>
            </w:pPr>
          </w:p>
        </w:tc>
        <w:tc>
          <w:tcPr>
            <w:tcW w:w="500" w:type="dxa"/>
            <w:vAlign w:val="bottom"/>
            <w:tcBorders>
              <w:bottom w:val="single" w:sz="8" w:color="auto"/>
            </w:tcBorders>
            <w:shd w:val="clear" w:color="auto" w:fill="D6F3E8"/>
          </w:tcPr>
          <w:p>
            <w:pPr>
              <w:spacing w:after="0"/>
              <w:rPr>
                <w:sz w:val="18"/>
                <w:szCs w:val="18"/>
                <w:color w:val="auto"/>
              </w:rPr>
            </w:pPr>
          </w:p>
        </w:tc>
        <w:tc>
          <w:tcPr>
            <w:tcW w:w="6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(9,232)</w:t>
            </w:r>
          </w:p>
        </w:tc>
        <w:tc>
          <w:tcPr>
            <w:tcW w:w="4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(18,890)</w:t>
            </w:r>
          </w:p>
        </w:tc>
        <w:tc>
          <w:tcPr>
            <w:tcW w:w="5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380" w:type="dxa"/>
            <w:vAlign w:val="bottom"/>
            <w:tcBorders>
              <w:bottom w:val="single" w:sz="8" w:color="auto"/>
            </w:tcBorders>
            <w:shd w:val="clear" w:color="auto" w:fill="D6F3E8"/>
          </w:tcPr>
          <w:p>
            <w:pPr>
              <w:spacing w:after="0"/>
              <w:rPr>
                <w:sz w:val="20"/>
                <w:szCs w:val="20"/>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D6F3E8"/>
          </w:tcPr>
          <w:p>
            <w:pPr>
              <w:spacing w:after="0"/>
              <w:rPr>
                <w:sz w:val="20"/>
                <w:szCs w:val="20"/>
                <w:color w:val="auto"/>
              </w:rPr>
            </w:pPr>
          </w:p>
        </w:tc>
        <w:tc>
          <w:tcPr>
            <w:tcW w:w="480" w:type="dxa"/>
            <w:vAlign w:val="bottom"/>
            <w:tcBorders>
              <w:bottom w:val="single" w:sz="8" w:color="auto"/>
            </w:tcBorders>
            <w:shd w:val="clear" w:color="auto" w:fill="D6F3E8"/>
          </w:tcPr>
          <w:p>
            <w:pPr>
              <w:spacing w:after="0"/>
              <w:rPr>
                <w:sz w:val="20"/>
                <w:szCs w:val="20"/>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D6F3E8"/>
          </w:tcPr>
          <w:p>
            <w:pPr>
              <w:spacing w:after="0"/>
              <w:rPr>
                <w:sz w:val="20"/>
                <w:szCs w:val="20"/>
                <w:color w:val="auto"/>
              </w:rPr>
            </w:pPr>
          </w:p>
        </w:tc>
        <w:tc>
          <w:tcPr>
            <w:tcW w:w="480" w:type="dxa"/>
            <w:vAlign w:val="bottom"/>
            <w:tcBorders>
              <w:bottom w:val="single" w:sz="8" w:color="auto"/>
            </w:tcBorders>
            <w:shd w:val="clear" w:color="auto" w:fill="D6F3E8"/>
          </w:tcPr>
          <w:p>
            <w:pPr>
              <w:spacing w:after="0"/>
              <w:rPr>
                <w:sz w:val="20"/>
                <w:szCs w:val="20"/>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D6F3E8"/>
          </w:tcPr>
          <w:p>
            <w:pPr>
              <w:spacing w:after="0"/>
              <w:rPr>
                <w:sz w:val="20"/>
                <w:szCs w:val="20"/>
                <w:color w:val="auto"/>
              </w:rPr>
            </w:pPr>
          </w:p>
        </w:tc>
        <w:tc>
          <w:tcPr>
            <w:tcW w:w="500" w:type="dxa"/>
            <w:vAlign w:val="bottom"/>
            <w:tcBorders>
              <w:bottom w:val="single" w:sz="8" w:color="auto"/>
            </w:tcBorders>
            <w:shd w:val="clear" w:color="auto" w:fill="D6F3E8"/>
          </w:tcPr>
          <w:p>
            <w:pPr>
              <w:spacing w:after="0"/>
              <w:rPr>
                <w:sz w:val="20"/>
                <w:szCs w:val="20"/>
                <w:color w:val="auto"/>
              </w:rPr>
            </w:pPr>
          </w:p>
        </w:tc>
        <w:tc>
          <w:tcPr>
            <w:tcW w:w="6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(9,146)</w:t>
            </w:r>
          </w:p>
        </w:tc>
        <w:tc>
          <w:tcPr>
            <w:tcW w:w="4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(18,105)</w:t>
            </w:r>
          </w:p>
        </w:tc>
        <w:tc>
          <w:tcPr>
            <w:tcW w:w="5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8"/>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Provision (benefit) for taxes</w:t>
            </w:r>
          </w:p>
        </w:tc>
        <w:tc>
          <w:tcPr>
            <w:tcW w:w="380" w:type="dxa"/>
            <w:vAlign w:val="bottom"/>
            <w:shd w:val="clear" w:color="auto" w:fill="D6F3E8"/>
          </w:tcPr>
          <w:p>
            <w:pPr>
              <w:spacing w:after="0"/>
              <w:rPr>
                <w:sz w:val="22"/>
                <w:szCs w:val="22"/>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41,090</w:t>
            </w:r>
          </w:p>
        </w:tc>
        <w:tc>
          <w:tcPr>
            <w:tcW w:w="34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69.1</w:t>
            </w:r>
          </w:p>
        </w:tc>
        <w:tc>
          <w:tcPr>
            <w:tcW w:w="32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(5,410)</w:t>
            </w:r>
          </w:p>
        </w:tc>
        <w:tc>
          <w:tcPr>
            <w:tcW w:w="50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40" w:type="dxa"/>
            <w:vAlign w:val="bottom"/>
            <w:vMerge w:val="continue"/>
          </w:tcPr>
          <w:p>
            <w:pPr>
              <w:spacing w:after="0"/>
              <w:rPr>
                <w:sz w:val="21"/>
                <w:szCs w:val="21"/>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(50,236)</w:t>
            </w:r>
          </w:p>
        </w:tc>
        <w:tc>
          <w:tcPr>
            <w:tcW w:w="4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(12,695)</w:t>
            </w:r>
          </w:p>
        </w:tc>
        <w:tc>
          <w:tcPr>
            <w:tcW w:w="5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Loss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D6F3E8"/>
          </w:tcPr>
          <w:p>
            <w:pPr>
              <w:spacing w:after="0"/>
              <w:rPr>
                <w:sz w:val="22"/>
                <w:szCs w:val="22"/>
                <w:color w:val="auto"/>
              </w:rPr>
            </w:pPr>
          </w:p>
        </w:tc>
        <w:tc>
          <w:tcPr>
            <w:tcW w:w="6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(0.44)</w:t>
            </w:r>
          </w:p>
        </w:tc>
        <w:tc>
          <w:tcPr>
            <w:tcW w:w="50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Weighted average common</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29,052</w:t>
            </w:r>
          </w:p>
        </w:tc>
        <w:tc>
          <w:tcPr>
            <w:tcW w:w="3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29,021</w:t>
            </w:r>
          </w:p>
        </w:tc>
        <w:tc>
          <w:tcPr>
            <w:tcW w:w="32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29,067</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86"/>
              </w:rPr>
              <w:t>52 Weeks Ended</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85"/>
              </w:rPr>
              <w:t>53 Weeks Ended</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40" w:type="dxa"/>
            <w:vAlign w:val="bottom"/>
            <w:tcBorders>
              <w:bottom w:val="single" w:sz="8" w:color="D6F3E8"/>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87"/>
              </w:rPr>
              <w:t>Aug. 29, 2009</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D6F3E8"/>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4"/>
                <w:szCs w:val="14"/>
                <w:b w:val="1"/>
                <w:bCs w:val="1"/>
                <w:color w:val="auto"/>
                <w:w w:val="87"/>
              </w:rPr>
              <w:t>Aug. 30, 2008</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211,519</w:t>
            </w:r>
          </w:p>
        </w:tc>
        <w:tc>
          <w:tcPr>
            <w:tcW w:w="34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D6F3E8"/>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604,352</w:t>
            </w:r>
          </w:p>
        </w:tc>
        <w:tc>
          <w:tcPr>
            <w:tcW w:w="320" w:type="dxa"/>
            <w:vAlign w:val="bottom"/>
            <w:shd w:val="clear" w:color="auto" w:fill="D6F3E8"/>
          </w:tcPr>
          <w:p>
            <w:pPr>
              <w:spacing w:after="0"/>
              <w:rPr>
                <w:sz w:val="20"/>
                <w:szCs w:val="20"/>
                <w:color w:val="auto"/>
              </w:rPr>
            </w:pPr>
          </w:p>
        </w:tc>
        <w:tc>
          <w:tcPr>
            <w:tcW w:w="500" w:type="dxa"/>
            <w:vAlign w:val="bottom"/>
            <w:shd w:val="clear" w:color="auto" w:fill="D6F3E8"/>
          </w:tcPr>
          <w:p>
            <w:pPr>
              <w:spacing w:after="0"/>
              <w:rPr>
                <w:sz w:val="20"/>
                <w:szCs w:val="20"/>
                <w:color w:val="auto"/>
              </w:rPr>
            </w:pPr>
          </w:p>
        </w:tc>
        <w:tc>
          <w:tcPr>
            <w:tcW w:w="8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242,265</w:t>
            </w:r>
          </w:p>
        </w:tc>
        <w:tc>
          <w:tcPr>
            <w:tcW w:w="34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32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569,580</w:t>
            </w:r>
          </w:p>
        </w:tc>
        <w:tc>
          <w:tcPr>
            <w:tcW w:w="320" w:type="dxa"/>
            <w:vAlign w:val="bottom"/>
            <w:tcBorders>
              <w:bottom w:val="single" w:sz="8" w:color="D6F3E8"/>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Gross (deficit) profit</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(30,746)</w:t>
            </w:r>
          </w:p>
        </w:tc>
        <w:tc>
          <w:tcPr>
            <w:tcW w:w="4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D6F3E8"/>
          </w:tcPr>
          <w:p>
            <w:pPr>
              <w:spacing w:after="0"/>
              <w:rPr>
                <w:sz w:val="20"/>
                <w:szCs w:val="20"/>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34,772</w:t>
            </w:r>
          </w:p>
        </w:tc>
        <w:tc>
          <w:tcPr>
            <w:tcW w:w="320" w:type="dxa"/>
            <w:vAlign w:val="bottom"/>
            <w:shd w:val="clear" w:color="auto" w:fill="D6F3E8"/>
          </w:tcPr>
          <w:p>
            <w:pPr>
              <w:spacing w:after="0"/>
              <w:rPr>
                <w:sz w:val="20"/>
                <w:szCs w:val="20"/>
                <w:color w:val="auto"/>
              </w:rPr>
            </w:pPr>
          </w:p>
        </w:tc>
        <w:tc>
          <w:tcPr>
            <w:tcW w:w="500" w:type="dxa"/>
            <w:vAlign w:val="bottom"/>
            <w:shd w:val="clear" w:color="auto" w:fill="D6F3E8"/>
          </w:tcPr>
          <w:p>
            <w:pPr>
              <w:spacing w:after="0"/>
              <w:rPr>
                <w:sz w:val="20"/>
                <w:szCs w:val="20"/>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line="188" w:lineRule="exact"/>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Borders>
              <w:top w:val="single" w:sz="8" w:color="D6F3E8"/>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D6F3E8"/>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8"/>
                <w:szCs w:val="18"/>
                <w:color w:val="auto"/>
              </w:rPr>
              <w:t>Selling</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18,482</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15,298</w:t>
            </w:r>
          </w:p>
        </w:tc>
        <w:tc>
          <w:tcPr>
            <w:tcW w:w="3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21,359</w:t>
            </w:r>
          </w:p>
        </w:tc>
        <w:tc>
          <w:tcPr>
            <w:tcW w:w="32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D6F3E8"/>
            </w:tcBorders>
          </w:tcPr>
          <w:p>
            <w:pPr>
              <w:ind w:left="100"/>
              <w:spacing w:after="0"/>
              <w:rPr>
                <w:sz w:val="20"/>
                <w:szCs w:val="20"/>
                <w:color w:val="auto"/>
              </w:rPr>
            </w:pPr>
            <w:r>
              <w:rPr>
                <w:rFonts w:ascii="Arial" w:cs="Arial" w:eastAsia="Arial" w:hAnsi="Arial"/>
                <w:sz w:val="18"/>
                <w:szCs w:val="18"/>
                <w:color w:val="auto"/>
              </w:rPr>
              <w:t>Asset impairment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D6F3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320" w:type="dxa"/>
            <w:vAlign w:val="bottom"/>
            <w:tcBorders>
              <w:bottom w:val="single" w:sz="8" w:color="D6F3E8"/>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28,769</w:t>
            </w:r>
          </w:p>
        </w:tc>
        <w:tc>
          <w:tcPr>
            <w:tcW w:w="340" w:type="dxa"/>
            <w:vAlign w:val="bottom"/>
            <w:shd w:val="clear" w:color="auto" w:fill="D6F3E8"/>
          </w:tcPr>
          <w:p>
            <w:pPr>
              <w:spacing w:after="0"/>
              <w:rPr>
                <w:sz w:val="18"/>
                <w:szCs w:val="18"/>
                <w:color w:val="auto"/>
              </w:rPr>
            </w:pPr>
          </w:p>
        </w:tc>
        <w:tc>
          <w:tcPr>
            <w:tcW w:w="480" w:type="dxa"/>
            <w:vAlign w:val="bottom"/>
            <w:tcBorders>
              <w:bottom w:val="single" w:sz="8" w:color="auto"/>
            </w:tcBorders>
            <w:shd w:val="clear" w:color="auto" w:fill="D6F3E8"/>
          </w:tcPr>
          <w:p>
            <w:pPr>
              <w:spacing w:after="0"/>
              <w:rPr>
                <w:sz w:val="18"/>
                <w:szCs w:val="18"/>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D6F3E8"/>
          </w:tcPr>
          <w:p>
            <w:pPr>
              <w:spacing w:after="0"/>
              <w:rPr>
                <w:sz w:val="18"/>
                <w:szCs w:val="18"/>
                <w:color w:val="auto"/>
              </w:rPr>
            </w:pPr>
          </w:p>
        </w:tc>
        <w:tc>
          <w:tcPr>
            <w:tcW w:w="48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44,527</w:t>
            </w:r>
          </w:p>
        </w:tc>
        <w:tc>
          <w:tcPr>
            <w:tcW w:w="320" w:type="dxa"/>
            <w:vAlign w:val="bottom"/>
            <w:shd w:val="clear" w:color="auto" w:fill="D6F3E8"/>
          </w:tcPr>
          <w:p>
            <w:pPr>
              <w:spacing w:after="0"/>
              <w:rPr>
                <w:sz w:val="18"/>
                <w:szCs w:val="18"/>
                <w:color w:val="auto"/>
              </w:rPr>
            </w:pPr>
          </w:p>
        </w:tc>
        <w:tc>
          <w:tcPr>
            <w:tcW w:w="500" w:type="dxa"/>
            <w:vAlign w:val="bottom"/>
            <w:tcBorders>
              <w:bottom w:val="single" w:sz="8" w:color="auto"/>
            </w:tcBorders>
            <w:shd w:val="clear" w:color="auto" w:fill="D6F3E8"/>
          </w:tcPr>
          <w:p>
            <w:pPr>
              <w:spacing w:after="0"/>
              <w:rPr>
                <w:sz w:val="18"/>
                <w:szCs w:val="18"/>
                <w:color w:val="auto"/>
              </w:rPr>
            </w:pPr>
          </w:p>
        </w:tc>
        <w:tc>
          <w:tcPr>
            <w:tcW w:w="6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line="202" w:lineRule="exact"/>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(59,515)</w:t>
            </w:r>
          </w:p>
        </w:tc>
        <w:tc>
          <w:tcPr>
            <w:tcW w:w="4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4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(9,755)</w:t>
            </w:r>
          </w:p>
        </w:tc>
        <w:tc>
          <w:tcPr>
            <w:tcW w:w="5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380" w:type="dxa"/>
            <w:vAlign w:val="bottom"/>
            <w:tcBorders>
              <w:bottom w:val="single" w:sz="8" w:color="auto"/>
            </w:tcBorders>
            <w:shd w:val="clear" w:color="auto" w:fill="D6F3E8"/>
          </w:tcPr>
          <w:p>
            <w:pPr>
              <w:spacing w:after="0"/>
              <w:rPr>
                <w:sz w:val="20"/>
                <w:szCs w:val="20"/>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1,452</w:t>
            </w:r>
          </w:p>
        </w:tc>
        <w:tc>
          <w:tcPr>
            <w:tcW w:w="340" w:type="dxa"/>
            <w:vAlign w:val="bottom"/>
            <w:shd w:val="clear" w:color="auto" w:fill="D6F3E8"/>
          </w:tcPr>
          <w:p>
            <w:pPr>
              <w:spacing w:after="0"/>
              <w:rPr>
                <w:sz w:val="20"/>
                <w:szCs w:val="20"/>
                <w:color w:val="auto"/>
              </w:rPr>
            </w:pPr>
          </w:p>
        </w:tc>
        <w:tc>
          <w:tcPr>
            <w:tcW w:w="480" w:type="dxa"/>
            <w:vAlign w:val="bottom"/>
            <w:tcBorders>
              <w:bottom w:val="single" w:sz="8" w:color="auto"/>
            </w:tcBorders>
            <w:shd w:val="clear" w:color="auto" w:fill="D6F3E8"/>
          </w:tcPr>
          <w:p>
            <w:pPr>
              <w:spacing w:after="0"/>
              <w:rPr>
                <w:sz w:val="20"/>
                <w:szCs w:val="20"/>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6F3E8"/>
          </w:tcPr>
          <w:p>
            <w:pPr>
              <w:spacing w:after="0"/>
              <w:rPr>
                <w:sz w:val="20"/>
                <w:szCs w:val="20"/>
                <w:color w:val="auto"/>
              </w:rPr>
            </w:pPr>
          </w:p>
        </w:tc>
        <w:tc>
          <w:tcPr>
            <w:tcW w:w="480" w:type="dxa"/>
            <w:vAlign w:val="bottom"/>
            <w:tcBorders>
              <w:bottom w:val="single" w:sz="8" w:color="auto"/>
            </w:tcBorders>
            <w:shd w:val="clear" w:color="auto" w:fill="D6F3E8"/>
          </w:tcPr>
          <w:p>
            <w:pPr>
              <w:spacing w:after="0"/>
              <w:rPr>
                <w:sz w:val="20"/>
                <w:szCs w:val="20"/>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4,314</w:t>
            </w:r>
          </w:p>
        </w:tc>
        <w:tc>
          <w:tcPr>
            <w:tcW w:w="320" w:type="dxa"/>
            <w:vAlign w:val="bottom"/>
            <w:shd w:val="clear" w:color="auto" w:fill="D6F3E8"/>
          </w:tcPr>
          <w:p>
            <w:pPr>
              <w:spacing w:after="0"/>
              <w:rPr>
                <w:sz w:val="20"/>
                <w:szCs w:val="20"/>
                <w:color w:val="auto"/>
              </w:rPr>
            </w:pPr>
          </w:p>
        </w:tc>
        <w:tc>
          <w:tcPr>
            <w:tcW w:w="500" w:type="dxa"/>
            <w:vAlign w:val="bottom"/>
            <w:tcBorders>
              <w:bottom w:val="single" w:sz="8" w:color="auto"/>
            </w:tcBorders>
            <w:shd w:val="clear" w:color="auto" w:fill="D6F3E8"/>
          </w:tcPr>
          <w:p>
            <w:pPr>
              <w:spacing w:after="0"/>
              <w:rPr>
                <w:sz w:val="20"/>
                <w:szCs w:val="20"/>
                <w:color w:val="auto"/>
              </w:rPr>
            </w:pPr>
          </w:p>
        </w:tc>
        <w:tc>
          <w:tcPr>
            <w:tcW w:w="6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(58,063)</w:t>
            </w:r>
          </w:p>
        </w:tc>
        <w:tc>
          <w:tcPr>
            <w:tcW w:w="4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4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(5,441)</w:t>
            </w:r>
          </w:p>
        </w:tc>
        <w:tc>
          <w:tcPr>
            <w:tcW w:w="5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Provision (benefit) for taxes</w:t>
            </w:r>
          </w:p>
        </w:tc>
        <w:tc>
          <w:tcPr>
            <w:tcW w:w="380" w:type="dxa"/>
            <w:vAlign w:val="bottom"/>
            <w:shd w:val="clear" w:color="auto" w:fill="D6F3E8"/>
          </w:tcPr>
          <w:p>
            <w:pPr>
              <w:spacing w:after="0"/>
              <w:rPr>
                <w:sz w:val="22"/>
                <w:szCs w:val="22"/>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20,703</w:t>
            </w:r>
          </w:p>
        </w:tc>
        <w:tc>
          <w:tcPr>
            <w:tcW w:w="34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(8,225)</w:t>
            </w:r>
          </w:p>
        </w:tc>
        <w:tc>
          <w:tcPr>
            <w:tcW w:w="50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vMerge w:val="continue"/>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line="250" w:lineRule="exact"/>
              <w:rPr>
                <w:sz w:val="20"/>
                <w:szCs w:val="20"/>
                <w:color w:val="auto"/>
              </w:rPr>
            </w:pPr>
            <w:r>
              <w:rPr>
                <w:rFonts w:ascii="Arial" w:cs="Arial" w:eastAsia="Arial" w:hAnsi="Arial"/>
                <w:sz w:val="15"/>
                <w:szCs w:val="15"/>
                <w:color w:val="auto"/>
              </w:rPr>
              <w:t>(78,766</w:t>
            </w:r>
            <w:r>
              <w:rPr>
                <w:rFonts w:ascii="Arial" w:cs="Arial" w:eastAsia="Arial" w:hAnsi="Arial"/>
                <w:sz w:val="28"/>
                <w:szCs w:val="28"/>
                <w:color w:val="auto"/>
                <w:vertAlign w:val="subscript"/>
              </w:rPr>
              <w:t>)</w:t>
            </w:r>
          </w:p>
        </w:tc>
        <w:tc>
          <w:tcPr>
            <w:tcW w:w="1900" w:type="dxa"/>
            <w:vAlign w:val="bottom"/>
            <w:gridSpan w:val="3"/>
          </w:tcPr>
          <w:p>
            <w:pPr>
              <w:jc w:val="right"/>
              <w:ind w:right="340"/>
              <w:spacing w:after="0" w:line="250" w:lineRule="exact"/>
              <w:rPr>
                <w:sz w:val="20"/>
                <w:szCs w:val="20"/>
                <w:color w:val="auto"/>
              </w:rPr>
            </w:pPr>
            <w:r>
              <w:rPr>
                <w:rFonts w:ascii="Arial" w:cs="Arial" w:eastAsia="Arial" w:hAnsi="Arial"/>
                <w:sz w:val="15"/>
                <w:szCs w:val="15"/>
                <w:color w:val="auto"/>
              </w:rPr>
              <w:t>(37.2</w:t>
            </w: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20" w:type="dxa"/>
            <w:vAlign w:val="bottom"/>
          </w:tcPr>
          <w:p>
            <w:pPr>
              <w:jc w:val="right"/>
              <w:spacing w:after="0"/>
              <w:rPr>
                <w:sz w:val="20"/>
                <w:szCs w:val="20"/>
                <w:color w:val="auto"/>
              </w:rPr>
            </w:pPr>
            <w:r>
              <w:rPr>
                <w:rFonts w:ascii="Arial" w:cs="Arial" w:eastAsia="Arial" w:hAnsi="Arial"/>
                <w:sz w:val="18"/>
                <w:szCs w:val="18"/>
                <w:color w:val="auto"/>
              </w:rPr>
              <w:t>2,784</w:t>
            </w:r>
          </w:p>
        </w:tc>
        <w:tc>
          <w:tcPr>
            <w:tcW w:w="3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(Loss) income per common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D6F3E8"/>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(2.71)</w:t>
            </w:r>
          </w:p>
        </w:tc>
        <w:tc>
          <w:tcPr>
            <w:tcW w:w="190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D6F3E8"/>
          </w:tcPr>
          <w:p>
            <w:pPr>
              <w:spacing w:after="0"/>
              <w:rPr>
                <w:sz w:val="22"/>
                <w:szCs w:val="22"/>
                <w:color w:val="auto"/>
              </w:rPr>
            </w:pPr>
          </w:p>
        </w:tc>
        <w:tc>
          <w:tcPr>
            <w:tcW w:w="11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Weighted average common</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29,040</w:t>
            </w:r>
          </w:p>
        </w:tc>
        <w:tc>
          <w:tcPr>
            <w:tcW w:w="3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29,093</w:t>
            </w:r>
          </w:p>
        </w:tc>
        <w:tc>
          <w:tcPr>
            <w:tcW w:w="3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29,051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29,144</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Aug. 29, 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30, 2008</w:t>
            </w:r>
          </w:p>
        </w:tc>
        <w:tc>
          <w:tcPr>
            <w:tcW w:w="0" w:type="dxa"/>
            <w:vAlign w:val="bottom"/>
          </w:tcPr>
          <w:p>
            <w:pPr>
              <w:spacing w:after="0"/>
              <w:rPr>
                <w:sz w:val="1"/>
                <w:szCs w:val="1"/>
                <w:color w:val="auto"/>
              </w:rPr>
            </w:pP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36,566</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11,717</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46,850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110,596</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17,356</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00"/>
              <w:spacing w:after="0"/>
              <w:rPr>
                <w:sz w:val="20"/>
                <w:szCs w:val="20"/>
                <w:color w:val="auto"/>
              </w:rPr>
            </w:pPr>
            <w:r>
              <w:rPr>
                <w:rFonts w:ascii="Arial" w:cs="Arial" w:eastAsia="Arial" w:hAnsi="Arial"/>
                <w:sz w:val="18"/>
                <w:szCs w:val="18"/>
                <w:color w:val="auto"/>
              </w:rPr>
              <w:t>Prepaid and other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32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129,414</w:t>
            </w:r>
          </w:p>
        </w:tc>
        <w:tc>
          <w:tcPr>
            <w:tcW w:w="3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445"/>
        </w:trPr>
        <w:tc>
          <w:tcPr>
            <w:tcW w:w="846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40,097</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6,515</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Long-term investments, less impairments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19,794</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Investment in life insurance</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22,451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D6F3E8"/>
          </w:tcPr>
          <w:p>
            <w:pPr>
              <w:spacing w:after="0"/>
              <w:rPr>
                <w:sz w:val="22"/>
                <w:szCs w:val="22"/>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14,252</w:t>
            </w:r>
          </w:p>
        </w:tc>
        <w:tc>
          <w:tcPr>
            <w:tcW w:w="32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4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220,466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10,370</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Short-term ARS borrowings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30,185</w:t>
            </w:r>
          </w:p>
        </w:tc>
        <w:tc>
          <w:tcPr>
            <w:tcW w:w="32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49,954</w:t>
            </w:r>
          </w:p>
        </w:tc>
        <w:tc>
          <w:tcPr>
            <w:tcW w:w="3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54,333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0" w:orient="portrait"/>
          <w:cols w:equalWidth="0" w:num="1">
            <w:col w:w="11420"/>
          </w:cols>
          <w:pgMar w:left="240" w:top="140" w:right="239" w:bottom="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Long-term liabilities: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Unrecognized tax benefits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Postretirement health care and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compensation benefits, net of current portion</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563880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left="880"/>
        <w:spacing w:after="0"/>
        <w:tabs>
          <w:tab w:leader="none" w:pos="2440" w:val="left"/>
        </w:tabs>
        <w:rPr>
          <w:sz w:val="20"/>
          <w:szCs w:val="20"/>
          <w:color w:val="auto"/>
        </w:rPr>
      </w:pPr>
      <w:r>
        <w:rPr>
          <w:rFonts w:ascii="Arial" w:cs="Arial" w:eastAsia="Arial" w:hAnsi="Arial"/>
          <w:sz w:val="18"/>
          <w:szCs w:val="18"/>
          <w:color w:val="auto"/>
        </w:rPr>
        <w:t>9,012</w:t>
      </w:r>
      <w:r>
        <w:rPr>
          <w:sz w:val="20"/>
          <w:szCs w:val="20"/>
          <w:color w:val="auto"/>
        </w:rPr>
        <w:tab/>
      </w:r>
      <w:r>
        <w:rPr>
          <w:rFonts w:ascii="Arial" w:cs="Arial" w:eastAsia="Arial" w:hAnsi="Arial"/>
          <w:sz w:val="18"/>
          <w:szCs w:val="18"/>
          <w:color w:val="auto"/>
        </w:rPr>
        <w:t>9,469</w:t>
      </w:r>
    </w:p>
    <w:p>
      <w:pPr>
        <w:spacing w:after="0" w:line="306" w:lineRule="exact"/>
        <w:rPr>
          <w:sz w:val="20"/>
          <w:szCs w:val="20"/>
          <w:color w:val="auto"/>
        </w:rPr>
      </w:pPr>
    </w:p>
    <w:p>
      <w:pPr>
        <w:jc w:val="both"/>
        <w:ind w:left="780"/>
        <w:spacing w:after="0"/>
        <w:tabs>
          <w:tab w:leader="none" w:pos="2340" w:val="left"/>
        </w:tabs>
        <w:rPr>
          <w:sz w:val="20"/>
          <w:szCs w:val="20"/>
          <w:color w:val="auto"/>
        </w:rPr>
      </w:pPr>
      <w:r>
        <w:rPr>
          <w:rFonts w:ascii="Arial" w:cs="Arial" w:eastAsia="Arial" w:hAnsi="Arial"/>
          <w:sz w:val="18"/>
          <w:szCs w:val="18"/>
          <w:color w:val="auto"/>
        </w:rPr>
        <w:t>69,169</w:t>
      </w:r>
      <w:r>
        <w:rPr>
          <w:sz w:val="20"/>
          <w:szCs w:val="20"/>
          <w:color w:val="auto"/>
        </w:rPr>
        <w:tab/>
      </w:r>
      <w:r>
        <w:rPr>
          <w:rFonts w:ascii="Arial" w:cs="Arial" w:eastAsia="Arial" w:hAnsi="Arial"/>
          <w:sz w:val="18"/>
          <w:szCs w:val="18"/>
          <w:color w:val="auto"/>
        </w:rPr>
        <w:t>67,729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3" w:lineRule="exact"/>
        <w:rPr>
          <w:sz w:val="20"/>
          <w:szCs w:val="20"/>
          <w:color w:val="auto"/>
        </w:rPr>
      </w:pPr>
    </w:p>
    <w:p>
      <w:pPr>
        <w:jc w:val="both"/>
        <w:ind w:left="780"/>
        <w:spacing w:after="0"/>
        <w:tabs>
          <w:tab w:leader="none" w:pos="2340" w:val="left"/>
        </w:tabs>
        <w:rPr>
          <w:sz w:val="20"/>
          <w:szCs w:val="20"/>
          <w:color w:val="auto"/>
        </w:rPr>
      </w:pPr>
      <w:r>
        <w:rPr>
          <w:rFonts w:ascii="Arial" w:cs="Arial" w:eastAsia="Arial" w:hAnsi="Arial"/>
          <w:sz w:val="18"/>
          <w:szCs w:val="18"/>
          <w:color w:val="auto"/>
        </w:rPr>
        <w:t>78,181</w:t>
      </w:r>
      <w:r>
        <w:rPr>
          <w:sz w:val="20"/>
          <w:szCs w:val="20"/>
          <w:color w:val="auto"/>
        </w:rPr>
        <w:tab/>
      </w:r>
      <w:r>
        <w:rPr>
          <w:rFonts w:ascii="Arial" w:cs="Arial" w:eastAsia="Arial" w:hAnsi="Arial"/>
          <w:sz w:val="18"/>
          <w:szCs w:val="18"/>
          <w:color w:val="auto"/>
        </w:rPr>
        <w:t>77,198</w:t>
      </w:r>
    </w:p>
    <w:p>
      <w:pPr>
        <w:spacing w:after="0" w:line="239" w:lineRule="exact"/>
        <w:rPr>
          <w:sz w:val="20"/>
          <w:szCs w:val="20"/>
          <w:color w:val="auto"/>
        </w:rPr>
      </w:pPr>
    </w:p>
    <w:p>
      <w:pPr>
        <w:jc w:val="both"/>
        <w:ind w:left="780"/>
        <w:spacing w:after="0"/>
        <w:tabs>
          <w:tab w:leader="none" w:pos="2260" w:val="left"/>
        </w:tabs>
        <w:rPr>
          <w:sz w:val="20"/>
          <w:szCs w:val="20"/>
          <w:color w:val="auto"/>
        </w:rPr>
      </w:pPr>
      <w:r>
        <w:rPr>
          <w:rFonts w:ascii="Arial" w:cs="Arial" w:eastAsia="Arial" w:hAnsi="Arial"/>
          <w:sz w:val="18"/>
          <w:szCs w:val="18"/>
          <w:color w:val="auto"/>
        </w:rPr>
        <w:t>92,331</w:t>
      </w:r>
      <w:r>
        <w:rPr>
          <w:sz w:val="20"/>
          <w:szCs w:val="20"/>
          <w:color w:val="auto"/>
        </w:rPr>
        <w:tab/>
      </w:r>
      <w:r>
        <w:rPr>
          <w:rFonts w:ascii="Arial" w:cs="Arial" w:eastAsia="Arial" w:hAnsi="Arial"/>
          <w:sz w:val="18"/>
          <w:szCs w:val="18"/>
          <w:color w:val="auto"/>
        </w:rPr>
        <w:t>173,924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3" w:lineRule="exact"/>
        <w:rPr>
          <w:sz w:val="20"/>
          <w:szCs w:val="20"/>
          <w:color w:val="auto"/>
        </w:rPr>
      </w:pPr>
    </w:p>
    <w:p>
      <w:pPr>
        <w:spacing w:after="0"/>
        <w:tabs>
          <w:tab w:leader="none" w:pos="680" w:val="left"/>
          <w:tab w:leader="none" w:pos="158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220,466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305,455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8097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7740" w:space="720"/>
            <w:col w:w="296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52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53 Weeks Ended</w:t>
            </w:r>
          </w:p>
        </w:tc>
      </w:t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Aug. 29, 2009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Aug. 30, 2008</w:t>
            </w:r>
          </w:p>
        </w:tc>
      </w:tr>
      <w:tr>
        <w:trPr>
          <w:trHeight w:val="236"/>
        </w:trPr>
        <w:tc>
          <w:tcPr>
            <w:tcW w:w="84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(78,766)</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2,784</w:t>
            </w:r>
          </w:p>
        </w:tc>
      </w:tr>
      <w:tr>
        <w:trPr>
          <w:trHeight w:val="255"/>
        </w:trPr>
        <w:tc>
          <w:tcPr>
            <w:tcW w:w="8460" w:type="dxa"/>
            <w:vAlign w:val="bottom"/>
          </w:tcPr>
          <w:p>
            <w:pPr>
              <w:spacing w:after="0"/>
              <w:rPr>
                <w:sz w:val="20"/>
                <w:szCs w:val="20"/>
                <w:color w:val="auto"/>
              </w:rPr>
            </w:pPr>
            <w:r>
              <w:rPr>
                <w:rFonts w:ascii="Arial" w:cs="Arial" w:eastAsia="Arial" w:hAnsi="Arial"/>
                <w:sz w:val="18"/>
                <w:szCs w:val="18"/>
                <w:color w:val="auto"/>
              </w:rPr>
              <w:t>Adjustments to reconcile net income to net</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8460" w:type="dxa"/>
            <w:vAlign w:val="bottom"/>
          </w:tcPr>
          <w:p>
            <w:pPr>
              <w:ind w:left="10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846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9,907</w:t>
            </w:r>
          </w:p>
        </w:tc>
      </w:tr>
      <w:tr>
        <w:trPr>
          <w:trHeight w:val="247"/>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D6F3E8"/>
          </w:tcPr>
          <w:p>
            <w:pPr>
              <w:spacing w:after="0"/>
              <w:rPr>
                <w:sz w:val="21"/>
                <w:szCs w:val="21"/>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4,686</w:t>
            </w:r>
          </w:p>
        </w:tc>
      </w:tr>
    </w:tbl>
    <w:p>
      <w:pPr>
        <w:sectPr>
          <w:pgSz w:w="11900" w:h="16900" w:orient="portrait"/>
          <w:cols w:equalWidth="0" w:num="1">
            <w:col w:w="11420"/>
          </w:cols>
          <w:pgMar w:left="240" w:top="140"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00"/>
              <w:spacing w:after="0"/>
              <w:rPr>
                <w:sz w:val="20"/>
                <w:szCs w:val="20"/>
                <w:color w:val="auto"/>
              </w:rPr>
            </w:pPr>
            <w:r>
              <w:rPr>
                <w:rFonts w:ascii="Arial" w:cs="Arial" w:eastAsia="Arial" w:hAnsi="Arial"/>
                <w:sz w:val="18"/>
                <w:szCs w:val="18"/>
                <w:color w:val="auto"/>
              </w:rPr>
              <w:t>Postretirement benefit income and deferred</w:t>
            </w: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compensation expense</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1,252</w:t>
            </w:r>
          </w:p>
        </w:tc>
        <w:tc>
          <w:tcPr>
            <w:tcW w:w="320" w:type="dxa"/>
            <w:vAlign w:val="bottom"/>
            <w:shd w:val="clear" w:color="auto" w:fill="D6F3E8"/>
          </w:tcPr>
          <w:p>
            <w:pPr>
              <w:spacing w:after="0"/>
              <w:rPr>
                <w:sz w:val="22"/>
                <w:szCs w:val="22"/>
                <w:color w:val="auto"/>
              </w:rPr>
            </w:pPr>
          </w:p>
        </w:tc>
        <w:tc>
          <w:tcPr>
            <w:tcW w:w="1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Deferred income taxes including the valuation allowance</w:t>
            </w:r>
          </w:p>
        </w:tc>
        <w:tc>
          <w:tcPr>
            <w:tcW w:w="1280" w:type="dxa"/>
            <w:vAlign w:val="bottom"/>
          </w:tcPr>
          <w:p>
            <w:pPr>
              <w:jc w:val="right"/>
              <w:spacing w:after="0"/>
              <w:rPr>
                <w:sz w:val="20"/>
                <w:szCs w:val="20"/>
                <w:color w:val="auto"/>
              </w:rPr>
            </w:pPr>
            <w:r>
              <w:rPr>
                <w:rFonts w:ascii="Arial" w:cs="Arial" w:eastAsia="Arial" w:hAnsi="Arial"/>
                <w:sz w:val="18"/>
                <w:szCs w:val="18"/>
                <w:color w:val="auto"/>
              </w:rPr>
              <w:t>37,440</w:t>
            </w:r>
          </w:p>
        </w:tc>
        <w:tc>
          <w:tcPr>
            <w:tcW w:w="3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Increase in cash surrender value of life insurance policies</w:t>
            </w:r>
          </w:p>
        </w:tc>
        <w:tc>
          <w:tcPr>
            <w:tcW w:w="16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(858)</w:t>
            </w:r>
          </w:p>
        </w:tc>
        <w:tc>
          <w:tcPr>
            <w:tcW w:w="13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Excess tax benefit from stock-based compensation</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D6F3E8"/>
          </w:tcPr>
          <w:p>
            <w:pPr>
              <w:spacing w:after="0"/>
              <w:rPr>
                <w:sz w:val="22"/>
                <w:szCs w:val="22"/>
                <w:color w:val="auto"/>
              </w:rPr>
            </w:pPr>
          </w:p>
        </w:tc>
        <w:tc>
          <w:tcPr>
            <w:tcW w:w="1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280" w:type="dxa"/>
            <w:vAlign w:val="bottom"/>
          </w:tcPr>
          <w:p>
            <w:pPr>
              <w:jc w:val="right"/>
              <w:spacing w:after="0"/>
              <w:rPr>
                <w:sz w:val="20"/>
                <w:szCs w:val="20"/>
                <w:color w:val="auto"/>
              </w:rPr>
            </w:pPr>
            <w:r>
              <w:rPr>
                <w:rFonts w:ascii="Arial" w:cs="Arial" w:eastAsia="Arial" w:hAnsi="Arial"/>
                <w:sz w:val="18"/>
                <w:szCs w:val="18"/>
                <w:color w:val="auto"/>
              </w:rPr>
              <w:t>63,746</w:t>
            </w:r>
          </w:p>
        </w:tc>
        <w:tc>
          <w:tcPr>
            <w:tcW w:w="320" w:type="dxa"/>
            <w:vAlign w:val="bottom"/>
          </w:tcPr>
          <w:p>
            <w:pPr>
              <w:spacing w:after="0"/>
              <w:rPr>
                <w:sz w:val="22"/>
                <w:szCs w:val="22"/>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Receivables and prepaid assets</w:t>
            </w:r>
          </w:p>
        </w:tc>
        <w:tc>
          <w:tcPr>
            <w:tcW w:w="16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(2,074)</w:t>
            </w:r>
          </w:p>
        </w:tc>
        <w:tc>
          <w:tcPr>
            <w:tcW w:w="1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21,022</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Income taxes receivable and unrecognized tax benefits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(8,708)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6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(10,567)</w:t>
            </w:r>
          </w:p>
        </w:tc>
        <w:tc>
          <w:tcPr>
            <w:tcW w:w="13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(31,301)</w:t>
            </w: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Postretirement and deferred compensation benefits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(3,172)</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84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60" w:type="dxa"/>
            <w:vAlign w:val="bottom"/>
            <w:vMerge w:val="continue"/>
            <w:shd w:val="clear" w:color="auto" w:fill="D6F3E8"/>
          </w:tcPr>
          <w:p>
            <w:pPr>
              <w:spacing w:after="0"/>
              <w:rPr>
                <w:sz w:val="21"/>
                <w:szCs w:val="21"/>
                <w:color w:val="auto"/>
              </w:rPr>
            </w:pP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8,272</w:t>
            </w:r>
          </w:p>
        </w:tc>
        <w:tc>
          <w:tcPr>
            <w:tcW w:w="320" w:type="dxa"/>
            <w:vAlign w:val="bottom"/>
            <w:shd w:val="clear" w:color="auto" w:fill="D6F3E8"/>
          </w:tcPr>
          <w:p>
            <w:pPr>
              <w:spacing w:after="0"/>
              <w:rPr>
                <w:sz w:val="21"/>
                <w:szCs w:val="21"/>
                <w:color w:val="auto"/>
              </w:rPr>
            </w:pPr>
          </w:p>
        </w:tc>
        <w:tc>
          <w:tcPr>
            <w:tcW w:w="13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437"/>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D6F3E8"/>
            </w:tcBorders>
          </w:tcPr>
          <w:p>
            <w:pPr>
              <w:spacing w:after="0"/>
              <w:rPr>
                <w:sz w:val="24"/>
                <w:szCs w:val="24"/>
                <w:color w:val="auto"/>
              </w:rPr>
            </w:pPr>
          </w:p>
        </w:tc>
        <w:tc>
          <w:tcPr>
            <w:tcW w:w="8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00"/>
              <w:spacing w:after="0"/>
              <w:rPr>
                <w:sz w:val="20"/>
                <w:szCs w:val="20"/>
                <w:color w:val="auto"/>
              </w:rPr>
            </w:pPr>
            <w:r>
              <w:rPr>
                <w:rFonts w:ascii="Arial" w:cs="Arial" w:eastAsia="Arial" w:hAnsi="Arial"/>
                <w:sz w:val="18"/>
                <w:szCs w:val="18"/>
                <w:color w:val="auto"/>
              </w:rPr>
              <w:t>Purchases of investments</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(228,069)</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Proceeds from the sale or maturity of investments</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8,900</w:t>
            </w:r>
          </w:p>
        </w:tc>
        <w:tc>
          <w:tcPr>
            <w:tcW w:w="320" w:type="dxa"/>
            <w:vAlign w:val="bottom"/>
            <w:shd w:val="clear" w:color="auto" w:fill="D6F3E8"/>
          </w:tcPr>
          <w:p>
            <w:pPr>
              <w:spacing w:after="0"/>
              <w:rPr>
                <w:sz w:val="22"/>
                <w:szCs w:val="22"/>
                <w:color w:val="auto"/>
              </w:rPr>
            </w:pPr>
          </w:p>
        </w:tc>
        <w:tc>
          <w:tcPr>
            <w:tcW w:w="1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288,119</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(3,473)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Other</w:t>
            </w:r>
          </w:p>
        </w:tc>
        <w:tc>
          <w:tcPr>
            <w:tcW w:w="16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(441)</w:t>
            </w:r>
          </w:p>
        </w:tc>
        <w:tc>
          <w:tcPr>
            <w:tcW w:w="1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4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320" w:type="dxa"/>
            <w:vAlign w:val="bottom"/>
            <w:tcBorders>
              <w:top w:val="single" w:sz="8" w:color="D6F3E8"/>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-1294130</wp:posOffset>
            </wp:positionV>
            <wp:extent cx="214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31" w:right="239" w:bottom="1022" w:gutter="0" w:footer="0" w:header="0"/>
        </w:sectPr>
      </w:pPr>
    </w:p>
    <w:p>
      <w:pPr>
        <w:spacing w:after="0" w:line="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Payments for purchase of common stock</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Payments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Borrowings on ARS portfolio</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issuance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Excess tax benefit from stock-based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(17,771)</w:t>
            </w:r>
          </w:p>
        </w:tc>
      </w:tr>
      <w:tr>
        <w:trPr>
          <w:trHeight w:val="257"/>
        </w:trPr>
        <w:tc>
          <w:tcPr>
            <w:tcW w:w="44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(3,489)</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(13,997)</w:t>
            </w:r>
          </w:p>
        </w:tc>
      </w:tr>
      <w:tr>
        <w:trPr>
          <w:trHeight w:val="257"/>
        </w:trPr>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22"/>
                <w:szCs w:val="22"/>
                <w:color w:val="auto"/>
              </w:rPr>
            </w:pPr>
          </w:p>
        </w:tc>
      </w:tr>
      <w:tr>
        <w:trPr>
          <w:trHeight w:val="258"/>
        </w:trPr>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2"/>
                <w:szCs w:val="22"/>
                <w:color w:val="auto"/>
              </w:rPr>
            </w:pPr>
          </w:p>
        </w:tc>
      </w:tr>
      <w:tr>
        <w:trPr>
          <w:trHeight w:val="250"/>
        </w:trPr>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5,457</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(31,033)</w:t>
            </w:r>
          </w:p>
        </w:tc>
      </w:tr>
      <w:tr>
        <w:trPr>
          <w:trHeight w:val="438"/>
        </w:trPr>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18,715</w:t>
            </w: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10,962</w:t>
            </w:r>
          </w:p>
        </w:tc>
        <w:tc>
          <w:tcPr>
            <w:tcW w:w="60" w:type="dxa"/>
            <w:vAlign w:val="bottom"/>
          </w:tcPr>
          <w:p>
            <w:pPr>
              <w:spacing w:after="0"/>
              <w:rPr>
                <w:sz w:val="24"/>
                <w:szCs w:val="24"/>
                <w:color w:val="auto"/>
              </w:rPr>
            </w:pPr>
          </w:p>
        </w:tc>
      </w:tr>
      <w:tr>
        <w:trPr>
          <w:trHeight w:val="447"/>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60" w:type="dxa"/>
            <w:vAlign w:val="bottom"/>
          </w:tcPr>
          <w:p>
            <w:pPr>
              <w:spacing w:after="0"/>
              <w:rPr>
                <w:sz w:val="24"/>
                <w:szCs w:val="24"/>
                <w:color w:val="auto"/>
              </w:rPr>
            </w:pPr>
          </w:p>
        </w:tc>
      </w:tr>
      <w:tr>
        <w:trPr>
          <w:trHeight w:val="439"/>
        </w:trPr>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320" w:type="dxa"/>
            <w:vAlign w:val="bottom"/>
          </w:tcPr>
          <w:p>
            <w:pPr>
              <w:spacing w:after="0"/>
              <w:rPr>
                <w:sz w:val="24"/>
                <w:szCs w:val="24"/>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60" w:type="dxa"/>
            <w:vAlign w:val="bottom"/>
          </w:tcPr>
          <w:p>
            <w:pPr>
              <w:spacing w:after="0"/>
              <w:rPr>
                <w:sz w:val="24"/>
                <w:szCs w:val="2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960"/>
          </w:cols>
          <w:pgMar w:left="240" w:top="131" w:right="239" w:bottom="10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29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Quarter Ended</w:t>
            </w:r>
          </w:p>
        </w:tc>
        <w:tc>
          <w:tcPr>
            <w:tcW w:w="176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7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Aug. 29, 2009</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Aug. 30, 2008</w:t>
            </w: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11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285</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40" w:type="dxa"/>
            <w:vAlign w:val="bottom"/>
            <w:vMerge w:val="continue"/>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D6F3E8"/>
          </w:tcPr>
          <w:p>
            <w:pPr>
              <w:spacing w:after="0"/>
              <w:rPr>
                <w:sz w:val="21"/>
                <w:szCs w:val="21"/>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384</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D6F3E8"/>
          </w:tcPr>
          <w:p>
            <w:pPr>
              <w:spacing w:after="0"/>
              <w:rPr>
                <w:sz w:val="21"/>
                <w:szCs w:val="21"/>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6"/>
        </w:trPr>
        <w:tc>
          <w:tcPr>
            <w:tcW w:w="5740" w:type="dxa"/>
            <w:vAlign w:val="bottom"/>
          </w:tcPr>
          <w:p>
            <w:pPr>
              <w:ind w:left="180"/>
              <w:spacing w:after="0"/>
              <w:rPr>
                <w:sz w:val="20"/>
                <w:szCs w:val="20"/>
                <w:color w:val="auto"/>
              </w:rPr>
            </w:pPr>
            <w:r>
              <w:rPr>
                <w:rFonts w:ascii="Arial" w:cs="Arial" w:eastAsia="Arial" w:hAnsi="Arial"/>
                <w:sz w:val="18"/>
                <w:szCs w:val="18"/>
                <w:color w:val="auto"/>
              </w:rPr>
              <w:t>Class B</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58"/>
        </w:trPr>
        <w:tc>
          <w:tcPr>
            <w:tcW w:w="574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Class C</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w:t>
            </w:r>
          </w:p>
        </w:tc>
        <w:tc>
          <w:tcPr>
            <w:tcW w:w="36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452</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00"/>
              <w:spacing w:after="0"/>
              <w:rPr>
                <w:sz w:val="20"/>
                <w:szCs w:val="20"/>
                <w:color w:val="auto"/>
              </w:rPr>
            </w:pPr>
            <w:r>
              <w:rPr>
                <w:rFonts w:ascii="Arial" w:cs="Arial" w:eastAsia="Arial" w:hAnsi="Arial"/>
                <w:sz w:val="18"/>
                <w:szCs w:val="18"/>
                <w:color w:val="auto"/>
              </w:rPr>
              <w:t>Total deliveries</w:t>
            </w: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4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928</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74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52 Weeks Ended</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53 Weeks Ended</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Aug. 29, 2009</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Aug. 30, 2008</w:t>
            </w: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11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480</w:t>
            </w:r>
          </w:p>
        </w:tc>
        <w:tc>
          <w:tcPr>
            <w:tcW w:w="36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2,129</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(1,649)</w:t>
            </w:r>
          </w:p>
        </w:tc>
        <w:tc>
          <w:tcPr>
            <w:tcW w:w="28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6"/>
        </w:trPr>
        <w:tc>
          <w:tcPr>
            <w:tcW w:w="57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900</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40" w:type="dxa"/>
            <w:vAlign w:val="bottom"/>
            <w:vMerge w:val="continue"/>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D6F3E8"/>
          </w:tcPr>
          <w:p>
            <w:pPr>
              <w:spacing w:after="0"/>
              <w:rPr>
                <w:sz w:val="21"/>
                <w:szCs w:val="21"/>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3,029</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(2,207)</w:t>
            </w:r>
          </w:p>
        </w:tc>
        <w:tc>
          <w:tcPr>
            <w:tcW w:w="280" w:type="dxa"/>
            <w:vAlign w:val="bottom"/>
            <w:shd w:val="clear" w:color="auto" w:fill="D6F3E8"/>
          </w:tcPr>
          <w:p>
            <w:pPr>
              <w:spacing w:after="0"/>
              <w:rPr>
                <w:sz w:val="21"/>
                <w:szCs w:val="21"/>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56"/>
        </w:trPr>
        <w:tc>
          <w:tcPr>
            <w:tcW w:w="5740" w:type="dxa"/>
            <w:vAlign w:val="bottom"/>
          </w:tcPr>
          <w:p>
            <w:pPr>
              <w:ind w:left="180"/>
              <w:spacing w:after="0"/>
              <w:rPr>
                <w:sz w:val="20"/>
                <w:szCs w:val="20"/>
                <w:color w:val="auto"/>
              </w:rPr>
            </w:pPr>
            <w:r>
              <w:rPr>
                <w:rFonts w:ascii="Arial" w:cs="Arial" w:eastAsia="Arial" w:hAnsi="Arial"/>
                <w:sz w:val="18"/>
                <w:szCs w:val="18"/>
                <w:color w:val="auto"/>
              </w:rPr>
              <w:t>Class B</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8"/>
        </w:trPr>
        <w:tc>
          <w:tcPr>
            <w:tcW w:w="574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Class C</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1,225</w:t>
            </w:r>
          </w:p>
        </w:tc>
        <w:tc>
          <w:tcPr>
            <w:tcW w:w="36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3,238</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00"/>
              <w:spacing w:after="0"/>
              <w:rPr>
                <w:sz w:val="20"/>
                <w:szCs w:val="20"/>
                <w:color w:val="auto"/>
              </w:rPr>
            </w:pPr>
            <w:r>
              <w:rPr>
                <w:rFonts w:ascii="Arial" w:cs="Arial" w:eastAsia="Arial" w:hAnsi="Arial"/>
                <w:sz w:val="18"/>
                <w:szCs w:val="18"/>
                <w:color w:val="auto"/>
              </w:rPr>
              <w:t>Total deliveries</w:t>
            </w: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4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2,196</w:t>
            </w:r>
          </w:p>
        </w:tc>
        <w:tc>
          <w:tcPr>
            <w:tcW w:w="36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6,407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(4,211)</w:t>
            </w:r>
          </w:p>
        </w:tc>
        <w:tc>
          <w:tcPr>
            <w:tcW w:w="2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1" w:right="239" w:bottom="1022"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9"/>
              </w:rPr>
              <w:t>As of</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w w:val="93"/>
              </w:rPr>
              <w:t>Aug. 29, 2009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30, 2008</w:t>
            </w:r>
          </w:p>
        </w:tc>
        <w:tc>
          <w:tcPr>
            <w:tcW w:w="28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36"/>
        </w:trPr>
        <w:tc>
          <w:tcPr>
            <w:tcW w:w="5380" w:type="dxa"/>
            <w:vAlign w:val="bottom"/>
          </w:tcPr>
          <w:p>
            <w:pPr>
              <w:spacing w:after="0"/>
              <w:rPr>
                <w:sz w:val="20"/>
                <w:szCs w:val="20"/>
                <w:color w:val="auto"/>
              </w:rPr>
            </w:pPr>
            <w:r>
              <w:rPr>
                <w:rFonts w:ascii="Arial" w:cs="Arial" w:eastAsia="Arial" w:hAnsi="Arial"/>
                <w:sz w:val="18"/>
                <w:szCs w:val="18"/>
                <w:color w:val="auto"/>
              </w:rPr>
              <w:t>Sales order backlog</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538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16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189.9</w:t>
            </w:r>
          </w:p>
        </w:tc>
      </w:tr>
      <w:tr>
        <w:trPr>
          <w:trHeight w:val="256"/>
        </w:trPr>
        <w:tc>
          <w:tcPr>
            <w:tcW w:w="5380" w:type="dxa"/>
            <w:vAlign w:val="bottom"/>
            <w:tcBorders>
              <w:bottom w:val="single" w:sz="8" w:color="D6F3E8"/>
            </w:tcBorders>
          </w:tcPr>
          <w:p>
            <w:pPr>
              <w:ind w:left="100"/>
              <w:spacing w:after="0"/>
              <w:rPr>
                <w:sz w:val="20"/>
                <w:szCs w:val="20"/>
                <w:color w:val="auto"/>
              </w:rPr>
            </w:pPr>
            <w:r>
              <w:rPr>
                <w:rFonts w:ascii="Arial" w:cs="Arial" w:eastAsia="Arial" w:hAnsi="Arial"/>
                <w:sz w:val="18"/>
                <w:szCs w:val="18"/>
                <w:color w:val="auto"/>
              </w:rPr>
              <w:t>Class A Diesel</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D6F3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D6F3E8"/>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D6F3E8"/>
            </w:tcBorders>
          </w:tcPr>
          <w:p>
            <w:pPr>
              <w:spacing w:after="0"/>
              <w:rPr>
                <w:sz w:val="22"/>
                <w:szCs w:val="22"/>
                <w:color w:val="auto"/>
              </w:rPr>
            </w:pPr>
          </w:p>
        </w:tc>
      </w:tr>
      <w:tr>
        <w:trPr>
          <w:trHeight w:val="251"/>
        </w:trPr>
        <w:tc>
          <w:tcPr>
            <w:tcW w:w="53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D6F3E8"/>
          </w:tcPr>
          <w:p>
            <w:pPr>
              <w:spacing w:after="0"/>
              <w:rPr>
                <w:sz w:val="21"/>
                <w:szCs w:val="21"/>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147.9</w:t>
            </w:r>
          </w:p>
        </w:tc>
      </w:tr>
      <w:tr>
        <w:trPr>
          <w:trHeight w:val="256"/>
        </w:trPr>
        <w:tc>
          <w:tcPr>
            <w:tcW w:w="5380" w:type="dxa"/>
            <w:vAlign w:val="bottom"/>
          </w:tcPr>
          <w:p>
            <w:pPr>
              <w:ind w:left="180"/>
              <w:spacing w:after="0"/>
              <w:rPr>
                <w:sz w:val="20"/>
                <w:szCs w:val="20"/>
                <w:color w:val="auto"/>
              </w:rPr>
            </w:pPr>
            <w:r>
              <w:rPr>
                <w:rFonts w:ascii="Arial" w:cs="Arial" w:eastAsia="Arial" w:hAnsi="Arial"/>
                <w:sz w:val="18"/>
                <w:szCs w:val="18"/>
                <w:color w:val="auto"/>
              </w:rPr>
              <w:t>Class B</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58"/>
        </w:trPr>
        <w:tc>
          <w:tcPr>
            <w:tcW w:w="53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Class C</w:t>
            </w:r>
          </w:p>
        </w:tc>
        <w:tc>
          <w:tcPr>
            <w:tcW w:w="160" w:type="dxa"/>
            <w:vAlign w:val="bottom"/>
            <w:tcBorders>
              <w:bottom w:val="single" w:sz="8" w:color="auto"/>
            </w:tcBorders>
            <w:shd w:val="clear" w:color="auto" w:fill="D6F3E8"/>
          </w:tcPr>
          <w:p>
            <w:pPr>
              <w:spacing w:after="0"/>
              <w:rPr>
                <w:sz w:val="22"/>
                <w:szCs w:val="22"/>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D6F3E8"/>
          </w:tcPr>
          <w:p>
            <w:pPr>
              <w:spacing w:after="0"/>
              <w:rPr>
                <w:sz w:val="22"/>
                <w:szCs w:val="22"/>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D6F3E8"/>
          </w:tcPr>
          <w:p>
            <w:pPr>
              <w:spacing w:after="0"/>
              <w:rPr>
                <w:sz w:val="22"/>
                <w:szCs w:val="22"/>
                <w:color w:val="auto"/>
              </w:rPr>
            </w:pPr>
          </w:p>
        </w:tc>
      </w:tr>
      <w:tr>
        <w:trPr>
          <w:trHeight w:val="249"/>
        </w:trPr>
        <w:tc>
          <w:tcPr>
            <w:tcW w:w="5380" w:type="dxa"/>
            <w:vAlign w:val="bottom"/>
          </w:tcPr>
          <w:p>
            <w:pPr>
              <w:ind w:left="300"/>
              <w:spacing w:after="0"/>
              <w:rPr>
                <w:sz w:val="20"/>
                <w:szCs w:val="20"/>
                <w:color w:val="auto"/>
              </w:rPr>
            </w:pPr>
            <w:r>
              <w:rPr>
                <w:rFonts w:ascii="Arial" w:cs="Arial" w:eastAsia="Arial" w:hAnsi="Arial"/>
                <w:sz w:val="18"/>
                <w:szCs w:val="18"/>
                <w:color w:val="auto"/>
              </w:rPr>
              <w:t>Total backlog*</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7"/>
        </w:trPr>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Total approximate revenue dollars (in thousands)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86,626</w:t>
            </w:r>
          </w:p>
        </w:tc>
        <w:tc>
          <w:tcPr>
            <w:tcW w:w="5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50,599</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36,027</w:t>
            </w:r>
          </w:p>
        </w:tc>
        <w:tc>
          <w:tcPr>
            <w:tcW w:w="34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71.2</w:t>
            </w:r>
          </w:p>
        </w:tc>
      </w:tr>
      <w:tr>
        <w:trPr>
          <w:trHeight w:val="444"/>
        </w:trPr>
        <w:tc>
          <w:tcPr>
            <w:tcW w:w="5380" w:type="dxa"/>
            <w:vAlign w:val="bottom"/>
          </w:tcPr>
          <w:p>
            <w:pPr>
              <w:spacing w:after="0"/>
              <w:rPr>
                <w:sz w:val="20"/>
                <w:szCs w:val="20"/>
                <w:color w:val="auto"/>
              </w:rPr>
            </w:pPr>
            <w:r>
              <w:rPr>
                <w:rFonts w:ascii="Arial" w:cs="Arial" w:eastAsia="Arial" w:hAnsi="Arial"/>
                <w:sz w:val="18"/>
                <w:szCs w:val="18"/>
                <w:color w:val="auto"/>
              </w:rPr>
              <w:t>Dealer inventory</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3,663</w:t>
            </w:r>
          </w:p>
        </w:tc>
        <w:tc>
          <w:tcPr>
            <w:tcW w:w="28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(1,969)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bl>
    <w:p>
      <w:pPr>
        <w:spacing w:after="0" w:line="210" w:lineRule="exact"/>
        <w:rPr>
          <w:sz w:val="20"/>
          <w:szCs w:val="20"/>
          <w:color w:val="auto"/>
        </w:rPr>
      </w:pPr>
    </w:p>
    <w:p>
      <w:pPr>
        <w:jc w:val="both"/>
        <w:ind w:right="740" w:firstLine="8"/>
        <w:spacing w:after="0" w:line="370" w:lineRule="auto"/>
        <w:tabs>
          <w:tab w:leader="none" w:pos="13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Non-GAAP to GAAP Financial Measures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Quarter Ended</w:t>
            </w:r>
          </w:p>
        </w:tc>
      </w:tr>
      <w:tr>
        <w:trPr>
          <w:trHeight w:val="176"/>
        </w:trPr>
        <w:tc>
          <w:tcPr>
            <w:tcW w:w="7060" w:type="dxa"/>
            <w:vAlign w:val="bottom"/>
            <w:tcBorders>
              <w:bottom w:val="single" w:sz="8" w:color="D6F3E8"/>
            </w:tcBorders>
          </w:tcPr>
          <w:p>
            <w:pPr>
              <w:spacing w:after="0"/>
              <w:rPr>
                <w:sz w:val="15"/>
                <w:szCs w:val="15"/>
                <w:color w:val="auto"/>
              </w:rPr>
            </w:pPr>
          </w:p>
        </w:tc>
        <w:tc>
          <w:tcPr>
            <w:tcW w:w="1060" w:type="dxa"/>
            <w:vAlign w:val="bottom"/>
            <w:tcBorders>
              <w:bottom w:val="single" w:sz="8" w:color="D6F3E8"/>
            </w:tcBorders>
          </w:tcPr>
          <w:p>
            <w:pPr>
              <w:spacing w:after="0"/>
              <w:rPr>
                <w:sz w:val="15"/>
                <w:szCs w:val="15"/>
                <w:color w:val="auto"/>
              </w:rPr>
            </w:pPr>
          </w:p>
        </w:tc>
        <w:tc>
          <w:tcPr>
            <w:tcW w:w="280" w:type="dxa"/>
            <w:vAlign w:val="bottom"/>
            <w:tcBorders>
              <w:bottom w:val="single" w:sz="8" w:color="D6F3E8"/>
            </w:tcBorders>
          </w:tcPr>
          <w:p>
            <w:pPr>
              <w:spacing w:after="0"/>
              <w:rPr>
                <w:sz w:val="15"/>
                <w:szCs w:val="15"/>
                <w:color w:val="auto"/>
              </w:rPr>
            </w:pPr>
          </w:p>
        </w:tc>
        <w:tc>
          <w:tcPr>
            <w:tcW w:w="80" w:type="dxa"/>
            <w:vAlign w:val="bottom"/>
            <w:tcBorders>
              <w:bottom w:val="single" w:sz="8" w:color="D6F3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Aug. 29, 2009</w:t>
            </w:r>
          </w:p>
        </w:tc>
        <w:tc>
          <w:tcPr>
            <w:tcW w:w="180" w:type="dxa"/>
            <w:vAlign w:val="bottom"/>
            <w:tcBorders>
              <w:bottom w:val="single" w:sz="8" w:color="D6F3E8"/>
            </w:tcBorders>
          </w:tcPr>
          <w:p>
            <w:pPr>
              <w:spacing w:after="0"/>
              <w:rPr>
                <w:sz w:val="15"/>
                <w:szCs w:val="15"/>
                <w:color w:val="auto"/>
              </w:rPr>
            </w:pPr>
          </w:p>
        </w:tc>
        <w:tc>
          <w:tcPr>
            <w:tcW w:w="140" w:type="dxa"/>
            <w:vAlign w:val="bottom"/>
            <w:tcBorders>
              <w:bottom w:val="single" w:sz="8" w:color="D6F3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Aug. 30, 2008</w:t>
            </w:r>
          </w:p>
        </w:tc>
        <w:tc>
          <w:tcPr>
            <w:tcW w:w="100" w:type="dxa"/>
            <w:vAlign w:val="bottom"/>
            <w:tcBorders>
              <w:bottom w:val="single" w:sz="8" w:color="D6F3E8"/>
            </w:tcBorders>
          </w:tcPr>
          <w:p>
            <w:pPr>
              <w:spacing w:after="0"/>
              <w:rPr>
                <w:sz w:val="15"/>
                <w:szCs w:val="15"/>
                <w:color w:val="auto"/>
              </w:rPr>
            </w:pPr>
          </w:p>
        </w:tc>
      </w:tr>
      <w:tr>
        <w:trPr>
          <w:trHeight w:val="250"/>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(9,146)</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(18,105)</w:t>
            </w:r>
          </w:p>
        </w:tc>
      </w:tr>
      <w:tr>
        <w:trPr>
          <w:trHeight w:val="256"/>
        </w:trPr>
        <w:tc>
          <w:tcPr>
            <w:tcW w:w="70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Add Asset impairment</w:t>
            </w:r>
          </w:p>
        </w:tc>
        <w:tc>
          <w:tcPr>
            <w:tcW w:w="1060" w:type="dxa"/>
            <w:vAlign w:val="bottom"/>
            <w:tcBorders>
              <w:bottom w:val="single" w:sz="8" w:color="D6F3E8"/>
            </w:tcBorders>
          </w:tcPr>
          <w:p>
            <w:pPr>
              <w:spacing w:after="0"/>
              <w:rPr>
                <w:sz w:val="22"/>
                <w:szCs w:val="22"/>
                <w:color w:val="auto"/>
              </w:rPr>
            </w:pPr>
          </w:p>
        </w:tc>
        <w:tc>
          <w:tcPr>
            <w:tcW w:w="28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D6F3E8"/>
            </w:tcBorders>
          </w:tcPr>
          <w:p>
            <w:pPr>
              <w:spacing w:after="0"/>
              <w:rPr>
                <w:sz w:val="22"/>
                <w:szCs w:val="22"/>
                <w:color w:val="auto"/>
              </w:rPr>
            </w:pPr>
          </w:p>
        </w:tc>
      </w:tr>
      <w:tr>
        <w:trPr>
          <w:trHeight w:val="251"/>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 - excluding asset impairment</w:t>
            </w:r>
          </w:p>
        </w:tc>
        <w:tc>
          <w:tcPr>
            <w:tcW w:w="10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(8,291)</w:t>
            </w:r>
          </w:p>
        </w:tc>
        <w:tc>
          <w:tcPr>
            <w:tcW w:w="14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(13,419)</w:t>
            </w:r>
          </w:p>
        </w:tc>
      </w:tr>
      <w:tr>
        <w:trPr>
          <w:trHeight w:val="256"/>
        </w:trPr>
        <w:tc>
          <w:tcPr>
            <w:tcW w:w="70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Assumed federal tax benefit</w:t>
            </w:r>
          </w:p>
        </w:tc>
        <w:tc>
          <w:tcPr>
            <w:tcW w:w="1060" w:type="dxa"/>
            <w:vAlign w:val="bottom"/>
            <w:tcBorders>
              <w:bottom w:val="single" w:sz="8" w:color="D6F3E8"/>
            </w:tcBorders>
          </w:tcPr>
          <w:p>
            <w:pPr>
              <w:spacing w:after="0"/>
              <w:rPr>
                <w:sz w:val="22"/>
                <w:szCs w:val="22"/>
                <w:color w:val="auto"/>
              </w:rPr>
            </w:pPr>
          </w:p>
        </w:tc>
        <w:tc>
          <w:tcPr>
            <w:tcW w:w="28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D6F3E8"/>
            </w:tcBorders>
          </w:tcPr>
          <w:p>
            <w:pPr>
              <w:spacing w:after="0"/>
              <w:rPr>
                <w:sz w:val="22"/>
                <w:szCs w:val="22"/>
                <w:color w:val="auto"/>
              </w:rPr>
            </w:pPr>
          </w:p>
        </w:tc>
      </w:tr>
      <w:tr>
        <w:trPr>
          <w:trHeight w:val="271"/>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Net loss - excluding asset impairment and deferred tax asset valuation</w:t>
            </w:r>
          </w:p>
        </w:tc>
        <w:tc>
          <w:tcPr>
            <w:tcW w:w="1340" w:type="dxa"/>
            <w:vAlign w:val="bottom"/>
            <w:gridSpan w:val="2"/>
            <w:shd w:val="clear" w:color="auto" w:fill="D6F3E8"/>
          </w:tcPr>
          <w:p>
            <w:pPr>
              <w:ind w:left="1060"/>
              <w:spacing w:after="0"/>
              <w:rPr>
                <w:sz w:val="20"/>
                <w:szCs w:val="20"/>
                <w:color w:val="auto"/>
              </w:rPr>
            </w:pPr>
            <w:r>
              <w:rPr>
                <w:rFonts w:ascii="Arial" w:cs="Arial" w:eastAsia="Arial" w:hAnsi="Arial"/>
                <w:sz w:val="18"/>
                <w:szCs w:val="18"/>
                <w:color w:val="auto"/>
              </w:rPr>
              <w:t>(a)</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(5,389)</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(8,722)</w:t>
            </w:r>
          </w:p>
        </w:tc>
      </w:tr>
      <w:tr>
        <w:trPr>
          <w:trHeight w:val="20"/>
        </w:trPr>
        <w:tc>
          <w:tcPr>
            <w:tcW w:w="7060" w:type="dxa"/>
            <w:vAlign w:val="bottom"/>
            <w:tcBorders>
              <w:top w:val="single" w:sz="8" w:color="D6F3E8"/>
            </w:tcBorders>
          </w:tcPr>
          <w:p>
            <w:pPr>
              <w:spacing w:after="0" w:line="20" w:lineRule="exact"/>
              <w:rPr>
                <w:sz w:val="1"/>
                <w:szCs w:val="1"/>
                <w:color w:val="auto"/>
              </w:rPr>
            </w:pPr>
          </w:p>
        </w:tc>
        <w:tc>
          <w:tcPr>
            <w:tcW w:w="106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r>
      <w:tr>
        <w:trPr>
          <w:trHeight w:val="424"/>
        </w:trPr>
        <w:tc>
          <w:tcPr>
            <w:tcW w:w="7060" w:type="dxa"/>
            <w:vAlign w:val="bottom"/>
          </w:tcPr>
          <w:p>
            <w:pPr>
              <w:spacing w:after="0"/>
              <w:rPr>
                <w:sz w:val="20"/>
                <w:szCs w:val="20"/>
                <w:color w:val="auto"/>
              </w:rPr>
            </w:pPr>
            <w:r>
              <w:rPr>
                <w:rFonts w:ascii="Arial" w:cs="Arial" w:eastAsia="Arial" w:hAnsi="Arial"/>
                <w:sz w:val="18"/>
                <w:szCs w:val="18"/>
                <w:color w:val="auto"/>
              </w:rPr>
              <w:t>Dilute loss per common share, excluding asset impairment and deferred tax valuation</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191"/>
        </w:trPr>
        <w:tc>
          <w:tcPr>
            <w:tcW w:w="7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7"/>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6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29,067</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29,047</w:t>
            </w:r>
          </w:p>
        </w:tc>
      </w:tr>
      <w:tr>
        <w:trPr>
          <w:trHeight w:val="744"/>
        </w:trPr>
        <w:tc>
          <w:tcPr>
            <w:tcW w:w="7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52 Weeks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53 Weeks Ended</w:t>
            </w:r>
          </w:p>
        </w:tc>
      </w:tr>
      <w:tr>
        <w:trPr>
          <w:trHeight w:val="161"/>
        </w:trPr>
        <w:tc>
          <w:tcPr>
            <w:tcW w:w="7060" w:type="dxa"/>
            <w:vAlign w:val="bottom"/>
            <w:tcBorders>
              <w:bottom w:val="single" w:sz="8" w:color="D6F3E8"/>
            </w:tcBorders>
          </w:tcPr>
          <w:p>
            <w:pPr>
              <w:spacing w:after="0"/>
              <w:rPr>
                <w:sz w:val="14"/>
                <w:szCs w:val="14"/>
                <w:color w:val="auto"/>
              </w:rPr>
            </w:pPr>
          </w:p>
        </w:tc>
        <w:tc>
          <w:tcPr>
            <w:tcW w:w="1060" w:type="dxa"/>
            <w:vAlign w:val="bottom"/>
            <w:tcBorders>
              <w:bottom w:val="single" w:sz="8" w:color="D6F3E8"/>
            </w:tcBorders>
          </w:tcPr>
          <w:p>
            <w:pPr>
              <w:spacing w:after="0"/>
              <w:rPr>
                <w:sz w:val="14"/>
                <w:szCs w:val="14"/>
                <w:color w:val="auto"/>
              </w:rPr>
            </w:pPr>
          </w:p>
        </w:tc>
        <w:tc>
          <w:tcPr>
            <w:tcW w:w="28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Aug. 29, 2009</w:t>
            </w:r>
          </w:p>
        </w:tc>
        <w:tc>
          <w:tcPr>
            <w:tcW w:w="180" w:type="dxa"/>
            <w:vAlign w:val="bottom"/>
            <w:tcBorders>
              <w:bottom w:val="single" w:sz="8" w:color="D6F3E8"/>
            </w:tcBorders>
          </w:tcPr>
          <w:p>
            <w:pPr>
              <w:spacing w:after="0"/>
              <w:rPr>
                <w:sz w:val="14"/>
                <w:szCs w:val="14"/>
                <w:color w:val="auto"/>
              </w:rPr>
            </w:pPr>
          </w:p>
        </w:tc>
        <w:tc>
          <w:tcPr>
            <w:tcW w:w="140" w:type="dxa"/>
            <w:vAlign w:val="bottom"/>
            <w:tcBorders>
              <w:bottom w:val="single" w:sz="8" w:color="D6F3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Aug. 30, 2008</w:t>
            </w:r>
          </w:p>
        </w:tc>
        <w:tc>
          <w:tcPr>
            <w:tcW w:w="100" w:type="dxa"/>
            <w:vAlign w:val="bottom"/>
            <w:tcBorders>
              <w:bottom w:val="single" w:sz="8" w:color="D6F3E8"/>
            </w:tcBorders>
          </w:tcPr>
          <w:p>
            <w:pPr>
              <w:spacing w:after="0"/>
              <w:rPr>
                <w:sz w:val="14"/>
                <w:szCs w:val="14"/>
                <w:color w:val="auto"/>
              </w:rPr>
            </w:pPr>
          </w:p>
        </w:tc>
      </w:tr>
      <w:tr>
        <w:trPr>
          <w:trHeight w:val="250"/>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(58,063)</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(5,441)</w:t>
            </w:r>
          </w:p>
        </w:tc>
      </w:tr>
      <w:tr>
        <w:trPr>
          <w:trHeight w:val="256"/>
        </w:trPr>
        <w:tc>
          <w:tcPr>
            <w:tcW w:w="70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Add Asset impairment</w:t>
            </w:r>
          </w:p>
        </w:tc>
        <w:tc>
          <w:tcPr>
            <w:tcW w:w="1060" w:type="dxa"/>
            <w:vAlign w:val="bottom"/>
            <w:tcBorders>
              <w:bottom w:val="single" w:sz="8" w:color="D6F3E8"/>
            </w:tcBorders>
          </w:tcPr>
          <w:p>
            <w:pPr>
              <w:spacing w:after="0"/>
              <w:rPr>
                <w:sz w:val="22"/>
                <w:szCs w:val="22"/>
                <w:color w:val="auto"/>
              </w:rPr>
            </w:pPr>
          </w:p>
        </w:tc>
        <w:tc>
          <w:tcPr>
            <w:tcW w:w="28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D6F3E8"/>
            </w:tcBorders>
          </w:tcPr>
          <w:p>
            <w:pPr>
              <w:spacing w:after="0"/>
              <w:rPr>
                <w:sz w:val="22"/>
                <w:szCs w:val="22"/>
                <w:color w:val="auto"/>
              </w:rPr>
            </w:pPr>
          </w:p>
        </w:tc>
      </w:tr>
      <w:tr>
        <w:trPr>
          <w:trHeight w:val="251"/>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 - excluding asset impairment</w:t>
            </w:r>
          </w:p>
        </w:tc>
        <w:tc>
          <w:tcPr>
            <w:tcW w:w="10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(57,208)</w:t>
            </w:r>
          </w:p>
        </w:tc>
        <w:tc>
          <w:tcPr>
            <w:tcW w:w="14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(755)</w:t>
            </w:r>
          </w:p>
        </w:tc>
      </w:tr>
      <w:tr>
        <w:trPr>
          <w:trHeight w:val="256"/>
        </w:trPr>
        <w:tc>
          <w:tcPr>
            <w:tcW w:w="70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Assumed federal tax benefit</w:t>
            </w:r>
          </w:p>
        </w:tc>
        <w:tc>
          <w:tcPr>
            <w:tcW w:w="1060" w:type="dxa"/>
            <w:vAlign w:val="bottom"/>
            <w:tcBorders>
              <w:bottom w:val="single" w:sz="8" w:color="D6F3E8"/>
            </w:tcBorders>
          </w:tcPr>
          <w:p>
            <w:pPr>
              <w:spacing w:after="0"/>
              <w:rPr>
                <w:sz w:val="22"/>
                <w:szCs w:val="22"/>
                <w:color w:val="auto"/>
              </w:rPr>
            </w:pPr>
          </w:p>
        </w:tc>
        <w:tc>
          <w:tcPr>
            <w:tcW w:w="28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1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D6F3E8"/>
            </w:tcBorders>
          </w:tcPr>
          <w:p>
            <w:pPr>
              <w:spacing w:after="0"/>
              <w:rPr>
                <w:sz w:val="22"/>
                <w:szCs w:val="22"/>
                <w:color w:val="auto"/>
              </w:rPr>
            </w:pPr>
          </w:p>
        </w:tc>
      </w:tr>
      <w:tr>
        <w:trPr>
          <w:trHeight w:val="271"/>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Net loss - excluding asset impairment and deferred tax asset valuation</w:t>
            </w:r>
          </w:p>
        </w:tc>
        <w:tc>
          <w:tcPr>
            <w:tcW w:w="1340" w:type="dxa"/>
            <w:vAlign w:val="bottom"/>
            <w:gridSpan w:val="2"/>
            <w:shd w:val="clear" w:color="auto" w:fill="D6F3E8"/>
          </w:tcPr>
          <w:p>
            <w:pPr>
              <w:ind w:left="1060"/>
              <w:spacing w:after="0"/>
              <w:rPr>
                <w:sz w:val="20"/>
                <w:szCs w:val="20"/>
                <w:color w:val="auto"/>
              </w:rPr>
            </w:pPr>
            <w:r>
              <w:rPr>
                <w:rFonts w:ascii="Arial" w:cs="Arial" w:eastAsia="Arial" w:hAnsi="Arial"/>
                <w:sz w:val="18"/>
                <w:szCs w:val="18"/>
                <w:color w:val="auto"/>
              </w:rPr>
              <w:t>(a)</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(37,185)</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(491)</w:t>
            </w:r>
          </w:p>
        </w:tc>
      </w:tr>
      <w:tr>
        <w:trPr>
          <w:trHeight w:val="20"/>
        </w:trPr>
        <w:tc>
          <w:tcPr>
            <w:tcW w:w="7060" w:type="dxa"/>
            <w:vAlign w:val="bottom"/>
            <w:tcBorders>
              <w:top w:val="single" w:sz="8" w:color="D6F3E8"/>
            </w:tcBorders>
          </w:tcPr>
          <w:p>
            <w:pPr>
              <w:spacing w:after="0" w:line="20" w:lineRule="exact"/>
              <w:rPr>
                <w:sz w:val="1"/>
                <w:szCs w:val="1"/>
                <w:color w:val="auto"/>
              </w:rPr>
            </w:pPr>
          </w:p>
        </w:tc>
        <w:tc>
          <w:tcPr>
            <w:tcW w:w="106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r>
      <w:tr>
        <w:trPr>
          <w:trHeight w:val="424"/>
        </w:trPr>
        <w:tc>
          <w:tcPr>
            <w:tcW w:w="7060" w:type="dxa"/>
            <w:vAlign w:val="bottom"/>
          </w:tcPr>
          <w:p>
            <w:pPr>
              <w:spacing w:after="0"/>
              <w:rPr>
                <w:sz w:val="20"/>
                <w:szCs w:val="20"/>
                <w:color w:val="auto"/>
              </w:rPr>
            </w:pPr>
            <w:r>
              <w:rPr>
                <w:rFonts w:ascii="Arial" w:cs="Arial" w:eastAsia="Arial" w:hAnsi="Arial"/>
                <w:sz w:val="18"/>
                <w:szCs w:val="18"/>
                <w:color w:val="auto"/>
              </w:rPr>
              <w:t>Dilute loss per common share, excluding asset impairment and deferred tax valuation</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191"/>
        </w:trPr>
        <w:tc>
          <w:tcPr>
            <w:tcW w:w="7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7"/>
        </w:trPr>
        <w:tc>
          <w:tcPr>
            <w:tcW w:w="7060" w:type="dxa"/>
            <w:vAlign w:val="bottom"/>
            <w:shd w:val="clear" w:color="auto" w:fill="D6F3E8"/>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6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29,051</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29,144</w:t>
            </w:r>
          </w:p>
        </w:tc>
      </w:tr>
    </w:tbl>
    <w:p>
      <w:pPr>
        <w:spacing w:after="0" w:line="208" w:lineRule="exact"/>
        <w:rPr>
          <w:sz w:val="20"/>
          <w:szCs w:val="20"/>
          <w:color w:val="auto"/>
        </w:rPr>
      </w:pPr>
    </w:p>
    <w:p>
      <w:pPr>
        <w:ind w:right="80" w:firstLine="8"/>
        <w:spacing w:after="0" w:line="306"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Management has included non-GAAP financial measures in this release of net loss excluding non-cash charges. We believe that our net loss financial measures presented with these adjustments best reflect our ongoing performance and business operations during the periods presented. Management believes that this information allows investors to make a more meaningful comparison of the financial results over different periods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2019-12-10T03:37:56Z</dcterms:created>
  <dcterms:modified xsi:type="dcterms:W3CDTF">2019-12-10T03:37:56Z</dcterms:modified>
</cp:coreProperties>
</file>