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5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On June 25, 2026, Winnebago Industries, Inc. (the "Company") issued a press release to report financial results for the third quarter of Fiscal 2026 ended May 30, 2026. A copy of the press release is attached as Exhibit 99.1 and is incorporated by reference herein.</w:t>
      </w:r>
    </w:p>
    <w:p>
      <w:pPr>
        <w:spacing w:after="0" w:line="19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2026.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8"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6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May 30, 2026</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1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80" w:type="dxa"/>
            <w:vAlign w:val="bottom"/>
            <w:gridSpan w:val="2"/>
          </w:tcPr>
          <w:p>
            <w:pPr>
              <w:ind w:left="20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3180" w:type="dxa"/>
            <w:vAlign w:val="bottom"/>
          </w:tcPr>
          <w:p>
            <w:pPr>
              <w:ind w:left="160"/>
              <w:spacing w:after="0"/>
              <w:rPr>
                <w:sz w:val="20"/>
                <w:szCs w:val="20"/>
                <w:color w:val="auto"/>
              </w:rPr>
            </w:pPr>
            <w:r>
              <w:rPr>
                <w:rFonts w:ascii="Arial" w:cs="Arial" w:eastAsia="Arial" w:hAnsi="Arial"/>
                <w:sz w:val="16"/>
                <w:szCs w:val="16"/>
                <w:color w:val="auto"/>
              </w:rPr>
              <w:t>June 25, 2026</w:t>
            </w:r>
          </w:p>
        </w:tc>
        <w:tc>
          <w:tcPr>
            <w:tcW w:w="2820" w:type="dxa"/>
            <w:vAlign w:val="bottom"/>
          </w:tcPr>
          <w:p>
            <w:pPr>
              <w:ind w:left="20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20" w:type="dxa"/>
            <w:vAlign w:val="bottom"/>
          </w:tcPr>
          <w:p>
            <w:pPr>
              <w:ind w:left="20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20" w:type="dxa"/>
            <w:vAlign w:val="bottom"/>
            <w:vMerge w:val="restart"/>
          </w:tcPr>
          <w:p>
            <w:pPr>
              <w:ind w:left="20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line="164" w:lineRule="exact"/>
              <w:rPr>
                <w:sz w:val="20"/>
                <w:szCs w:val="20"/>
                <w:color w:val="auto"/>
              </w:rPr>
            </w:pPr>
            <w:r>
              <w:rPr>
                <w:rFonts w:ascii="Arial" w:cs="Arial" w:eastAsia="Arial" w:hAnsi="Arial"/>
                <w:sz w:val="16"/>
                <w:szCs w:val="16"/>
                <w:color w:val="auto"/>
              </w:rPr>
              <w:t>Chief Financial Officer and Senior Vice President</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20" w:type="dxa"/>
            <w:vAlign w:val="bottom"/>
            <w:vMerge w:val="continue"/>
          </w:tcPr>
          <w:p>
            <w:pPr>
              <w:spacing w:after="0"/>
              <w:rPr>
                <w:sz w:val="18"/>
                <w:szCs w:val="18"/>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REPORTS THIRD QUARTER FISCAL 2026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Motorhome RV Sales, Profit Dollars and Profit Margins Improved Meaningfully Year Over Year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Winnebago Towables Improved Share Results Through Product Refreshes and Execution --</w:t>
      </w:r>
    </w:p>
    <w:p>
      <w:pPr>
        <w:spacing w:after="0" w:line="208"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 Barletta Continues to Expand Share of U.S. Aluminum Pontoon Market --</w:t>
      </w:r>
    </w:p>
    <w:p>
      <w:pPr>
        <w:spacing w:after="0" w:line="207" w:lineRule="exact"/>
        <w:rPr>
          <w:sz w:val="20"/>
          <w:szCs w:val="20"/>
          <w:color w:val="auto"/>
        </w:rPr>
      </w:pPr>
    </w:p>
    <w:p>
      <w:pPr>
        <w:ind w:left="4060" w:hanging="146"/>
        <w:spacing w:after="0"/>
        <w:tabs>
          <w:tab w:leader="none" w:pos="4060"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Company Updates Fiscal 2026 Guidance --</w:t>
      </w:r>
    </w:p>
    <w:p>
      <w:pPr>
        <w:spacing w:after="0" w:line="200" w:lineRule="exact"/>
        <w:rPr>
          <w:sz w:val="20"/>
          <w:szCs w:val="20"/>
          <w:color w:val="auto"/>
        </w:rPr>
      </w:pPr>
    </w:p>
    <w:p>
      <w:pPr>
        <w:spacing w:after="0" w:line="291" w:lineRule="exact"/>
        <w:rPr>
          <w:sz w:val="20"/>
          <w:szCs w:val="20"/>
          <w:color w:val="auto"/>
        </w:rPr>
      </w:pPr>
    </w:p>
    <w:p>
      <w:pPr>
        <w:ind w:right="100"/>
        <w:spacing w:after="0" w:line="409" w:lineRule="auto"/>
        <w:rPr>
          <w:sz w:val="20"/>
          <w:szCs w:val="20"/>
          <w:color w:val="auto"/>
        </w:rPr>
      </w:pPr>
      <w:r>
        <w:rPr>
          <w:rFonts w:ascii="Arial" w:cs="Arial" w:eastAsia="Arial" w:hAnsi="Arial"/>
          <w:sz w:val="16"/>
          <w:szCs w:val="16"/>
          <w:b w:val="1"/>
          <w:bCs w:val="1"/>
          <w:color w:val="auto"/>
        </w:rPr>
        <w:t xml:space="preserve">EDEN PRAIRIE, MINN., June 25, 2026 </w:t>
      </w:r>
      <w:r>
        <w:rPr>
          <w:rFonts w:ascii="Arial" w:cs="Arial" w:eastAsia="Arial" w:hAnsi="Arial"/>
          <w:sz w:val="16"/>
          <w:szCs w:val="16"/>
          <w:color w:val="auto"/>
        </w:rPr>
        <w:t>-- Winnebago Industries, Inc. (NYSE: WGO), a leading manufacturer of outdoor recreation products, today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for the Fiscal 2026 third quarter ended May 30, 2026.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Fiscal 2026 Financial Summary</w:t>
      </w:r>
    </w:p>
    <w:p>
      <w:pPr>
        <w:spacing w:after="0" w:line="1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revenues of $698.7 million compared to $775.1 million in the third quarter of Fiscal 2025</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of $94.9 million, representing 13.6% gross margin, compared to $106.0 million in the third quarter of Fiscal 2025</w:t>
      </w:r>
    </w:p>
    <w:p>
      <w:pPr>
        <w:spacing w:after="0" w:line="99" w:lineRule="exact"/>
        <w:rPr>
          <w:rFonts w:ascii="Arial" w:cs="Arial" w:eastAsia="Arial" w:hAnsi="Arial"/>
          <w:sz w:val="16"/>
          <w:szCs w:val="16"/>
          <w:color w:val="auto"/>
        </w:rPr>
      </w:pPr>
    </w:p>
    <w:p>
      <w:pPr>
        <w:ind w:left="660" w:right="380" w:hanging="328"/>
        <w:spacing w:after="0" w:line="36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of $14.5 million, or $0.51 per diluted share; adjusted earnings per diluted share of $0.66 compared to adjusted earnings per diluted share of $0.81 in the third quarter of Fiscal 2025</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of $37.8 million, representing 5.4% adjusted EBITDA margin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100" w:lineRule="exact"/>
        <w:rPr>
          <w:sz w:val="20"/>
          <w:szCs w:val="20"/>
          <w:color w:val="auto"/>
        </w:rPr>
      </w:pPr>
    </w:p>
    <w:p>
      <w:pPr>
        <w:ind w:right="80"/>
        <w:spacing w:after="0" w:line="377" w:lineRule="auto"/>
        <w:rPr>
          <w:sz w:val="20"/>
          <w:szCs w:val="20"/>
          <w:color w:val="auto"/>
        </w:rPr>
      </w:pPr>
      <w:r>
        <w:rPr>
          <w:rFonts w:ascii="Arial" w:cs="Arial" w:eastAsia="Arial" w:hAnsi="Arial"/>
          <w:sz w:val="16"/>
          <w:szCs w:val="16"/>
          <w:color w:val="auto"/>
        </w:rPr>
        <w:t>“Our teams continue to execute in a retail environment that remained challenging through the third quarter,” said President and Chief Executive Officer Michael Happe. “Industry retail demand was pressured by broader macro factors, including elevated fuel costs, geopolitical uncertainty, and weak consumer confidence which continued to drive cautious dealer ordering and tighter inventory management across the channel. In response, we stayed disciplined, aligning production closely with retail while continuing to advance our key product, operational and cost initiatives.</w:t>
      </w:r>
    </w:p>
    <w:p>
      <w:pPr>
        <w:spacing w:after="0" w:line="207"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auto"/>
        </w:rPr>
        <w:t>“We're seeing a mixed demand environment across the portfolio. In Motorhome RV, sales, profitability and market presence continue to improve, supported by sustained performance at Grand Design Motorized and solid execution at Newmar. New product introductions, expanding brand presence and improved profitability continue to strengthen our standing in the segment. In Towable RV, category demand remained muted during the quarter, particularly at higher price points where competitive and promotional activity remained elevated. At the same time, our newer, more accessible offerings such as Thrive and Access contributed to improved retail dollar share and stronger year-over-year financial performance within our Winnebago-branded portfolio. These results reflect both dealer commitment to our strategy and the positive reception to our refreshed product lineup.</w:t>
      </w:r>
    </w:p>
    <w:p>
      <w:pPr>
        <w:spacing w:after="0" w:line="210" w:lineRule="exact"/>
        <w:rPr>
          <w:sz w:val="20"/>
          <w:szCs w:val="20"/>
          <w:color w:val="auto"/>
        </w:rPr>
      </w:pPr>
    </w:p>
    <w:p>
      <w:pPr>
        <w:jc w:val="both"/>
        <w:ind w:right="420"/>
        <w:spacing w:after="0" w:line="389" w:lineRule="auto"/>
        <w:rPr>
          <w:sz w:val="20"/>
          <w:szCs w:val="20"/>
          <w:color w:val="auto"/>
        </w:rPr>
      </w:pPr>
      <w:r>
        <w:rPr>
          <w:rFonts w:ascii="Arial" w:cs="Arial" w:eastAsia="Arial" w:hAnsi="Arial"/>
          <w:sz w:val="16"/>
          <w:szCs w:val="16"/>
          <w:color w:val="auto"/>
        </w:rPr>
        <w:t>In Marine, Barletta continues to perform well, maintaining consistent market share gains, reaching 9.3% on a trailing twelve-month basis through April, despite softer volumes in the quarter. This performance reflects continued consumer interest in its premium pontoons and an expanding product lineup, including the recent Sanza introduction.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jc w:val="both"/>
        <w:ind w:right="260"/>
        <w:spacing w:after="0" w:line="389" w:lineRule="auto"/>
        <w:rPr>
          <w:sz w:val="20"/>
          <w:szCs w:val="20"/>
          <w:color w:val="auto"/>
        </w:rPr>
      </w:pPr>
      <w:r>
        <w:rPr>
          <w:rFonts w:ascii="Arial" w:cs="Arial" w:eastAsia="Arial" w:hAnsi="Arial"/>
          <w:sz w:val="16"/>
          <w:szCs w:val="16"/>
          <w:color w:val="auto"/>
        </w:rPr>
        <w:t>“We delivered solid SG&amp;A improvement year-over-year, while continuing to invest in Grand Design Motorized, and advancing footprint rationalization and capacity alignment actions within our RV businesses. While industry retail pressure in the quarter slowed the pace of improvement in field inventory turns, our focus remains on driving sustainable progress, which will require continued discipline around shipments and production.</w:t>
      </w:r>
    </w:p>
    <w:p>
      <w:pPr>
        <w:spacing w:after="0" w:line="199" w:lineRule="exact"/>
        <w:rPr>
          <w:sz w:val="20"/>
          <w:szCs w:val="20"/>
          <w:color w:val="auto"/>
        </w:rPr>
      </w:pPr>
    </w:p>
    <w:p>
      <w:pPr>
        <w:ind w:right="420"/>
        <w:spacing w:after="0" w:line="377" w:lineRule="auto"/>
        <w:rPr>
          <w:sz w:val="20"/>
          <w:szCs w:val="20"/>
          <w:color w:val="auto"/>
        </w:rPr>
      </w:pPr>
      <w:r>
        <w:rPr>
          <w:rFonts w:ascii="Arial" w:cs="Arial" w:eastAsia="Arial" w:hAnsi="Arial"/>
          <w:sz w:val="16"/>
          <w:szCs w:val="16"/>
          <w:color w:val="auto"/>
        </w:rPr>
        <w:t>"One of the most encouraging aspects of our performance this quarter was the stability of our gross margins despite a challenging retail environment, reflecting the strength of our product mix, pricing discipline and operational execution. We have remained focused on profitable market share, while our higher average selling prices continue to support a more resilient retail dollar share position. We are executing against the levers we control including product, brand, cost structure, and inventory discipline, positioning the business to deliver improved performance as conditions evolve.”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Fiscal 2026 Results</w:t>
      </w:r>
    </w:p>
    <w:p>
      <w:pPr>
        <w:spacing w:after="0" w:line="235" w:lineRule="exact"/>
        <w:rPr>
          <w:sz w:val="20"/>
          <w:szCs w:val="20"/>
          <w:color w:val="auto"/>
        </w:rPr>
      </w:pPr>
    </w:p>
    <w:p>
      <w:pPr>
        <w:ind w:right="20"/>
        <w:spacing w:after="0" w:line="389" w:lineRule="auto"/>
        <w:rPr>
          <w:sz w:val="20"/>
          <w:szCs w:val="20"/>
          <w:color w:val="auto"/>
        </w:rPr>
      </w:pPr>
      <w:r>
        <w:rPr>
          <w:rFonts w:ascii="Arial" w:cs="Arial" w:eastAsia="Arial" w:hAnsi="Arial"/>
          <w:sz w:val="16"/>
          <w:szCs w:val="16"/>
          <w:color w:val="auto"/>
        </w:rPr>
        <w:t>Net revenues were $698.7 million, a decrease of 9.9% compared to $775.1 million in the third quarter of Fiscal 2025, driven primarily by lower unit volume, partially offset by selective price adjustments and product mix. Unit volume trends reflected growth in the Motorhome RV segment, partially offset by declines in the Towable RV and Marine segments, as dealer ordering remained measured and production levels were closely aligned to retail demand.</w:t>
      </w:r>
    </w:p>
    <w:p>
      <w:pPr>
        <w:spacing w:after="0" w:line="104" w:lineRule="exact"/>
        <w:rPr>
          <w:sz w:val="20"/>
          <w:szCs w:val="20"/>
          <w:color w:val="auto"/>
        </w:rPr>
      </w:pPr>
    </w:p>
    <w:p>
      <w:pPr>
        <w:ind w:right="220"/>
        <w:spacing w:after="0" w:line="392" w:lineRule="auto"/>
        <w:rPr>
          <w:sz w:val="20"/>
          <w:szCs w:val="20"/>
          <w:color w:val="auto"/>
        </w:rPr>
      </w:pPr>
      <w:r>
        <w:rPr>
          <w:rFonts w:ascii="Arial" w:cs="Arial" w:eastAsia="Arial" w:hAnsi="Arial"/>
          <w:sz w:val="16"/>
          <w:szCs w:val="16"/>
          <w:color w:val="auto"/>
        </w:rPr>
        <w:t>Gross profit was $94.9 million, a decrease of 10.5% compared to $106.0 million in the third quarter of Fiscal 2025. Gross profit margin was consistent with prior year as higher input costs and deleverage were largely offset by selective price adjustments.</w:t>
      </w:r>
    </w:p>
    <w:p>
      <w:pPr>
        <w:spacing w:after="0" w:line="101" w:lineRule="exact"/>
        <w:rPr>
          <w:sz w:val="20"/>
          <w:szCs w:val="20"/>
          <w:color w:val="auto"/>
        </w:rPr>
      </w:pPr>
    </w:p>
    <w:p>
      <w:pPr>
        <w:ind w:right="160"/>
        <w:spacing w:after="0" w:line="409" w:lineRule="auto"/>
        <w:rPr>
          <w:sz w:val="20"/>
          <w:szCs w:val="20"/>
          <w:color w:val="auto"/>
        </w:rPr>
      </w:pPr>
      <w:r>
        <w:rPr>
          <w:rFonts w:ascii="Arial" w:cs="Arial" w:eastAsia="Arial" w:hAnsi="Arial"/>
          <w:sz w:val="16"/>
          <w:szCs w:val="16"/>
          <w:color w:val="auto"/>
        </w:rPr>
        <w:t>Selling, general and administrative expenses were $66.5 million, a decrease of 5.4% compared to $70.3 million in the third quarter of Fiscal 2025, primarily due to cost reduction initiatives.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$23.0 million, a decrease of 23.9% compared to $30.2 million in the third quarter of Fiscal 2025.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income was $14.5 million, compared to $17.6 million in the third quarter of Fiscal 2025. Reported earnings per diluted share was $0.51, compared to</w:t>
      </w:r>
    </w:p>
    <w:p>
      <w:pPr>
        <w:spacing w:after="0" w:line="100" w:lineRule="exact"/>
        <w:rPr>
          <w:sz w:val="20"/>
          <w:szCs w:val="20"/>
          <w:color w:val="auto"/>
        </w:rPr>
      </w:pPr>
    </w:p>
    <w:p>
      <w:pPr>
        <w:ind w:right="20"/>
        <w:spacing w:after="0" w:line="409" w:lineRule="auto"/>
        <w:rPr>
          <w:sz w:val="20"/>
          <w:szCs w:val="20"/>
          <w:color w:val="auto"/>
        </w:rPr>
      </w:pPr>
      <w:r>
        <w:rPr>
          <w:rFonts w:ascii="Arial" w:cs="Arial" w:eastAsia="Arial" w:hAnsi="Arial"/>
          <w:sz w:val="16"/>
          <w:szCs w:val="16"/>
          <w:color w:val="auto"/>
        </w:rPr>
        <w:t>$0.62 in the third quarter of Fiscal 2025. Adjusted earnings per diluted share was $0.66, a decrease of 18.5% compared to $0.81 in the third quarter of Fiscal 2025.</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$37.8 million, a decrease of 18.7%, compared to $46.5 million in the third quarter of Fiscal 2025.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Third Quarter Fiscal 2026 Segments Summary</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45"/>
        </w:trPr>
        <w:tc>
          <w:tcPr>
            <w:tcW w:w="460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09"/>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30, 2026</w:t>
            </w:r>
          </w:p>
        </w:tc>
        <w:tc>
          <w:tcPr>
            <w:tcW w:w="220" w:type="dxa"/>
            <w:vAlign w:val="bottom"/>
          </w:tcPr>
          <w:p>
            <w:pPr>
              <w:spacing w:after="0"/>
              <w:rPr>
                <w:sz w:val="18"/>
                <w:szCs w:val="18"/>
                <w:color w:val="auto"/>
              </w:rPr>
            </w:pPr>
          </w:p>
        </w:tc>
        <w:tc>
          <w:tcPr>
            <w:tcW w:w="198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31, 2025</w:t>
            </w:r>
          </w:p>
        </w:tc>
        <w:tc>
          <w:tcPr>
            <w:tcW w:w="202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10"/>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 bps</w:t>
            </w:r>
          </w:p>
        </w:tc>
      </w:tr>
    </w:tbl>
    <w:p>
      <w:pPr>
        <w:spacing w:after="0" w:line="34" w:lineRule="exact"/>
        <w:rPr>
          <w:sz w:val="20"/>
          <w:szCs w:val="20"/>
          <w:color w:val="auto"/>
        </w:rPr>
      </w:pPr>
    </w:p>
    <w:p>
      <w:pPr>
        <w:ind w:left="260" w:hanging="252"/>
        <w:spacing w:after="0"/>
        <w:tabs>
          <w:tab w:leader="none" w:pos="26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50" w:lineRule="exact"/>
        <w:rPr>
          <w:rFonts w:ascii="Arial" w:cs="Arial" w:eastAsia="Arial" w:hAnsi="Arial"/>
          <w:sz w:val="21"/>
          <w:szCs w:val="21"/>
          <w:color w:val="auto"/>
          <w:vertAlign w:val="superscript"/>
        </w:rPr>
      </w:pPr>
    </w:p>
    <w:p>
      <w:pPr>
        <w:ind w:left="660" w:right="220" w:hanging="328"/>
        <w:spacing w:after="0" w:line="36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revenues decreased primarily due to lower unit volume and a shift in product mix toward lower price-point models, partially offset by selective price adjustments.</w:t>
      </w:r>
    </w:p>
    <w:p>
      <w:pPr>
        <w:spacing w:after="0" w:line="1" w:lineRule="exact"/>
        <w:rPr>
          <w:rFonts w:ascii="Arial" w:cs="Arial" w:eastAsia="Arial" w:hAnsi="Arial"/>
          <w:sz w:val="16"/>
          <w:szCs w:val="16"/>
          <w:color w:val="auto"/>
        </w:rPr>
      </w:pPr>
    </w:p>
    <w:p>
      <w:pPr>
        <w:ind w:left="660" w:right="440" w:hanging="328"/>
        <w:spacing w:after="0" w:line="40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Operating income margin decreased primarily due to higher input costs, volume deleverage, and product mix, partially offset by selective price adjustments and cost containment initiatives.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62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20" w:type="dxa"/>
            <w:vAlign w:val="bottom"/>
            <w:tcBorders>
              <w:bottom w:val="single" w:sz="8" w:color="auto"/>
            </w:tcBorders>
          </w:tcPr>
          <w:p>
            <w:pPr>
              <w:spacing w:after="0"/>
              <w:rPr>
                <w:sz w:val="24"/>
                <w:szCs w:val="24"/>
                <w:color w:val="auto"/>
              </w:rPr>
            </w:pPr>
          </w:p>
        </w:tc>
      </w:tr>
      <w:tr>
        <w:trPr>
          <w:trHeight w:val="20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30, 2026</w:t>
            </w:r>
          </w:p>
        </w:tc>
        <w:tc>
          <w:tcPr>
            <w:tcW w:w="200" w:type="dxa"/>
            <w:vAlign w:val="bottom"/>
          </w:tcPr>
          <w:p>
            <w:pPr>
              <w:spacing w:after="0"/>
              <w:rPr>
                <w:sz w:val="18"/>
                <w:szCs w:val="18"/>
                <w:color w:val="auto"/>
              </w:rPr>
            </w:pPr>
          </w:p>
        </w:tc>
        <w:tc>
          <w:tcPr>
            <w:tcW w:w="20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31, 2025</w:t>
            </w:r>
          </w:p>
        </w:tc>
        <w:tc>
          <w:tcPr>
            <w:tcW w:w="2220" w:type="dxa"/>
            <w:vAlign w:val="bottom"/>
          </w:tcPr>
          <w:p>
            <w:pPr>
              <w:jc w:val="right"/>
              <w:ind w:right="67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320.7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291.2</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15"/>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ind w:left="138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 bps</w:t>
            </w:r>
          </w:p>
        </w:tc>
      </w:tr>
    </w:tbl>
    <w:p>
      <w:pPr>
        <w:spacing w:after="0" w:line="85" w:lineRule="exact"/>
        <w:rPr>
          <w:sz w:val="20"/>
          <w:szCs w:val="20"/>
          <w:color w:val="auto"/>
        </w:rPr>
      </w:pPr>
    </w:p>
    <w:p>
      <w:pPr>
        <w:ind w:right="2920" w:firstLine="8"/>
        <w:spacing w:after="0" w:line="280" w:lineRule="auto"/>
        <w:tabs>
          <w:tab w:leader="none" w:pos="246"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 xml:space="preserve">Amounts are calculated based on unrounded numbers and therefore may not recalculate using the rounded numbers provided.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187"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Net revenues increased primarily due to higher unit volume and selective price adjustments.</w:t>
      </w:r>
    </w:p>
    <w:p>
      <w:pPr>
        <w:spacing w:after="0" w:line="99" w:lineRule="exact"/>
        <w:rPr>
          <w:rFonts w:ascii="Arial" w:cs="Arial" w:eastAsia="Arial" w:hAnsi="Arial"/>
          <w:sz w:val="16"/>
          <w:szCs w:val="16"/>
          <w:color w:val="auto"/>
        </w:rPr>
      </w:pPr>
    </w:p>
    <w:p>
      <w:pPr>
        <w:ind w:left="660" w:right="180" w:hanging="328"/>
        <w:spacing w:after="0" w:line="36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income margin increased primarily due to higher unit volume driven by new products and selective price adjustments, partially offset by higher input costs.</w:t>
      </w:r>
    </w:p>
    <w:tbl>
      <w:tblPr>
        <w:tblLayout w:type="fixed"/>
        <w:tblInd w:w="0" w:type="dxa"/>
        <w:tblCellMar>
          <w:top w:w="0" w:type="dxa"/>
          <w:left w:w="0" w:type="dxa"/>
          <w:bottom w:w="0" w:type="dxa"/>
          <w:right w:w="0" w:type="dxa"/>
        </w:tblCellMar>
      </w:tblPr>
      <w:tr>
        <w:trPr>
          <w:trHeight w:val="177"/>
        </w:trPr>
        <w:tc>
          <w:tcPr>
            <w:tcW w:w="4600" w:type="dxa"/>
            <w:vAlign w:val="bottom"/>
            <w:gridSpan w:val="2"/>
          </w:tcPr>
          <w:p>
            <w:pPr>
              <w:spacing w:after="0" w:line="178" w:lineRule="exact"/>
              <w:rPr>
                <w:sz w:val="20"/>
                <w:szCs w:val="20"/>
                <w:color w:val="auto"/>
              </w:rPr>
            </w:pPr>
            <w:r>
              <w:rPr>
                <w:rFonts w:ascii="Arial" w:cs="Arial" w:eastAsia="Arial" w:hAnsi="Arial"/>
                <w:sz w:val="16"/>
                <w:szCs w:val="16"/>
                <w:color w:val="auto"/>
              </w:rPr>
              <w:t>Marine</w:t>
            </w: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90"/>
        </w:trPr>
        <w:tc>
          <w:tcPr>
            <w:tcW w:w="50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30, 2026</w:t>
            </w:r>
          </w:p>
        </w:tc>
        <w:tc>
          <w:tcPr>
            <w:tcW w:w="220" w:type="dxa"/>
            <w:vAlign w:val="bottom"/>
          </w:tcPr>
          <w:p>
            <w:pPr>
              <w:spacing w:after="0"/>
              <w:rPr>
                <w:sz w:val="18"/>
                <w:szCs w:val="18"/>
                <w:color w:val="auto"/>
              </w:rPr>
            </w:pPr>
          </w:p>
        </w:tc>
        <w:tc>
          <w:tcPr>
            <w:tcW w:w="198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31, 2025</w:t>
            </w:r>
          </w:p>
        </w:tc>
        <w:tc>
          <w:tcPr>
            <w:tcW w:w="202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09"/>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100.7</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bps</w:t>
            </w:r>
          </w:p>
        </w:tc>
      </w:tr>
    </w:tbl>
    <w:p>
      <w:pPr>
        <w:spacing w:after="0" w:line="7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Net revenues decreased primarily due to lower unit volume and product mix, partially offset by selective price adjustments.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Operating income decreased primarily due to higher input costs and volume deleverage, partially offset by selective price adjustments.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spacing w:after="0" w:line="383" w:lineRule="auto"/>
        <w:rPr>
          <w:sz w:val="20"/>
          <w:szCs w:val="20"/>
          <w:color w:val="auto"/>
        </w:rPr>
      </w:pPr>
      <w:r>
        <w:rPr>
          <w:rFonts w:ascii="Arial" w:cs="Arial" w:eastAsia="Arial" w:hAnsi="Arial"/>
          <w:sz w:val="16"/>
          <w:szCs w:val="16"/>
          <w:color w:val="auto"/>
        </w:rPr>
        <w:t>As of May 30, 2026, cash and cash equivalents totaled $57.1 million. The Company had total outstanding debt of $442.9 million ($450.0 million of debt, net of debt issuance costs of $7.1 million) and working capital of $411.6 million. Cash flow provided by operating activities during the nine months ended May 30, 2026 was $26.2 million compared to cash flow used in operating activities of $52.5 million during the same period last year. Operating cash flow improved by $78.7 million year over year, shifting from a use of cash in the prior-year period to a source of cash in the current year.</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Cash Dividend</w:t>
      </w:r>
    </w:p>
    <w:p>
      <w:pPr>
        <w:spacing w:after="0" w:line="100" w:lineRule="exact"/>
        <w:rPr>
          <w:sz w:val="20"/>
          <w:szCs w:val="20"/>
          <w:color w:val="auto"/>
        </w:rPr>
      </w:pPr>
    </w:p>
    <w:p>
      <w:pPr>
        <w:ind w:right="740"/>
        <w:spacing w:after="0" w:line="392" w:lineRule="auto"/>
        <w:rPr>
          <w:sz w:val="20"/>
          <w:szCs w:val="20"/>
          <w:color w:val="auto"/>
        </w:rPr>
      </w:pPr>
      <w:r>
        <w:rPr>
          <w:rFonts w:ascii="Arial" w:cs="Arial" w:eastAsia="Arial" w:hAnsi="Arial"/>
          <w:sz w:val="16"/>
          <w:szCs w:val="16"/>
          <w:color w:val="auto"/>
        </w:rPr>
        <w:t>On May 15, 2026, the Company’s Board of Directors approved a quarterly cash dividend of $0.35 per share payable on June 24, 2026, to common stockholders of record at the close of business on June 10, 2026.</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100" w:lineRule="exact"/>
        <w:rPr>
          <w:sz w:val="20"/>
          <w:szCs w:val="20"/>
          <w:color w:val="auto"/>
        </w:rPr>
      </w:pPr>
    </w:p>
    <w:p>
      <w:pPr>
        <w:ind w:right="160"/>
        <w:spacing w:after="0" w:line="389" w:lineRule="auto"/>
        <w:rPr>
          <w:sz w:val="20"/>
          <w:szCs w:val="20"/>
          <w:color w:val="auto"/>
        </w:rPr>
      </w:pPr>
      <w:r>
        <w:rPr>
          <w:rFonts w:ascii="Arial" w:cs="Arial" w:eastAsia="Arial" w:hAnsi="Arial"/>
          <w:sz w:val="16"/>
          <w:szCs w:val="16"/>
          <w:color w:val="auto"/>
        </w:rPr>
        <w:t>For calendar year 2026, Winnebago Industries now expects North American RV wholesale shipments in the range of 290,000 to 310,000 units. Based on this outlook, the current business environment, and results through the first nine months of the fiscal year, Winnebago Industries is updating its Fiscal 2026 revenue and EPS guidance as follows:</w:t>
      </w:r>
    </w:p>
    <w:p>
      <w:pPr>
        <w:spacing w:after="0" w:line="17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color w:val="auto"/>
        </w:rPr>
        <w:t>Consolidated net revenues in the range of $2.65 billion to $2.75 billion;</w:t>
      </w:r>
    </w:p>
    <w:p>
      <w:pPr>
        <w:spacing w:after="0" w:line="41" w:lineRule="exact"/>
        <w:rPr>
          <w:rFonts w:ascii="Arial" w:cs="Arial" w:eastAsia="Arial" w:hAnsi="Arial"/>
          <w:sz w:val="22"/>
          <w:szCs w:val="22"/>
          <w:color w:val="auto"/>
        </w:rPr>
      </w:pPr>
    </w:p>
    <w:p>
      <w:pPr>
        <w:ind w:left="660" w:right="100" w:hanging="328"/>
        <w:spacing w:after="0" w:line="229"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16"/>
          <w:szCs w:val="16"/>
          <w:color w:val="auto"/>
        </w:rPr>
        <w:t>Reported earnings per diluted share in the range of $1.05 to $1.40 compared to the Company's prior expectations for reported earnings per diluted share in the range of $1.50 to $2.20; and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71" w:right="339" w:bottom="1440" w:gutter="0" w:footer="0" w:header="0"/>
        </w:sectPr>
      </w:pPr>
    </w:p>
    <w:bookmarkStart w:id="6" w:name="page7"/>
    <w:bookmarkEnd w:id="6"/>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16"/>
          <w:szCs w:val="16"/>
          <w:color w:val="auto"/>
        </w:rPr>
        <w:t>Adjusted earnings per diluted share guidance in the range of $1.65 to $2.00</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compared to a prior range of $2.10 to $2.80.</w:t>
      </w:r>
    </w:p>
    <w:p>
      <w:pPr>
        <w:spacing w:after="0" w:line="233" w:lineRule="exact"/>
        <w:rPr>
          <w:sz w:val="20"/>
          <w:szCs w:val="20"/>
          <w:color w:val="auto"/>
        </w:rPr>
      </w:pPr>
    </w:p>
    <w:p>
      <w:pPr>
        <w:ind w:right="180"/>
        <w:spacing w:after="0" w:line="409" w:lineRule="auto"/>
        <w:rPr>
          <w:sz w:val="20"/>
          <w:szCs w:val="20"/>
          <w:color w:val="auto"/>
        </w:rPr>
      </w:pPr>
      <w:r>
        <w:rPr>
          <w:rFonts w:ascii="Arial" w:cs="Arial" w:eastAsia="Arial" w:hAnsi="Arial"/>
          <w:sz w:val="16"/>
          <w:szCs w:val="16"/>
          <w:color w:val="auto"/>
        </w:rPr>
        <w:t>The Company’s outlook takes into account prevailing trends in the RV sector, including the impacts from current policy and trade environment, competitive dynamics, shifts in consumer preferences, and key macroeconomic factors that may influence overall demand.</w:t>
      </w:r>
    </w:p>
    <w:p>
      <w:pPr>
        <w:spacing w:after="0" w:line="183" w:lineRule="exact"/>
        <w:rPr>
          <w:sz w:val="20"/>
          <w:szCs w:val="20"/>
          <w:color w:val="auto"/>
        </w:rPr>
      </w:pPr>
    </w:p>
    <w:p>
      <w:pPr>
        <w:ind w:right="20"/>
        <w:spacing w:after="0" w:line="383" w:lineRule="auto"/>
        <w:rPr>
          <w:sz w:val="20"/>
          <w:szCs w:val="20"/>
          <w:color w:val="auto"/>
        </w:rPr>
      </w:pPr>
      <w:r>
        <w:rPr>
          <w:rFonts w:ascii="Arial" w:cs="Arial" w:eastAsia="Arial" w:hAnsi="Arial"/>
          <w:sz w:val="16"/>
          <w:szCs w:val="16"/>
          <w:color w:val="auto"/>
        </w:rPr>
        <w:t>“Our outlook reflects a measured view of the environment,” Happe said. “We expect demand conditions to remain challenged in the near term, with continued variability across segments. The actions we are taking across our portfolio, cost structure and product roadmap position us to manage through the cycle and improve the earnings profile of the business over time, including further operational and capacity initiatives expected to begin benefiting performance as we move through fiscal 2027.”</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FY 2026 Conference Call</w:t>
      </w:r>
    </w:p>
    <w:p>
      <w:pPr>
        <w:spacing w:after="0" w:line="100" w:lineRule="exact"/>
        <w:rPr>
          <w:sz w:val="20"/>
          <w:szCs w:val="20"/>
          <w:color w:val="auto"/>
        </w:rPr>
      </w:pPr>
    </w:p>
    <w:p>
      <w:pPr>
        <w:ind w:right="220"/>
        <w:spacing w:after="0" w:line="383" w:lineRule="auto"/>
        <w:rPr>
          <w:sz w:val="20"/>
          <w:szCs w:val="20"/>
          <w:color w:val="auto"/>
        </w:rPr>
      </w:pPr>
      <w:r>
        <w:rPr>
          <w:rFonts w:ascii="Arial" w:cs="Arial" w:eastAsia="Arial" w:hAnsi="Arial"/>
          <w:sz w:val="16"/>
          <w:szCs w:val="16"/>
          <w:color w:val="auto"/>
        </w:rPr>
        <w:t>Winnebago Industries, Inc. will discuss third quarter of Fiscal 2026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spacing w:after="0" w:line="37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the business outlook and financial guidance for Fiscal 2026. Investors are cautioned that forward-looking statements are inherently uncertain and involve potential risks and uncertainties.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matters, and our ability to meet our commitments; impairment of goodwill and trade names; risks related to our 2030 Convertible Notes and Senior Secured Notes, including our ability to satisfy our obligations under these notes; and changes in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949" w:right="359" w:bottom="1440" w:gutter="0" w:footer="0" w:header="0"/>
        </w:sectPr>
      </w:pPr>
    </w:p>
    <w:bookmarkStart w:id="7" w:name="page8"/>
    <w:bookmarkEnd w:id="7"/>
    <w:p>
      <w:pPr>
        <w:spacing w:after="0" w:line="374" w:lineRule="auto"/>
        <w:rPr>
          <w:sz w:val="20"/>
          <w:szCs w:val="20"/>
          <w:color w:val="auto"/>
        </w:rPr>
      </w:pPr>
      <w:r>
        <w:rPr>
          <w:rFonts w:ascii="Arial" w:cs="Arial" w:eastAsia="Arial" w:hAnsi="Arial"/>
          <w:sz w:val="16"/>
          <w:szCs w:val="16"/>
          <w:color w:val="auto"/>
        </w:rPr>
        <w:t>recommendations or a withdrawal of coverage by third party securities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We caution that the foregoing list of important factors is not complete.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Investors: Joan Ondala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935" w:right="399" w:bottom="1440" w:gutter="0" w:footer="0" w:header="0"/>
        </w:sectPr>
      </w:pPr>
    </w:p>
    <w:bookmarkStart w:id="8" w:name="page9"/>
    <w:bookmarkEnd w:id="8"/>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Footnotes to News Release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1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Fiscal 2026 adjusted EPS guidance primarily excludes the pretax impact of intangible amortization of approximately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139"/>
          </w:cols>
          <w:pgMar w:left="320" w:top="89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rPr>
              <w:t>Winnebago Industries, Inc.</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3620" w:type="dxa"/>
            <w:vAlign w:val="bottom"/>
          </w:tcPr>
          <w:p>
            <w:pPr>
              <w:spacing w:after="0"/>
              <w:rPr>
                <w:sz w:val="17"/>
                <w:szCs w:val="17"/>
                <w:color w:val="auto"/>
              </w:rPr>
            </w:pPr>
          </w:p>
        </w:tc>
        <w:tc>
          <w:tcPr>
            <w:tcW w:w="43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Condensed Consolidated Statements of Income</w:t>
            </w: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3620" w:type="dxa"/>
            <w:vAlign w:val="bottom"/>
          </w:tcPr>
          <w:p>
            <w:pPr>
              <w:spacing w:after="0"/>
              <w:rPr>
                <w:sz w:val="19"/>
                <w:szCs w:val="19"/>
                <w:color w:val="auto"/>
              </w:rPr>
            </w:pPr>
          </w:p>
        </w:tc>
        <w:tc>
          <w:tcPr>
            <w:tcW w:w="432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rPr>
              <w:t>(Unaudited and subject to reclassification)</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3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0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30, 2026</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May 31, 2025</w:t>
            </w:r>
          </w:p>
        </w:tc>
        <w:tc>
          <w:tcPr>
            <w:tcW w:w="88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Basic</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432"/>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30, 2026</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May 31, 2025</w:t>
            </w:r>
          </w:p>
        </w:tc>
        <w:tc>
          <w:tcPr>
            <w:tcW w:w="88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Non-operating income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Basic</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20" w:top="895"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7340" w:type="dxa"/>
            <w:vAlign w:val="bottom"/>
          </w:tcPr>
          <w:p>
            <w:pPr>
              <w:jc w:val="center"/>
              <w:ind w:left="3839"/>
              <w:spacing w:after="0"/>
              <w:rPr>
                <w:sz w:val="20"/>
                <w:szCs w:val="20"/>
                <w:color w:val="auto"/>
              </w:rPr>
            </w:pPr>
            <w:r>
              <w:rPr>
                <w:rFonts w:ascii="Arial" w:cs="Arial" w:eastAsia="Arial" w:hAnsi="Arial"/>
                <w:sz w:val="16"/>
                <w:szCs w:val="16"/>
                <w:b w:val="1"/>
                <w:bCs w:val="1"/>
                <w:color w:val="auto"/>
              </w:rPr>
              <w:t>Winnebago Industries, Inc.</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3"/>
        </w:trPr>
        <w:tc>
          <w:tcPr>
            <w:tcW w:w="7340" w:type="dxa"/>
            <w:vAlign w:val="bottom"/>
          </w:tcPr>
          <w:p>
            <w:pPr>
              <w:jc w:val="center"/>
              <w:ind w:left="3819"/>
              <w:spacing w:after="0"/>
              <w:rPr>
                <w:sz w:val="20"/>
                <w:szCs w:val="20"/>
                <w:color w:val="auto"/>
              </w:rPr>
            </w:pPr>
            <w:r>
              <w:rPr>
                <w:rFonts w:ascii="Arial" w:cs="Arial" w:eastAsia="Arial" w:hAnsi="Arial"/>
                <w:sz w:val="16"/>
                <w:szCs w:val="16"/>
                <w:b w:val="1"/>
                <w:bCs w:val="1"/>
                <w:color w:val="auto"/>
              </w:rPr>
              <w:t>Condensed Consolidated Balance Sheets</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3"/>
        </w:trPr>
        <w:tc>
          <w:tcPr>
            <w:tcW w:w="7340" w:type="dxa"/>
            <w:vAlign w:val="bottom"/>
          </w:tcPr>
          <w:p>
            <w:pPr>
              <w:jc w:val="center"/>
              <w:ind w:left="3839"/>
              <w:spacing w:after="0"/>
              <w:rPr>
                <w:sz w:val="20"/>
                <w:szCs w:val="20"/>
                <w:color w:val="auto"/>
              </w:rPr>
            </w:pPr>
            <w:r>
              <w:rPr>
                <w:rFonts w:ascii="Arial" w:cs="Arial" w:eastAsia="Arial" w:hAnsi="Arial"/>
                <w:sz w:val="16"/>
                <w:szCs w:val="16"/>
                <w:b w:val="1"/>
                <w:bCs w:val="1"/>
                <w:color w:val="auto"/>
              </w:rPr>
              <w:t>(Unaudited and subject to reclassification)</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30, 2026</w:t>
            </w:r>
          </w:p>
        </w:tc>
        <w:tc>
          <w:tcPr>
            <w:tcW w:w="220" w:type="dxa"/>
            <w:vAlign w:val="bottom"/>
          </w:tcPr>
          <w:p>
            <w:pPr>
              <w:spacing w:after="0"/>
              <w:rPr>
                <w:sz w:val="19"/>
                <w:szCs w:val="19"/>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 2025</w:t>
            </w:r>
          </w:p>
        </w:tc>
      </w:tr>
      <w:tr>
        <w:trPr>
          <w:trHeight w:val="209"/>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192.0</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210"/>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792.2</w:t>
            </w:r>
          </w:p>
        </w:tc>
      </w:tr>
      <w:tr>
        <w:trPr>
          <w:trHeight w:val="209"/>
        </w:trPr>
        <w:tc>
          <w:tcPr>
            <w:tcW w:w="734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333.0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456.9</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10"/>
        </w:trPr>
        <w:tc>
          <w:tcPr>
            <w:tcW w:w="73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w:t>
            </w:r>
          </w:p>
        </w:tc>
      </w:tr>
      <w:tr>
        <w:trPr>
          <w:trHeight w:val="209"/>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w:t>
            </w:r>
          </w:p>
        </w:tc>
      </w:tr>
      <w:tr>
        <w:trPr>
          <w:trHeight w:val="210"/>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Deferred income tax liabilities, net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929.7</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1,224.7</w:t>
            </w:r>
          </w:p>
        </w:tc>
      </w:tr>
      <w:tr>
        <w:trPr>
          <w:trHeight w:val="235"/>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9"/>
        </w:trPr>
        <w:tc>
          <w:tcPr>
            <w:tcW w:w="7280" w:type="dxa"/>
            <w:vAlign w:val="bottom"/>
          </w:tcPr>
          <w:p>
            <w:pPr>
              <w:jc w:val="center"/>
              <w:ind w:left="3827"/>
              <w:spacing w:after="0"/>
              <w:rPr>
                <w:sz w:val="20"/>
                <w:szCs w:val="20"/>
                <w:color w:val="auto"/>
              </w:rPr>
            </w:pPr>
            <w:r>
              <w:rPr>
                <w:rFonts w:ascii="Arial" w:cs="Arial" w:eastAsia="Arial" w:hAnsi="Arial"/>
                <w:sz w:val="16"/>
                <w:szCs w:val="16"/>
                <w:b w:val="1"/>
                <w:bCs w:val="1"/>
                <w:color w:val="auto"/>
              </w:rPr>
              <w:t>Winnebago Industries, Inc.</w:t>
            </w: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3"/>
        </w:trPr>
        <w:tc>
          <w:tcPr>
            <w:tcW w:w="7660" w:type="dxa"/>
            <w:vAlign w:val="bottom"/>
            <w:gridSpan w:val="2"/>
          </w:tcPr>
          <w:p>
            <w:pPr>
              <w:jc w:val="center"/>
              <w:ind w:left="3447"/>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3"/>
        </w:trPr>
        <w:tc>
          <w:tcPr>
            <w:tcW w:w="7280" w:type="dxa"/>
            <w:vAlign w:val="bottom"/>
          </w:tcPr>
          <w:p>
            <w:pPr>
              <w:jc w:val="center"/>
              <w:ind w:left="3827"/>
              <w:spacing w:after="0"/>
              <w:rPr>
                <w:sz w:val="20"/>
                <w:szCs w:val="20"/>
                <w:color w:val="auto"/>
              </w:rPr>
            </w:pPr>
            <w:r>
              <w:rPr>
                <w:rFonts w:ascii="Arial" w:cs="Arial" w:eastAsia="Arial" w:hAnsi="Arial"/>
                <w:sz w:val="16"/>
                <w:szCs w:val="16"/>
                <w:b w:val="1"/>
                <w:bCs w:val="1"/>
                <w:color w:val="auto"/>
              </w:rPr>
              <w:t>(Unaudited and subject to reclassification)</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3"/>
        </w:trPr>
        <w:tc>
          <w:tcPr>
            <w:tcW w:w="7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28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30, 2026</w:t>
            </w:r>
          </w:p>
        </w:tc>
        <w:tc>
          <w:tcPr>
            <w:tcW w:w="280" w:type="dxa"/>
            <w:vAlign w:val="bottom"/>
          </w:tcPr>
          <w:p>
            <w:pPr>
              <w:spacing w:after="0"/>
              <w:rPr>
                <w:sz w:val="18"/>
                <w:szCs w:val="18"/>
                <w:color w:val="auto"/>
              </w:rPr>
            </w:pPr>
          </w:p>
        </w:tc>
        <w:tc>
          <w:tcPr>
            <w:tcW w:w="1620" w:type="dxa"/>
            <w:vAlign w:val="bottom"/>
          </w:tcPr>
          <w:p>
            <w:pPr>
              <w:jc w:val="right"/>
              <w:ind w:right="388"/>
              <w:spacing w:after="0"/>
              <w:rPr>
                <w:sz w:val="20"/>
                <w:szCs w:val="20"/>
                <w:color w:val="auto"/>
              </w:rPr>
            </w:pPr>
            <w:r>
              <w:rPr>
                <w:rFonts w:ascii="Arial" w:cs="Arial" w:eastAsia="Arial" w:hAnsi="Arial"/>
                <w:sz w:val="16"/>
                <w:szCs w:val="16"/>
                <w:b w:val="1"/>
                <w:bCs w:val="1"/>
                <w:color w:val="auto"/>
              </w:rPr>
              <w:t>May 31, 2025</w:t>
            </w:r>
          </w:p>
        </w:tc>
      </w:tr>
      <w:tr>
        <w:trPr>
          <w:trHeight w:val="196"/>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3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Last in, first-out ("LIFO") expense</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Deferred compensation expense</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 on note repurchase</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Asset impairment</w:t>
            </w:r>
          </w:p>
        </w:tc>
        <w:tc>
          <w:tcPr>
            <w:tcW w:w="3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Restructuring and related costs</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Other, net</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Inventories, net</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Prepaid expenses and other assets</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6"/>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99"/>
        </w:trPr>
        <w:tc>
          <w:tcPr>
            <w:tcW w:w="7280" w:type="dxa"/>
            <w:vAlign w:val="bottom"/>
          </w:tcPr>
          <w:p>
            <w:pPr>
              <w:ind w:left="240"/>
              <w:spacing w:after="0"/>
              <w:rPr>
                <w:sz w:val="20"/>
                <w:szCs w:val="20"/>
                <w:color w:val="auto"/>
              </w:rPr>
            </w:pPr>
            <w:r>
              <w:rPr>
                <w:rFonts w:ascii="Arial" w:cs="Arial" w:eastAsia="Arial" w:hAnsi="Arial"/>
                <w:sz w:val="14"/>
                <w:szCs w:val="14"/>
                <w:color w:val="auto"/>
              </w:rPr>
              <w:t>Income taxes and unrecognized tax benefits</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6"/>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w:t>
            </w:r>
          </w:p>
        </w:tc>
      </w:tr>
      <w:tr>
        <w:trPr>
          <w:trHeight w:val="184"/>
        </w:trPr>
        <w:tc>
          <w:tcPr>
            <w:tcW w:w="7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Proceeds from sale of property, plant, and equipment</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w:t>
            </w:r>
          </w:p>
        </w:tc>
      </w:tr>
      <w:tr>
        <w:trPr>
          <w:trHeight w:val="183"/>
        </w:trPr>
        <w:tc>
          <w:tcPr>
            <w:tcW w:w="7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on long-term debt</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99"/>
        </w:trPr>
        <w:tc>
          <w:tcPr>
            <w:tcW w:w="7280" w:type="dxa"/>
            <w:vAlign w:val="bottom"/>
          </w:tcPr>
          <w:p>
            <w:pPr>
              <w:ind w:left="120"/>
              <w:spacing w:after="0"/>
              <w:rPr>
                <w:sz w:val="20"/>
                <w:szCs w:val="20"/>
                <w:color w:val="auto"/>
              </w:rPr>
            </w:pPr>
            <w:r>
              <w:rPr>
                <w:rFonts w:ascii="Arial" w:cs="Arial" w:eastAsia="Arial" w:hAnsi="Arial"/>
                <w:sz w:val="14"/>
                <w:szCs w:val="14"/>
                <w:color w:val="auto"/>
              </w:rPr>
              <w:t>Repayments on long-term debt</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(175.2)</w:t>
            </w:r>
          </w:p>
        </w:tc>
      </w:tr>
      <w:tr>
        <w:trPr>
          <w:trHeight w:val="206"/>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cash dividends</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r>
      <w:tr>
        <w:trPr>
          <w:trHeight w:val="199"/>
        </w:trPr>
        <w:tc>
          <w:tcPr>
            <w:tcW w:w="7280" w:type="dxa"/>
            <w:vAlign w:val="bottom"/>
          </w:tcPr>
          <w:p>
            <w:pPr>
              <w:ind w:left="120"/>
              <w:spacing w:after="0"/>
              <w:rPr>
                <w:sz w:val="20"/>
                <w:szCs w:val="20"/>
                <w:color w:val="auto"/>
              </w:rPr>
            </w:pPr>
            <w:r>
              <w:rPr>
                <w:rFonts w:ascii="Arial" w:cs="Arial" w:eastAsia="Arial" w:hAnsi="Arial"/>
                <w:sz w:val="14"/>
                <w:szCs w:val="14"/>
                <w:color w:val="auto"/>
              </w:rPr>
              <w:t>Payments for repurchases of common stock</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206"/>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3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(131.8)</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(242.4)</w:t>
            </w:r>
          </w:p>
        </w:tc>
      </w:tr>
      <w:tr>
        <w:trPr>
          <w:trHeight w:val="183"/>
        </w:trPr>
        <w:tc>
          <w:tcPr>
            <w:tcW w:w="7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99"/>
        </w:trPr>
        <w:tc>
          <w:tcPr>
            <w:tcW w:w="728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(320.4)</w:t>
            </w:r>
          </w:p>
        </w:tc>
      </w:tr>
      <w:tr>
        <w:trPr>
          <w:trHeight w:val="206"/>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w:t>
            </w:r>
          </w:p>
        </w:tc>
      </w:tr>
      <w:tr>
        <w:trPr>
          <w:trHeight w:val="169"/>
        </w:trPr>
        <w:tc>
          <w:tcPr>
            <w:tcW w:w="72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0"/>
        </w:trPr>
        <w:tc>
          <w:tcPr>
            <w:tcW w:w="7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Supplemental Disclosures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 paid, net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Interest paid</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7"/>
        </w:trPr>
        <w:tc>
          <w:tcPr>
            <w:tcW w:w="7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expenditures in accounts payable</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9"/>
        </w:trPr>
        <w:tc>
          <w:tcPr>
            <w:tcW w:w="7280" w:type="dxa"/>
            <w:vAlign w:val="bottom"/>
          </w:tcPr>
          <w:p>
            <w:pPr>
              <w:ind w:left="120"/>
              <w:spacing w:after="0"/>
              <w:rPr>
                <w:sz w:val="20"/>
                <w:szCs w:val="20"/>
                <w:color w:val="auto"/>
              </w:rPr>
            </w:pPr>
            <w:r>
              <w:rPr>
                <w:rFonts w:ascii="Arial" w:cs="Arial" w:eastAsia="Arial" w:hAnsi="Arial"/>
                <w:sz w:val="14"/>
                <w:szCs w:val="14"/>
                <w:color w:val="auto"/>
              </w:rPr>
              <w:t>Dividends declared not yet paid</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06"/>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Increase in lease assets in exchange for lease liabilities:</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9"/>
        </w:trPr>
        <w:tc>
          <w:tcPr>
            <w:tcW w:w="7280" w:type="dxa"/>
            <w:vAlign w:val="bottom"/>
          </w:tcPr>
          <w:p>
            <w:pPr>
              <w:ind w:left="240"/>
              <w:spacing w:after="0"/>
              <w:rPr>
                <w:sz w:val="20"/>
                <w:szCs w:val="20"/>
                <w:color w:val="auto"/>
              </w:rPr>
            </w:pPr>
            <w:r>
              <w:rPr>
                <w:rFonts w:ascii="Arial" w:cs="Arial" w:eastAsia="Arial" w:hAnsi="Arial"/>
                <w:sz w:val="14"/>
                <w:szCs w:val="14"/>
                <w:color w:val="auto"/>
              </w:rPr>
              <w:t>Operating leases</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6"/>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3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821"/>
        </w:trPr>
        <w:tc>
          <w:tcPr>
            <w:tcW w:w="7280" w:type="dxa"/>
            <w:vAlign w:val="bottom"/>
          </w:tcPr>
          <w:p>
            <w:pPr>
              <w:jc w:val="center"/>
              <w:ind w:left="3807"/>
              <w:spacing w:after="0"/>
              <w:rPr>
                <w:sz w:val="20"/>
                <w:szCs w:val="20"/>
                <w:color w:val="auto"/>
              </w:rPr>
            </w:pPr>
            <w:r>
              <w:rPr>
                <w:rFonts w:ascii="Arial" w:cs="Arial" w:eastAsia="Arial" w:hAnsi="Arial"/>
                <w:sz w:val="16"/>
                <w:szCs w:val="16"/>
                <w:color w:val="auto"/>
                <w:w w:val="89"/>
              </w:rPr>
              <w:t>9</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180"/>
          </w:cols>
          <w:pgMar w:left="360" w:top="854" w:right="359" w:bottom="1440" w:gutter="0" w:footer="0" w:header="0"/>
        </w:sectPr>
      </w:pPr>
    </w:p>
    <w:bookmarkStart w:id="12" w:name="page13"/>
    <w:bookmarkEnd w:id="12"/>
    <w:p>
      <w:pPr>
        <w:jc w:val="center"/>
        <w:ind w:right="-151"/>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Supplemental Information by Reportable Segment - Towable RV</w:t>
      </w:r>
    </w:p>
    <w:p>
      <w:pPr>
        <w:spacing w:after="0" w:line="19"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1680" w:type="dxa"/>
            <w:vAlign w:val="bottom"/>
            <w:gridSpan w:val="3"/>
          </w:tcPr>
          <w:p>
            <w:pPr>
              <w:jc w:val="center"/>
              <w:ind w:right="179"/>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474"/>
        </w:trPr>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1"/>
                <w:szCs w:val="21"/>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21"/>
                <w:szCs w:val="21"/>
                <w:color w:val="auto"/>
              </w:rPr>
            </w:pPr>
          </w:p>
        </w:tc>
        <w:tc>
          <w:tcPr>
            <w:tcW w:w="1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30.8 %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(1,217)</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2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18"/>
                <w:szCs w:val="18"/>
                <w:color w:val="auto"/>
              </w:rPr>
            </w:pPr>
          </w:p>
        </w:tc>
        <w:tc>
          <w:tcPr>
            <w:tcW w:w="1680" w:type="dxa"/>
            <w:vAlign w:val="bottom"/>
            <w:gridSpan w:val="3"/>
          </w:tcPr>
          <w:p>
            <w:pPr>
              <w:jc w:val="center"/>
              <w:ind w:right="179"/>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379"/>
        </w:trPr>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1"/>
                <w:szCs w:val="21"/>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21"/>
                <w:szCs w:val="21"/>
                <w:color w:val="auto"/>
              </w:rPr>
            </w:pPr>
          </w:p>
        </w:tc>
        <w:tc>
          <w:tcPr>
            <w:tcW w:w="1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5,669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7,302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35"/>
        </w:trPr>
        <w:tc>
          <w:tcPr>
            <w:tcW w:w="2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30, 2026</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18,721</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32" w:hanging="232"/>
        <w:spacing w:after="0"/>
        <w:tabs>
          <w:tab w:leader="none" w:pos="232"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3" w:lineRule="exact"/>
        <w:rPr>
          <w:rFonts w:ascii="Arial" w:cs="Arial" w:eastAsia="Arial" w:hAnsi="Arial"/>
          <w:sz w:val="21"/>
          <w:szCs w:val="21"/>
          <w:color w:val="auto"/>
          <w:vertAlign w:val="superscript"/>
        </w:rPr>
      </w:pPr>
    </w:p>
    <w:p>
      <w:pPr>
        <w:ind w:left="232" w:hanging="232"/>
        <w:spacing w:after="0" w:line="183" w:lineRule="auto"/>
        <w:tabs>
          <w:tab w:leader="none" w:pos="232"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54" w:lineRule="exact"/>
        <w:rPr>
          <w:rFonts w:ascii="Arial" w:cs="Arial" w:eastAsia="Arial" w:hAnsi="Arial"/>
          <w:sz w:val="20"/>
          <w:szCs w:val="20"/>
          <w:color w:val="auto"/>
          <w:vertAlign w:val="superscript"/>
        </w:rPr>
      </w:pPr>
    </w:p>
    <w:p>
      <w:pPr>
        <w:ind w:left="232" w:hanging="232"/>
        <w:spacing w:after="0" w:line="183" w:lineRule="auto"/>
        <w:tabs>
          <w:tab w:leader="none" w:pos="232"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72"/>
          </w:cols>
          <w:pgMar w:left="328" w:top="854" w:right="499" w:bottom="1440" w:gutter="0" w:footer="0" w:header="0"/>
        </w:sectPr>
      </w:pPr>
    </w:p>
    <w:bookmarkStart w:id="13" w:name="page14"/>
    <w:bookmarkEnd w:id="13"/>
    <w:p>
      <w:pPr>
        <w:jc w:val="center"/>
        <w:ind w:right="-171"/>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Information by Reportable Segment - Motorhome RV</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52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474"/>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21"/>
                <w:szCs w:val="21"/>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27.3 %</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10"/>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52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933.9</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7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21"/>
                <w:szCs w:val="21"/>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4,355</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3,997</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52" w:hanging="252"/>
        <w:spacing w:after="0"/>
        <w:tabs>
          <w:tab w:leader="none" w:pos="252"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3" w:lineRule="exact"/>
        <w:rPr>
          <w:rFonts w:ascii="Arial" w:cs="Arial" w:eastAsia="Arial" w:hAnsi="Arial"/>
          <w:sz w:val="21"/>
          <w:szCs w:val="21"/>
          <w:color w:val="auto"/>
          <w:vertAlign w:val="superscript"/>
        </w:rPr>
      </w:pPr>
    </w:p>
    <w:p>
      <w:pPr>
        <w:ind w:left="232" w:hanging="232"/>
        <w:spacing w:after="0" w:line="183" w:lineRule="auto"/>
        <w:tabs>
          <w:tab w:leader="none" w:pos="232"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54" w:lineRule="exact"/>
        <w:rPr>
          <w:rFonts w:ascii="Arial" w:cs="Arial" w:eastAsia="Arial" w:hAnsi="Arial"/>
          <w:sz w:val="20"/>
          <w:szCs w:val="20"/>
          <w:color w:val="auto"/>
          <w:vertAlign w:val="superscript"/>
        </w:rPr>
      </w:pPr>
    </w:p>
    <w:p>
      <w:pPr>
        <w:ind w:left="-8" w:right="2520" w:firstLine="8"/>
        <w:spacing w:after="0" w:line="233" w:lineRule="auto"/>
        <w:tabs>
          <w:tab w:leader="none" w:pos="238"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 xml:space="preserve">Data is based on the latest information available from our dealer partners and is subject to timing of reporting and other limitations.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52"/>
          </w:cols>
          <w:pgMar w:left="328" w:top="1151" w:right="519" w:bottom="1440" w:gutter="0" w:footer="0" w:header="0"/>
        </w:sectPr>
      </w:pPr>
    </w:p>
    <w:bookmarkStart w:id="14" w:name="page15"/>
    <w:bookmarkEnd w:id="14"/>
    <w:p>
      <w:pPr>
        <w:ind w:left="4472"/>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3352"/>
        <w:spacing w:after="0"/>
        <w:rPr>
          <w:sz w:val="20"/>
          <w:szCs w:val="20"/>
          <w:color w:val="auto"/>
        </w:rPr>
      </w:pPr>
      <w:r>
        <w:rPr>
          <w:rFonts w:ascii="Arial" w:cs="Arial" w:eastAsia="Arial" w:hAnsi="Arial"/>
          <w:sz w:val="16"/>
          <w:szCs w:val="16"/>
          <w:b w:val="1"/>
          <w:bCs w:val="1"/>
          <w:color w:val="auto"/>
        </w:rPr>
        <w:t>Supplemental Information by Reportable Segment - Marine</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680" w:type="dxa"/>
            <w:vAlign w:val="bottom"/>
            <w:gridSpan w:val="3"/>
          </w:tcPr>
          <w:p>
            <w:pPr>
              <w:jc w:val="right"/>
              <w:ind w:right="23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52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474"/>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473"/>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680" w:type="dxa"/>
            <w:vAlign w:val="bottom"/>
            <w:gridSpan w:val="3"/>
          </w:tcPr>
          <w:p>
            <w:pPr>
              <w:jc w:val="right"/>
              <w:ind w:right="23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52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37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473"/>
        </w:trPr>
        <w:tc>
          <w:tcPr>
            <w:tcW w:w="2040" w:type="dxa"/>
            <w:vAlign w:val="bottom"/>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(2,3)</w:t>
            </w:r>
          </w:p>
        </w:tc>
        <w:tc>
          <w:tcPr>
            <w:tcW w:w="14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2026</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bl>
    <w:p>
      <w:pPr>
        <w:spacing w:after="0" w:line="75" w:lineRule="exact"/>
        <w:rPr>
          <w:sz w:val="20"/>
          <w:szCs w:val="20"/>
          <w:color w:val="auto"/>
        </w:rPr>
      </w:pPr>
    </w:p>
    <w:p>
      <w:pPr>
        <w:ind w:left="252" w:hanging="252"/>
        <w:spacing w:after="0"/>
        <w:tabs>
          <w:tab w:leader="none" w:pos="252"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9" w:lineRule="exact"/>
        <w:rPr>
          <w:rFonts w:ascii="Arial" w:cs="Arial" w:eastAsia="Arial" w:hAnsi="Arial"/>
          <w:sz w:val="21"/>
          <w:szCs w:val="21"/>
          <w:color w:val="auto"/>
          <w:vertAlign w:val="superscript"/>
        </w:rPr>
      </w:pPr>
    </w:p>
    <w:p>
      <w:pPr>
        <w:ind w:left="252" w:hanging="252"/>
        <w:spacing w:after="0" w:line="183" w:lineRule="auto"/>
        <w:tabs>
          <w:tab w:leader="none" w:pos="252"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54" w:lineRule="exact"/>
        <w:rPr>
          <w:rFonts w:ascii="Arial" w:cs="Arial" w:eastAsia="Arial" w:hAnsi="Arial"/>
          <w:sz w:val="20"/>
          <w:szCs w:val="20"/>
          <w:color w:val="auto"/>
          <w:vertAlign w:val="superscript"/>
        </w:rPr>
      </w:pPr>
    </w:p>
    <w:p>
      <w:pPr>
        <w:ind w:left="252" w:hanging="252"/>
        <w:spacing w:after="0" w:line="183" w:lineRule="auto"/>
        <w:tabs>
          <w:tab w:leader="none" w:pos="252"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52"/>
          </w:cols>
          <w:pgMar w:left="328" w:top="908" w:right="519" w:bottom="1440" w:gutter="0" w:footer="0" w:header="0"/>
        </w:sectPr>
      </w:pPr>
    </w:p>
    <w:bookmarkStart w:id="15" w:name="page16"/>
    <w:bookmarkEnd w:id="15"/>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Non-GAAP Reconciliation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30, 2026</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30, 2026</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31, 2025</w:t>
            </w:r>
          </w:p>
        </w:tc>
      </w:tr>
      <w:tr>
        <w:trPr>
          <w:trHeight w:val="210"/>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r>
      <w:tr>
        <w:trPr>
          <w:trHeight w:val="256"/>
        </w:trPr>
        <w:tc>
          <w:tcPr>
            <w:tcW w:w="4380" w:type="dxa"/>
            <w:vAlign w:val="bottom"/>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0.59</w:t>
            </w: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Asset impairment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16"/>
        </w:trPr>
        <w:tc>
          <w:tcPr>
            <w:tcW w:w="4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Restructuring and related costs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Gain on sale of property, plant and equipment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10"/>
        </w:trPr>
        <w:tc>
          <w:tcPr>
            <w:tcW w:w="4380" w:type="dxa"/>
            <w:vAlign w:val="bottom"/>
          </w:tcPr>
          <w:p>
            <w:pPr>
              <w:ind w:left="140"/>
              <w:spacing w:after="0" w:line="210"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w:t>
            </w: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Represents a pre-tax adjustment.</w:t>
      </w:r>
    </w:p>
    <w:p>
      <w:pPr>
        <w:ind w:left="260" w:hanging="252"/>
        <w:spacing w:after="0" w:line="183" w:lineRule="auto"/>
        <w:tabs>
          <w:tab w:leader="none" w:pos="26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The company's non-GAAP income tax impact is calculated using an estimated tax rate for the U.S. of 22.0% for Fiscal 2026 and 23.0% for Fiscal 2025.</w:t>
      </w:r>
    </w:p>
    <w:p>
      <w:pPr>
        <w:ind w:left="260" w:hanging="252"/>
        <w:spacing w:after="0" w:line="183" w:lineRule="auto"/>
        <w:tabs>
          <w:tab w:leader="none" w:pos="26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Per share numbers may not foot due to rounding.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30, 2026</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30, 2026</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31, 2025</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9"/>
        </w:trPr>
        <w:tc>
          <w:tcPr>
            <w:tcW w:w="4360" w:type="dxa"/>
            <w:vAlign w:val="bottom"/>
          </w:tcPr>
          <w:p>
            <w:pPr>
              <w:ind w:left="1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Asset impairment</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related costs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43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83.7</w:t>
            </w: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895" w:right="339" w:bottom="1440" w:gutter="0" w:footer="0" w:header="0"/>
        </w:sectPr>
      </w:pPr>
    </w:p>
    <w:bookmarkStart w:id="16" w:name="page17"/>
    <w:bookmarkEnd w:id="16"/>
    <w:p>
      <w:pPr>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14</w:t>
      </w:r>
    </w:p>
    <w:sectPr>
      <w:pgSz w:w="11900" w:h="16838" w:orient="portrait"/>
      <w:cols w:equalWidth="0" w:num="1">
        <w:col w:w="10920"/>
      </w:cols>
      <w:pgMar w:left="320" w:top="115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emdash "/>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lvl w:ilvl="1">
      <w:lvlJc w:val="left"/>
      <w:lvlText w:val="•"/>
      <w:numFmt w:val="bullet"/>
      <w:start w:val="1"/>
    </w:lvl>
  </w:abstractNum>
  <w:abstractNum w:abstractNumId="4">
    <w:nsid w:val="5BD062C2"/>
    <w:multiLevelType w:val="hybridMultilevel"/>
    <w:lvl w:ilvl="0">
      <w:lvlJc w:val="left"/>
      <w:lvlText w:val="(%1)"/>
      <w:numFmt w:val="decimal"/>
      <w:start w:val="1"/>
    </w:lvl>
    <w:lvl w:ilvl="1">
      <w:lvlJc w:val="left"/>
      <w:lvlText w:val="•"/>
      <w:numFmt w:val="bullet"/>
      <w:start w:val="1"/>
    </w:lvl>
  </w:abstractNum>
  <w:abstractNum w:abstractNumId="5">
    <w:nsid w:val="12200854"/>
    <w:multiLevelType w:val="hybridMultilevel"/>
    <w:lvl w:ilvl="0">
      <w:lvlJc w:val="left"/>
      <w:lvlText w:val="(%1)"/>
      <w:numFmt w:val="decimal"/>
      <w:start w:val="1"/>
    </w:lvl>
    <w:lvl w:ilvl="1">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2026-06-25T06:55:07Z</dcterms:created>
  <dcterms:modified xsi:type="dcterms:W3CDTF">2026-06-25T06:55:07Z</dcterms:modified>
</cp:coreProperties>
</file>