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28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FORM 8-K</w:t>
      </w:r>
    </w:p>
    <w:p>
      <w:pPr>
        <w:spacing w:after="0" w:line="30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6" w:lineRule="exact"/>
        <w:rPr>
          <w:sz w:val="24"/>
          <w:szCs w:val="24"/>
          <w:color w:val="auto"/>
        </w:rPr>
      </w:pPr>
    </w:p>
    <w:tbl>
      <w:tblPr>
        <w:tblLayout w:type="fixed"/>
        <w:tblInd w:w="1420" w:type="dxa"/>
        <w:tblCellMar>
          <w:top w:w="0" w:type="dxa"/>
          <w:left w:w="0" w:type="dxa"/>
          <w:bottom w:w="0" w:type="dxa"/>
          <w:right w:w="0" w:type="dxa"/>
        </w:tblCellMar>
      </w:tblPr>
      <w:tr>
        <w:trPr>
          <w:trHeight w:val="207"/>
        </w:trPr>
        <w:tc>
          <w:tcPr>
            <w:tcW w:w="240" w:type="dxa"/>
            <w:vAlign w:val="bottom"/>
          </w:tcPr>
          <w:p>
            <w:pPr>
              <w:spacing w:after="0"/>
              <w:rPr>
                <w:sz w:val="17"/>
                <w:szCs w:val="17"/>
                <w:color w:val="auto"/>
              </w:rPr>
            </w:pPr>
          </w:p>
        </w:tc>
        <w:tc>
          <w:tcPr>
            <w:tcW w:w="4400" w:type="dxa"/>
            <w:vAlign w:val="bottom"/>
            <w:gridSpan w:val="6"/>
          </w:tcPr>
          <w:p>
            <w:pPr>
              <w:ind w:left="1060"/>
              <w:spacing w:after="0"/>
              <w:rPr>
                <w:sz w:val="20"/>
                <w:szCs w:val="20"/>
                <w:color w:val="auto"/>
              </w:rPr>
            </w:pPr>
            <w:r>
              <w:rPr>
                <w:rFonts w:ascii="Arial" w:cs="Arial" w:eastAsia="Arial" w:hAnsi="Arial"/>
                <w:sz w:val="18"/>
                <w:szCs w:val="18"/>
                <w:color w:val="auto"/>
                <w:w w:val="88"/>
              </w:rPr>
              <w:t>Date of Report (Date of earliest event reported)</w:t>
            </w:r>
          </w:p>
        </w:tc>
        <w:tc>
          <w:tcPr>
            <w:tcW w:w="8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color w:val="auto"/>
              </w:rPr>
              <w:t>May 4, 2005</w:t>
            </w:r>
          </w:p>
        </w:tc>
        <w:tc>
          <w:tcPr>
            <w:tcW w:w="1300" w:type="dxa"/>
            <w:vAlign w:val="bottom"/>
            <w:gridSpan w:val="3"/>
          </w:tcPr>
          <w:p>
            <w:pPr>
              <w:spacing w:after="0"/>
              <w:rPr>
                <w:sz w:val="17"/>
                <w:szCs w:val="17"/>
                <w:color w:val="auto"/>
              </w:rPr>
            </w:pPr>
          </w:p>
        </w:tc>
      </w:tr>
      <w:tr>
        <w:trPr>
          <w:trHeight w:val="451"/>
        </w:trPr>
        <w:tc>
          <w:tcPr>
            <w:tcW w:w="2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gridSpan w:val="4"/>
          </w:tcPr>
          <w:p>
            <w:pPr>
              <w:jc w:val="center"/>
              <w:ind w:right="180"/>
              <w:spacing w:after="0"/>
              <w:rPr>
                <w:sz w:val="20"/>
                <w:szCs w:val="20"/>
                <w:color w:val="auto"/>
              </w:rPr>
            </w:pPr>
            <w:r>
              <w:rPr>
                <w:rFonts w:ascii="Arial" w:cs="Arial" w:eastAsia="Arial" w:hAnsi="Arial"/>
                <w:sz w:val="18"/>
                <w:szCs w:val="18"/>
                <w:color w:val="auto"/>
                <w:w w:val="89"/>
              </w:rPr>
              <w:t>Winnebago Industries, Inc.</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18"/>
        </w:trPr>
        <w:tc>
          <w:tcPr>
            <w:tcW w:w="240" w:type="dxa"/>
            <w:vAlign w:val="bottom"/>
            <w:tcBorders>
              <w:bottom w:val="single" w:sz="8" w:color="auto"/>
            </w:tcBorders>
          </w:tcPr>
          <w:p>
            <w:pPr>
              <w:spacing w:after="0"/>
              <w:rPr>
                <w:sz w:val="18"/>
                <w:szCs w:val="18"/>
                <w:color w:val="auto"/>
              </w:rPr>
            </w:pPr>
          </w:p>
        </w:tc>
        <w:tc>
          <w:tcPr>
            <w:tcW w:w="2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r>
      <w:tr>
        <w:trPr>
          <w:trHeight w:val="316"/>
        </w:trPr>
        <w:tc>
          <w:tcPr>
            <w:tcW w:w="240" w:type="dxa"/>
            <w:vAlign w:val="bottom"/>
          </w:tcPr>
          <w:p>
            <w:pPr>
              <w:spacing w:after="0"/>
              <w:rPr>
                <w:sz w:val="24"/>
                <w:szCs w:val="24"/>
                <w:color w:val="auto"/>
              </w:rPr>
            </w:pPr>
          </w:p>
        </w:tc>
        <w:tc>
          <w:tcPr>
            <w:tcW w:w="8340" w:type="dxa"/>
            <w:vAlign w:val="bottom"/>
            <w:gridSpan w:val="13"/>
          </w:tcPr>
          <w:p>
            <w:pPr>
              <w:jc w:val="center"/>
              <w:ind w:right="22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240" w:type="dxa"/>
            <w:vAlign w:val="bottom"/>
          </w:tcPr>
          <w:p>
            <w:pPr>
              <w:spacing w:after="0"/>
              <w:rPr>
                <w:sz w:val="24"/>
                <w:szCs w:val="24"/>
                <w:color w:val="auto"/>
              </w:rPr>
            </w:pPr>
          </w:p>
        </w:tc>
        <w:tc>
          <w:tcPr>
            <w:tcW w:w="3080" w:type="dxa"/>
            <w:vAlign w:val="bottom"/>
            <w:gridSpan w:val="3"/>
          </w:tcPr>
          <w:p>
            <w:pPr>
              <w:jc w:val="center"/>
              <w:ind w:right="320"/>
              <w:spacing w:after="0"/>
              <w:rPr>
                <w:sz w:val="20"/>
                <w:szCs w:val="20"/>
                <w:color w:val="auto"/>
              </w:rPr>
            </w:pPr>
            <w:r>
              <w:rPr>
                <w:rFonts w:ascii="Arial" w:cs="Arial" w:eastAsia="Arial" w:hAnsi="Arial"/>
                <w:sz w:val="18"/>
                <w:szCs w:val="18"/>
                <w:color w:val="auto"/>
                <w:w w:val="94"/>
              </w:rPr>
              <w:t>Iowa</w:t>
            </w:r>
          </w:p>
        </w:tc>
        <w:tc>
          <w:tcPr>
            <w:tcW w:w="2120" w:type="dxa"/>
            <w:vAlign w:val="bottom"/>
            <w:gridSpan w:val="4"/>
          </w:tcPr>
          <w:p>
            <w:pPr>
              <w:jc w:val="right"/>
              <w:ind w:right="640"/>
              <w:spacing w:after="0"/>
              <w:rPr>
                <w:sz w:val="20"/>
                <w:szCs w:val="20"/>
                <w:color w:val="auto"/>
              </w:rPr>
            </w:pPr>
            <w:r>
              <w:rPr>
                <w:rFonts w:ascii="Arial" w:cs="Arial" w:eastAsia="Arial" w:hAnsi="Arial"/>
                <w:sz w:val="18"/>
                <w:szCs w:val="18"/>
                <w:color w:val="auto"/>
              </w:rPr>
              <w:t>001-06403</w:t>
            </w:r>
          </w:p>
        </w:tc>
        <w:tc>
          <w:tcPr>
            <w:tcW w:w="2760" w:type="dxa"/>
            <w:vAlign w:val="bottom"/>
            <w:gridSpan w:val="4"/>
          </w:tcPr>
          <w:p>
            <w:pPr>
              <w:jc w:val="center"/>
              <w:ind w:left="292"/>
              <w:spacing w:after="0"/>
              <w:rPr>
                <w:sz w:val="20"/>
                <w:szCs w:val="20"/>
                <w:color w:val="auto"/>
              </w:rPr>
            </w:pPr>
            <w:r>
              <w:rPr>
                <w:rFonts w:ascii="Arial" w:cs="Arial" w:eastAsia="Arial" w:hAnsi="Arial"/>
                <w:sz w:val="18"/>
                <w:szCs w:val="18"/>
                <w:color w:val="auto"/>
                <w:w w:val="89"/>
              </w:rPr>
              <w:t>42-0802678</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0"/>
        </w:trPr>
        <w:tc>
          <w:tcPr>
            <w:tcW w:w="240" w:type="dxa"/>
            <w:vAlign w:val="bottom"/>
          </w:tcPr>
          <w:p>
            <w:pPr>
              <w:spacing w:after="0"/>
              <w:rPr>
                <w:sz w:val="9"/>
                <w:szCs w:val="9"/>
                <w:color w:val="auto"/>
              </w:rPr>
            </w:pPr>
          </w:p>
        </w:tc>
        <w:tc>
          <w:tcPr>
            <w:tcW w:w="27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r>
      <w:tr>
        <w:trPr>
          <w:trHeight w:val="343"/>
        </w:trPr>
        <w:tc>
          <w:tcPr>
            <w:tcW w:w="240" w:type="dxa"/>
            <w:vAlign w:val="bottom"/>
          </w:tcPr>
          <w:p>
            <w:pPr>
              <w:spacing w:after="0"/>
              <w:rPr>
                <w:sz w:val="24"/>
                <w:szCs w:val="24"/>
                <w:color w:val="auto"/>
              </w:rPr>
            </w:pPr>
          </w:p>
        </w:tc>
        <w:tc>
          <w:tcPr>
            <w:tcW w:w="30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(State or Other Jurisdiction</w:t>
            </w:r>
          </w:p>
        </w:tc>
        <w:tc>
          <w:tcPr>
            <w:tcW w:w="2120" w:type="dxa"/>
            <w:vAlign w:val="bottom"/>
            <w:gridSpan w:val="4"/>
          </w:tcPr>
          <w:p>
            <w:pPr>
              <w:jc w:val="center"/>
              <w:spacing w:after="0"/>
              <w:rPr>
                <w:sz w:val="20"/>
                <w:szCs w:val="20"/>
                <w:color w:val="auto"/>
              </w:rPr>
            </w:pPr>
            <w:r>
              <w:rPr>
                <w:rFonts w:ascii="Arial" w:cs="Arial" w:eastAsia="Arial" w:hAnsi="Arial"/>
                <w:sz w:val="18"/>
                <w:szCs w:val="18"/>
                <w:color w:val="auto"/>
                <w:w w:val="90"/>
              </w:rPr>
              <w:t>(Commission File Number)</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8"/>
                <w:szCs w:val="18"/>
                <w:color w:val="auto"/>
                <w:w w:val="90"/>
              </w:rPr>
              <w:t>(IRS Employer</w:t>
            </w:r>
          </w:p>
        </w:tc>
      </w:tr>
      <w:tr>
        <w:trPr>
          <w:trHeight w:val="243"/>
        </w:trPr>
        <w:tc>
          <w:tcPr>
            <w:tcW w:w="240" w:type="dxa"/>
            <w:vAlign w:val="bottom"/>
          </w:tcPr>
          <w:p>
            <w:pPr>
              <w:spacing w:after="0"/>
              <w:rPr>
                <w:sz w:val="21"/>
                <w:szCs w:val="21"/>
                <w:color w:val="auto"/>
              </w:rPr>
            </w:pPr>
          </w:p>
        </w:tc>
        <w:tc>
          <w:tcPr>
            <w:tcW w:w="3080" w:type="dxa"/>
            <w:vAlign w:val="bottom"/>
            <w:gridSpan w:val="3"/>
          </w:tcPr>
          <w:p>
            <w:pPr>
              <w:jc w:val="center"/>
              <w:ind w:right="320"/>
              <w:spacing w:after="0"/>
              <w:rPr>
                <w:sz w:val="20"/>
                <w:szCs w:val="20"/>
                <w:color w:val="auto"/>
              </w:rPr>
            </w:pPr>
            <w:r>
              <w:rPr>
                <w:rFonts w:ascii="Arial" w:cs="Arial" w:eastAsia="Arial" w:hAnsi="Arial"/>
                <w:sz w:val="18"/>
                <w:szCs w:val="18"/>
                <w:color w:val="auto"/>
                <w:w w:val="91"/>
              </w:rPr>
              <w:t>of Incorporation)</w:t>
            </w: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740" w:type="dxa"/>
            <w:vAlign w:val="bottom"/>
            <w:gridSpan w:val="4"/>
          </w:tcPr>
          <w:p>
            <w:pPr>
              <w:jc w:val="center"/>
              <w:ind w:right="400"/>
              <w:spacing w:after="0"/>
              <w:rPr>
                <w:sz w:val="20"/>
                <w:szCs w:val="20"/>
                <w:color w:val="auto"/>
              </w:rPr>
            </w:pPr>
            <w:r>
              <w:rPr>
                <w:rFonts w:ascii="Arial" w:cs="Arial" w:eastAsia="Arial" w:hAnsi="Arial"/>
                <w:sz w:val="18"/>
                <w:szCs w:val="18"/>
                <w:color w:val="auto"/>
                <w:w w:val="92"/>
              </w:rPr>
              <w:t>Identification No.)</w:t>
            </w:r>
          </w:p>
        </w:tc>
      </w:tr>
      <w:tr>
        <w:trPr>
          <w:trHeight w:val="459"/>
        </w:trPr>
        <w:tc>
          <w:tcPr>
            <w:tcW w:w="240" w:type="dxa"/>
            <w:vAlign w:val="bottom"/>
          </w:tcPr>
          <w:p>
            <w:pPr>
              <w:spacing w:after="0"/>
              <w:rPr>
                <w:sz w:val="24"/>
                <w:szCs w:val="24"/>
                <w:color w:val="auto"/>
              </w:rPr>
            </w:pPr>
          </w:p>
        </w:tc>
        <w:tc>
          <w:tcPr>
            <w:tcW w:w="3080" w:type="dxa"/>
            <w:vAlign w:val="bottom"/>
            <w:gridSpan w:val="3"/>
          </w:tcPr>
          <w:p>
            <w:pPr>
              <w:jc w:val="center"/>
              <w:ind w:left="712"/>
              <w:spacing w:after="0"/>
              <w:rPr>
                <w:sz w:val="20"/>
                <w:szCs w:val="20"/>
                <w:color w:val="auto"/>
              </w:rPr>
            </w:pPr>
            <w:r>
              <w:rPr>
                <w:rFonts w:ascii="Arial" w:cs="Arial" w:eastAsia="Arial" w:hAnsi="Arial"/>
                <w:sz w:val="18"/>
                <w:szCs w:val="18"/>
                <w:color w:val="auto"/>
                <w:w w:val="88"/>
              </w:rPr>
              <w:t>P.O. Box 152, Forest City, Iowa</w:t>
            </w: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40" w:type="dxa"/>
            <w:vAlign w:val="bottom"/>
            <w:gridSpan w:val="3"/>
          </w:tcPr>
          <w:p>
            <w:pPr>
              <w:jc w:val="right"/>
              <w:ind w:right="652"/>
              <w:spacing w:after="0"/>
              <w:rPr>
                <w:sz w:val="20"/>
                <w:szCs w:val="20"/>
                <w:color w:val="auto"/>
              </w:rPr>
            </w:pPr>
            <w:r>
              <w:rPr>
                <w:rFonts w:ascii="Arial" w:cs="Arial" w:eastAsia="Arial" w:hAnsi="Arial"/>
                <w:sz w:val="18"/>
                <w:szCs w:val="18"/>
                <w:color w:val="auto"/>
              </w:rPr>
              <w:t>50436</w:t>
            </w: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110"/>
        </w:trPr>
        <w:tc>
          <w:tcPr>
            <w:tcW w:w="240" w:type="dxa"/>
            <w:vAlign w:val="bottom"/>
          </w:tcPr>
          <w:p>
            <w:pPr>
              <w:spacing w:after="0"/>
              <w:rPr>
                <w:sz w:val="9"/>
                <w:szCs w:val="9"/>
                <w:color w:val="auto"/>
              </w:rPr>
            </w:pPr>
          </w:p>
        </w:tc>
        <w:tc>
          <w:tcPr>
            <w:tcW w:w="3900" w:type="dxa"/>
            <w:vAlign w:val="bottom"/>
            <w:tcBorders>
              <w:bottom w:val="single" w:sz="8" w:color="auto"/>
            </w:tcBorders>
            <w:gridSpan w:val="4"/>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gridSpan w:val="2"/>
          </w:tcPr>
          <w:p>
            <w:pPr>
              <w:spacing w:after="0"/>
              <w:rPr>
                <w:sz w:val="9"/>
                <w:szCs w:val="9"/>
                <w:color w:val="auto"/>
              </w:rPr>
            </w:pPr>
          </w:p>
        </w:tc>
        <w:tc>
          <w:tcPr>
            <w:tcW w:w="300" w:type="dxa"/>
            <w:vAlign w:val="bottom"/>
          </w:tcPr>
          <w:p>
            <w:pPr>
              <w:spacing w:after="0"/>
              <w:rPr>
                <w:sz w:val="9"/>
                <w:szCs w:val="9"/>
                <w:color w:val="auto"/>
              </w:rPr>
            </w:pPr>
          </w:p>
        </w:tc>
      </w:tr>
      <w:tr>
        <w:trPr>
          <w:trHeight w:val="316"/>
        </w:trPr>
        <w:tc>
          <w:tcPr>
            <w:tcW w:w="240" w:type="dxa"/>
            <w:vAlign w:val="bottom"/>
          </w:tcPr>
          <w:p>
            <w:pPr>
              <w:spacing w:after="0"/>
              <w:rPr>
                <w:sz w:val="24"/>
                <w:szCs w:val="24"/>
                <w:color w:val="auto"/>
              </w:rPr>
            </w:pPr>
          </w:p>
        </w:tc>
        <w:tc>
          <w:tcPr>
            <w:tcW w:w="5200" w:type="dxa"/>
            <w:vAlign w:val="bottom"/>
            <w:gridSpan w:val="7"/>
          </w:tcPr>
          <w:p>
            <w:pPr>
              <w:jc w:val="center"/>
              <w:ind w:right="1300"/>
              <w:spacing w:after="0"/>
              <w:rPr>
                <w:sz w:val="20"/>
                <w:szCs w:val="20"/>
                <w:color w:val="auto"/>
              </w:rPr>
            </w:pPr>
            <w:r>
              <w:rPr>
                <w:rFonts w:ascii="Arial" w:cs="Arial" w:eastAsia="Arial" w:hAnsi="Arial"/>
                <w:sz w:val="18"/>
                <w:szCs w:val="18"/>
                <w:color w:val="auto"/>
                <w:w w:val="90"/>
              </w:rPr>
              <w:t>(Address of Principal Executive Offices)</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40" w:type="dxa"/>
            <w:vAlign w:val="bottom"/>
            <w:gridSpan w:val="4"/>
          </w:tcPr>
          <w:p>
            <w:pPr>
              <w:jc w:val="center"/>
              <w:ind w:right="1780"/>
              <w:spacing w:after="0"/>
              <w:rPr>
                <w:sz w:val="20"/>
                <w:szCs w:val="20"/>
                <w:color w:val="auto"/>
              </w:rPr>
            </w:pPr>
            <w:r>
              <w:rPr>
                <w:rFonts w:ascii="Arial" w:cs="Arial" w:eastAsia="Arial" w:hAnsi="Arial"/>
                <w:sz w:val="18"/>
                <w:szCs w:val="18"/>
                <w:color w:val="auto"/>
                <w:w w:val="89"/>
              </w:rPr>
              <w:t>(Zip Code)</w:t>
            </w:r>
          </w:p>
        </w:tc>
      </w:tr>
    </w:tbl>
    <w:p>
      <w:pPr>
        <w:spacing w:after="0" w:line="200" w:lineRule="exact"/>
        <w:rPr>
          <w:sz w:val="24"/>
          <w:szCs w:val="24"/>
          <w:color w:val="auto"/>
        </w:rPr>
      </w:pPr>
    </w:p>
    <w:p>
      <w:pPr>
        <w:spacing w:after="0" w:line="253" w:lineRule="exact"/>
        <w:rPr>
          <w:sz w:val="24"/>
          <w:szCs w:val="24"/>
          <w:color w:val="auto"/>
        </w:rPr>
      </w:pPr>
    </w:p>
    <w:p>
      <w:pPr>
        <w:ind w:left="2920"/>
        <w:spacing w:after="0"/>
        <w:rPr>
          <w:sz w:val="20"/>
          <w:szCs w:val="20"/>
          <w:color w:val="auto"/>
        </w:rPr>
      </w:pPr>
      <w:r>
        <w:rPr>
          <w:rFonts w:ascii="Arial" w:cs="Arial" w:eastAsia="Arial" w:hAnsi="Arial"/>
          <w:sz w:val="18"/>
          <w:szCs w:val="18"/>
          <w:color w:val="auto"/>
        </w:rPr>
        <w:t>Registrant’s telephone number, including area code  641-585-3535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525780</wp:posOffset>
            </wp:positionV>
            <wp:extent cx="54457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445760" cy="8890"/>
                    </a:xfrm>
                    <a:prstGeom prst="rect">
                      <a:avLst/>
                    </a:prstGeom>
                    <a:noFill/>
                  </pic:spPr>
                </pic:pic>
              </a:graphicData>
            </a:graphic>
          </wp:anchor>
        </w:drawing>
        <w:drawing>
          <wp:anchor simplePos="0" relativeHeight="251657728" behindDoc="1" locked="0" layoutInCell="0" allowOverlap="1">
            <wp:simplePos x="0" y="0"/>
            <wp:positionH relativeFrom="column">
              <wp:posOffset>4163060</wp:posOffset>
            </wp:positionH>
            <wp:positionV relativeFrom="paragraph">
              <wp:posOffset>-13970</wp:posOffset>
            </wp:positionV>
            <wp:extent cx="12446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460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left="130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840" w:hanging="535"/>
        <w:spacing w:after="0"/>
        <w:tabs>
          <w:tab w:leader="none" w:pos="18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6"/>
          <w:szCs w:val="16"/>
          <w:b w:val="1"/>
          <w:bCs w:val="1"/>
          <w:color w:val="auto"/>
        </w:rPr>
        <w:t>Departure of Directors or Principal Officers; Election of Directors; Appointment of Principal Officers</w:t>
      </w:r>
    </w:p>
    <w:p>
      <w:pPr>
        <w:spacing w:after="0" w:line="312" w:lineRule="exact"/>
        <w:rPr>
          <w:sz w:val="24"/>
          <w:szCs w:val="24"/>
          <w:color w:val="auto"/>
        </w:rPr>
      </w:pPr>
    </w:p>
    <w:p>
      <w:pPr>
        <w:jc w:val="both"/>
        <w:ind w:right="220" w:firstLine="359"/>
        <w:spacing w:after="0" w:line="259"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&amp; (c) Winnebago Industries, Inc. (the </w:t>
      </w:r>
      <w:r>
        <w:rPr>
          <w:rFonts w:ascii="Arial" w:cs="Arial" w:eastAsia="Arial" w:hAnsi="Arial"/>
          <w:sz w:val="18"/>
          <w:szCs w:val="18"/>
          <w:i w:val="1"/>
          <w:iCs w:val="1"/>
          <w:color w:val="auto"/>
        </w:rPr>
        <w:t>“Company”</w:t>
      </w:r>
      <w:r>
        <w:rPr>
          <w:rFonts w:ascii="Arial" w:cs="Arial" w:eastAsia="Arial" w:hAnsi="Arial"/>
          <w:sz w:val="18"/>
          <w:szCs w:val="18"/>
          <w:color w:val="auto"/>
        </w:rPr>
        <w:t>) announced that the Board of Directors elected Ed Barker, the Company’s Chief Financial Officer (</w:t>
      </w:r>
      <w:r>
        <w:rPr>
          <w:rFonts w:ascii="Arial" w:cs="Arial" w:eastAsia="Arial" w:hAnsi="Arial"/>
          <w:sz w:val="18"/>
          <w:szCs w:val="18"/>
          <w:i w:val="1"/>
          <w:iCs w:val="1"/>
          <w:color w:val="auto"/>
        </w:rPr>
        <w:t>“CFO”</w:t>
      </w:r>
      <w:r>
        <w:rPr>
          <w:rFonts w:ascii="Arial" w:cs="Arial" w:eastAsia="Arial" w:hAnsi="Arial"/>
          <w:sz w:val="18"/>
          <w:szCs w:val="18"/>
          <w:color w:val="auto"/>
        </w:rPr>
        <w:t>), to the additional position of President on May 4, 2005. The Company also announced that its Chairman and Chief Executive Officer Bruce Hertzke relinquished the title of President in order to focus on the Company’s overall direction.</w:t>
      </w:r>
    </w:p>
    <w:p>
      <w:pPr>
        <w:spacing w:after="0" w:line="256"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312" w:lineRule="exact"/>
        <w:rPr>
          <w:sz w:val="24"/>
          <w:szCs w:val="24"/>
          <w:color w:val="auto"/>
        </w:rPr>
      </w:pPr>
    </w:p>
    <w:p>
      <w:pPr>
        <w:ind w:right="40" w:firstLine="351"/>
        <w:spacing w:after="0" w:line="332" w:lineRule="auto"/>
        <w:rPr>
          <w:sz w:val="20"/>
          <w:szCs w:val="20"/>
          <w:color w:val="auto"/>
        </w:rPr>
      </w:pPr>
      <w:r>
        <w:rPr>
          <w:rFonts w:ascii="Arial" w:cs="Arial" w:eastAsia="Arial" w:hAnsi="Arial"/>
          <w:sz w:val="16"/>
          <w:szCs w:val="16"/>
          <w:color w:val="auto"/>
        </w:rPr>
        <w:t>On May 4, 2005, the Company issued a press release announcing the election of Ed Barker, the Company’s CFO, to the additional position of President and the relinquishment of the title of President by Bruce Hertzke. The press release is furnished as Exhibit 99.1 to this Current Report on Form 8-K.</w:t>
      </w:r>
    </w:p>
    <w:p>
      <w:pPr>
        <w:spacing w:after="0" w:line="201" w:lineRule="exact"/>
        <w:rPr>
          <w:sz w:val="24"/>
          <w:szCs w:val="24"/>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306"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4"/>
          <w:szCs w:val="24"/>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4"/>
          <w:szCs w:val="24"/>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4, 2005</w:t>
      </w:r>
    </w:p>
    <w:p>
      <w:pPr>
        <w:spacing w:after="0" w:line="200" w:lineRule="exact"/>
        <w:rPr>
          <w:sz w:val="24"/>
          <w:szCs w:val="24"/>
          <w:color w:val="auto"/>
        </w:rPr>
      </w:pPr>
    </w:p>
    <w:p>
      <w:pPr>
        <w:spacing w:after="0" w:line="295" w:lineRule="exact"/>
        <w:rPr>
          <w:sz w:val="24"/>
          <w:szCs w:val="24"/>
          <w:color w:val="auto"/>
        </w:rPr>
      </w:pPr>
    </w:p>
    <w:p>
      <w:pPr>
        <w:ind w:left="1620" w:right="300"/>
        <w:spacing w:after="0" w:line="268" w:lineRule="auto"/>
        <w:rPr>
          <w:sz w:val="20"/>
          <w:szCs w:val="20"/>
          <w:color w:val="auto"/>
        </w:rPr>
      </w:pPr>
      <w:r>
        <w:rPr>
          <w:rFonts w:ascii="Arial" w:cs="Arial" w:eastAsia="Arial" w:hAnsi="Arial"/>
          <w:sz w:val="18"/>
          <w:szCs w:val="18"/>
          <w:color w:val="auto"/>
        </w:rPr>
        <w:t>Pursuant to SEC Release Nos. 33-84000 and 34-49424, Exhibit 99.1 is being furnished and will not be deemed “filed” for purposes of the Securities Act of 1933 or the Securities Exchange Act of 1934.</w:t>
      </w:r>
    </w:p>
    <w:p>
      <w:pPr>
        <w:sectPr>
          <w:pgSz w:w="11900" w:h="16838" w:orient="portrait"/>
          <w:cols w:equalWidth="0" w:num="1">
            <w:col w:w="11340"/>
          </w:cols>
          <w:pgMar w:left="240" w:top="233" w:right="319" w:bottom="55" w:gutter="0" w:footer="0" w:header="0"/>
        </w:sectPr>
      </w:pPr>
    </w:p>
    <w:p>
      <w:pPr>
        <w:spacing w:after="0" w:line="200" w:lineRule="exact"/>
        <w:rPr>
          <w:sz w:val="24"/>
          <w:szCs w:val="24"/>
          <w:color w:val="auto"/>
        </w:rPr>
      </w:pPr>
    </w:p>
    <w:p>
      <w:pPr>
        <w:spacing w:after="0" w:line="291"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SIGNATURES</w:t>
      </w:r>
    </w:p>
    <w:p>
      <w:pPr>
        <w:sectPr>
          <w:pgSz w:w="11900" w:h="16838" w:orient="portrait"/>
          <w:cols w:equalWidth="0" w:num="1">
            <w:col w:w="11340"/>
          </w:cols>
          <w:pgMar w:left="240" w:top="233" w:right="319" w:bottom="55" w:gutter="0" w:footer="0" w:header="0"/>
          <w:type w:val="continuous"/>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331"/>
        </w:trPr>
        <w:tc>
          <w:tcPr>
            <w:tcW w:w="3740" w:type="dxa"/>
            <w:vAlign w:val="bottom"/>
          </w:tcPr>
          <w:p>
            <w:pPr>
              <w:spacing w:after="0"/>
              <w:rPr>
                <w:sz w:val="20"/>
                <w:szCs w:val="20"/>
                <w:color w:val="auto"/>
              </w:rPr>
            </w:pPr>
            <w:r>
              <w:rPr>
                <w:rFonts w:ascii="Arial" w:cs="Arial" w:eastAsia="Arial" w:hAnsi="Arial"/>
                <w:sz w:val="18"/>
                <w:szCs w:val="18"/>
                <w:color w:val="auto"/>
              </w:rPr>
              <w:t>Dated: May 6, 2005</w:t>
            </w:r>
          </w:p>
        </w:tc>
        <w:tc>
          <w:tcPr>
            <w:tcW w:w="7180" w:type="dxa"/>
            <w:vAlign w:val="bottom"/>
            <w:gridSpan w:val="3"/>
          </w:tcPr>
          <w:p>
            <w:pPr>
              <w:ind w:left="2340"/>
              <w:spacing w:after="0"/>
              <w:rPr>
                <w:sz w:val="20"/>
                <w:szCs w:val="20"/>
                <w:color w:val="auto"/>
              </w:rPr>
            </w:pPr>
            <w:r>
              <w:rPr>
                <w:rFonts w:ascii="Arial" w:cs="Arial" w:eastAsia="Arial" w:hAnsi="Arial"/>
                <w:sz w:val="26"/>
                <w:szCs w:val="26"/>
                <w:color w:val="auto"/>
              </w:rPr>
              <w:t>W</w:t>
            </w:r>
            <w:r>
              <w:rPr>
                <w:rFonts w:ascii="Arial" w:cs="Arial" w:eastAsia="Arial" w:hAnsi="Arial"/>
                <w:sz w:val="17"/>
                <w:szCs w:val="17"/>
                <w:color w:val="auto"/>
              </w:rPr>
              <w:t>INNEBAGO</w:t>
            </w:r>
            <w:r>
              <w:rPr>
                <w:rFonts w:ascii="Arial" w:cs="Arial" w:eastAsia="Arial" w:hAnsi="Arial"/>
                <w:sz w:val="26"/>
                <w:szCs w:val="26"/>
                <w:color w:val="auto"/>
              </w:rPr>
              <w:t xml:space="preserve"> I</w:t>
            </w:r>
            <w:r>
              <w:rPr>
                <w:rFonts w:ascii="Arial" w:cs="Arial" w:eastAsia="Arial" w:hAnsi="Arial"/>
                <w:sz w:val="17"/>
                <w:szCs w:val="17"/>
                <w:color w:val="auto"/>
              </w:rPr>
              <w:t>NDUSTRIES,</w:t>
            </w:r>
            <w:r>
              <w:rPr>
                <w:rFonts w:ascii="Arial" w:cs="Arial" w:eastAsia="Arial" w:hAnsi="Arial"/>
                <w:sz w:val="26"/>
                <w:szCs w:val="26"/>
                <w:color w:val="auto"/>
              </w:rPr>
              <w:t xml:space="preserve"> I</w:t>
            </w:r>
            <w:r>
              <w:rPr>
                <w:rFonts w:ascii="Arial" w:cs="Arial" w:eastAsia="Arial" w:hAnsi="Arial"/>
                <w:sz w:val="17"/>
                <w:szCs w:val="17"/>
                <w:color w:val="auto"/>
              </w:rPr>
              <w:t>NC.</w:t>
            </w:r>
          </w:p>
        </w:tc>
      </w:tr>
      <w:tr>
        <w:trPr>
          <w:trHeight w:val="435"/>
        </w:trPr>
        <w:tc>
          <w:tcPr>
            <w:tcW w:w="3740" w:type="dxa"/>
            <w:vAlign w:val="bottom"/>
          </w:tcPr>
          <w:p>
            <w:pPr>
              <w:spacing w:after="0"/>
              <w:rPr>
                <w:sz w:val="24"/>
                <w:szCs w:val="24"/>
                <w:color w:val="auto"/>
              </w:rPr>
            </w:pPr>
          </w:p>
        </w:tc>
        <w:tc>
          <w:tcPr>
            <w:tcW w:w="2860" w:type="dxa"/>
            <w:vAlign w:val="bottom"/>
          </w:tcPr>
          <w:p>
            <w:pPr>
              <w:ind w:left="2340"/>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4"/>
                <w:szCs w:val="24"/>
                <w:color w:val="auto"/>
              </w:rPr>
            </w:pPr>
          </w:p>
        </w:tc>
        <w:tc>
          <w:tcPr>
            <w:tcW w:w="4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Bruce D. Hertzke</w:t>
            </w:r>
          </w:p>
        </w:tc>
      </w:tr>
      <w:tr>
        <w:trPr>
          <w:trHeight w:val="262"/>
        </w:trPr>
        <w:tc>
          <w:tcPr>
            <w:tcW w:w="3740" w:type="dxa"/>
            <w:vAlign w:val="bottom"/>
          </w:tcPr>
          <w:p>
            <w:pPr>
              <w:spacing w:after="0"/>
              <w:rPr>
                <w:sz w:val="22"/>
                <w:szCs w:val="22"/>
                <w:color w:val="auto"/>
              </w:rPr>
            </w:pPr>
          </w:p>
        </w:tc>
        <w:tc>
          <w:tcPr>
            <w:tcW w:w="2860" w:type="dxa"/>
            <w:vAlign w:val="bottom"/>
          </w:tcPr>
          <w:p>
            <w:pPr>
              <w:ind w:left="2340"/>
              <w:spacing w:after="0"/>
              <w:rPr>
                <w:sz w:val="20"/>
                <w:szCs w:val="20"/>
                <w:color w:val="auto"/>
              </w:rPr>
            </w:pPr>
            <w:r>
              <w:rPr>
                <w:rFonts w:ascii="Arial" w:cs="Arial" w:eastAsia="Arial" w:hAnsi="Arial"/>
                <w:sz w:val="18"/>
                <w:szCs w:val="18"/>
                <w:color w:val="auto"/>
                <w:w w:val="94"/>
              </w:rPr>
              <w:t>Name:</w:t>
            </w:r>
          </w:p>
        </w:tc>
        <w:tc>
          <w:tcPr>
            <w:tcW w:w="4320" w:type="dxa"/>
            <w:vAlign w:val="bottom"/>
            <w:gridSpan w:val="2"/>
          </w:tcPr>
          <w:p>
            <w:pPr>
              <w:ind w:left="80"/>
              <w:spacing w:after="0"/>
              <w:rPr>
                <w:sz w:val="20"/>
                <w:szCs w:val="20"/>
                <w:color w:val="auto"/>
              </w:rPr>
            </w:pPr>
            <w:r>
              <w:rPr>
                <w:rFonts w:ascii="Arial" w:cs="Arial" w:eastAsia="Arial" w:hAnsi="Arial"/>
                <w:sz w:val="18"/>
                <w:szCs w:val="18"/>
                <w:color w:val="auto"/>
              </w:rPr>
              <w:t>Bruce D. Hertzke</w:t>
            </w:r>
          </w:p>
        </w:tc>
      </w:tr>
      <w:tr>
        <w:trPr>
          <w:trHeight w:val="243"/>
        </w:trPr>
        <w:tc>
          <w:tcPr>
            <w:tcW w:w="3740" w:type="dxa"/>
            <w:vAlign w:val="bottom"/>
          </w:tcPr>
          <w:p>
            <w:pPr>
              <w:spacing w:after="0"/>
              <w:rPr>
                <w:sz w:val="21"/>
                <w:szCs w:val="21"/>
                <w:color w:val="auto"/>
              </w:rPr>
            </w:pPr>
          </w:p>
        </w:tc>
        <w:tc>
          <w:tcPr>
            <w:tcW w:w="2860" w:type="dxa"/>
            <w:vAlign w:val="bottom"/>
          </w:tcPr>
          <w:p>
            <w:pPr>
              <w:ind w:left="2340"/>
              <w:spacing w:after="0"/>
              <w:rPr>
                <w:sz w:val="20"/>
                <w:szCs w:val="20"/>
                <w:color w:val="auto"/>
              </w:rPr>
            </w:pPr>
            <w:r>
              <w:rPr>
                <w:rFonts w:ascii="Arial" w:cs="Arial" w:eastAsia="Arial" w:hAnsi="Arial"/>
                <w:sz w:val="18"/>
                <w:szCs w:val="18"/>
                <w:color w:val="auto"/>
              </w:rPr>
              <w:t>Title:</w:t>
            </w:r>
          </w:p>
        </w:tc>
        <w:tc>
          <w:tcPr>
            <w:tcW w:w="4320" w:type="dxa"/>
            <w:vAlign w:val="bottom"/>
            <w:gridSpan w:val="2"/>
          </w:tcPr>
          <w:p>
            <w:pPr>
              <w:ind w:left="60"/>
              <w:spacing w:after="0"/>
              <w:rPr>
                <w:sz w:val="20"/>
                <w:szCs w:val="20"/>
                <w:color w:val="auto"/>
              </w:rPr>
            </w:pPr>
            <w:r>
              <w:rPr>
                <w:rFonts w:ascii="Arial" w:cs="Arial" w:eastAsia="Arial" w:hAnsi="Arial"/>
                <w:sz w:val="18"/>
                <w:szCs w:val="18"/>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EXHIBIT INDEX</w:t>
      </w:r>
    </w:p>
    <w:p>
      <w:pPr>
        <w:spacing w:after="0" w:line="306"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Exhibit</w:t>
      </w:r>
    </w:p>
    <w:p>
      <w:pPr>
        <w:spacing w:after="0" w:line="21" w:lineRule="exact"/>
        <w:rPr>
          <w:sz w:val="20"/>
          <w:szCs w:val="20"/>
          <w:color w:val="auto"/>
        </w:rPr>
      </w:pPr>
    </w:p>
    <w:p>
      <w:pPr>
        <w:ind w:left="580"/>
        <w:spacing w:after="0"/>
        <w:tabs>
          <w:tab w:leader="none" w:pos="160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46" w:lineRule="exact"/>
        <w:rPr>
          <w:sz w:val="20"/>
          <w:szCs w:val="20"/>
          <w:color w:val="auto"/>
        </w:rPr>
      </w:pPr>
    </w:p>
    <w:p>
      <w:pPr>
        <w:ind w:left="760"/>
        <w:spacing w:after="0"/>
        <w:tabs>
          <w:tab w:leader="none" w:pos="16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4, 2005</w:t>
      </w:r>
    </w:p>
    <w:p>
      <w:pPr>
        <w:sectPr>
          <w:pgSz w:w="11900" w:h="16838" w:orient="portrait"/>
          <w:cols w:equalWidth="0" w:num="1">
            <w:col w:w="10940"/>
          </w:cols>
          <w:pgMar w:left="240" w:top="131" w:right="71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ED BARKER ELECTED PRESIDENT OF WINNEBAGO INDUSTRIES</w:t>
      </w:r>
    </w:p>
    <w:p>
      <w:pPr>
        <w:spacing w:after="0" w:line="225"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FOREST CITY, IOWA, May 4, 2005 — Winnebago Industries, Inc. (NYSE: WGO), announced that the Board of Directors elected Ed Barker, Winnebago Industries’ CFO, to the additional position of President in a meeting held today.</w:t>
      </w:r>
    </w:p>
    <w:p>
      <w:pPr>
        <w:spacing w:after="0" w:line="186" w:lineRule="exact"/>
        <w:rPr>
          <w:sz w:val="20"/>
          <w:szCs w:val="20"/>
          <w:color w:val="auto"/>
        </w:rPr>
      </w:pPr>
    </w:p>
    <w:p>
      <w:pPr>
        <w:ind w:right="120" w:firstLine="351"/>
        <w:spacing w:after="0" w:line="298" w:lineRule="auto"/>
        <w:rPr>
          <w:sz w:val="20"/>
          <w:szCs w:val="20"/>
          <w:color w:val="auto"/>
        </w:rPr>
      </w:pPr>
      <w:r>
        <w:rPr>
          <w:rFonts w:ascii="Arial" w:cs="Arial" w:eastAsia="Arial" w:hAnsi="Arial"/>
          <w:sz w:val="16"/>
          <w:szCs w:val="16"/>
          <w:color w:val="auto"/>
        </w:rPr>
        <w:t>Barker, 57, is a 36-year veteran of Winnebago Industries and was promoted to the additional position of President effective immediately. Most recently serving as Senior Vice President, CFO; Barker joined Winnebago Industries in 1969 as a cost accountant. He has served in various financial and management positions since that time. In January 2003, he was promoted to the position of Senior Vice President, Chief Financial Officer in order to broaden his involvement in all aspects of the operations of the Company, while continuing to oversee the Company’s financial and purchasing operations.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Winnebago Industries’ Chairman and CEO Bruce Hertzke relinquished the title of President in order to focus on the Company’s overall direction.</w:t>
      </w:r>
    </w:p>
    <w:p>
      <w:pPr>
        <w:spacing w:after="0" w:line="248" w:lineRule="exact"/>
        <w:rPr>
          <w:sz w:val="20"/>
          <w:szCs w:val="20"/>
          <w:color w:val="auto"/>
        </w:rPr>
      </w:pPr>
    </w:p>
    <w:p>
      <w:pPr>
        <w:ind w:firstLine="351"/>
        <w:spacing w:after="0" w:line="306" w:lineRule="auto"/>
        <w:rPr>
          <w:sz w:val="20"/>
          <w:szCs w:val="20"/>
          <w:color w:val="auto"/>
        </w:rPr>
      </w:pPr>
      <w:r>
        <w:rPr>
          <w:rFonts w:ascii="Arial" w:cs="Arial" w:eastAsia="Arial" w:hAnsi="Arial"/>
          <w:sz w:val="16"/>
          <w:szCs w:val="16"/>
          <w:color w:val="auto"/>
        </w:rPr>
        <w:t>“Ed has a great working knowledge of the Company and its operations, having worked in senior management positions within Winnebago Industries since 1980,” said Hertzke. “Under his financial leadership, he has helped Winnebago Industries lead the motor home industry in returns for the Company’s shareholders and I have the utmost confidence that he will continue to help the Company grow for the future. Ed will retain his role of Chief Financial Officer.”</w:t>
      </w:r>
    </w:p>
    <w:p>
      <w:pPr>
        <w:spacing w:after="0" w:line="16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About Winnebago Industries</w:t>
      </w:r>
    </w:p>
    <w:p>
      <w:pPr>
        <w:spacing w:after="0" w:line="225" w:lineRule="exact"/>
        <w:rPr>
          <w:sz w:val="20"/>
          <w:szCs w:val="20"/>
          <w:color w:val="auto"/>
        </w:rPr>
      </w:pPr>
    </w:p>
    <w:p>
      <w:pPr>
        <w:ind w:right="40" w:firstLine="348"/>
        <w:spacing w:after="0" w:line="291" w:lineRule="auto"/>
        <w:rPr>
          <w:sz w:val="20"/>
          <w:szCs w:val="20"/>
          <w:color w:val="auto"/>
        </w:rPr>
      </w:pPr>
      <w:r>
        <w:rPr>
          <w:rFonts w:ascii="Arial" w:cs="Arial" w:eastAsia="Arial" w:hAnsi="Arial"/>
          <w:sz w:val="16"/>
          <w:szCs w:val="16"/>
          <w:color w:val="auto"/>
        </w:rPr>
        <w:t>Winnebago Industries, Inc. is the leading United States manufacturer of motor homes, self-contained recreation vehicles used primarily in leisure travel and outdoor recreation activities. The Company builds quality motor homes under the Winnebago and Itasca brand names with state-of-the-art computer-aided design and manufacturing systems on automotive-styled assembly lines. The Company’s common stock is listed on the New York, Chicago and Pacific Stock Exchanges and traded under the symbol WGO. Options for the Company’s common stock are traded on the Chicago Board Options Exchange. For access to Winnebago Industries’ investor relations material, to add your name to an automatic email list for Company news releases or for information on a dollar-based stock investment service for the Company’s stock, visit, http://www.winnebagoind.com/html/company/investorRelations.html.</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2019-12-13T08:24:27Z</dcterms:created>
  <dcterms:modified xsi:type="dcterms:W3CDTF">2019-12-13T08:24:27Z</dcterms:modified>
</cp:coreProperties>
</file>