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26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PURSUANT TO SECTION 13 OR 15(d) OF THE SECURITIES EXCHANGE ACT OF 1934</w:t>
      </w:r>
    </w:p>
    <w:p>
      <w:pPr>
        <w:spacing w:after="0" w:line="182" w:lineRule="exact"/>
        <w:rPr>
          <w:sz w:val="24"/>
          <w:szCs w:val="24"/>
          <w:color w:val="auto"/>
        </w:rPr>
      </w:pPr>
    </w:p>
    <w:p>
      <w:pPr>
        <w:ind w:left="1760"/>
        <w:spacing w:after="0"/>
        <w:tabs>
          <w:tab w:leader="none" w:pos="6980" w:val="left"/>
        </w:tabs>
        <w:rPr>
          <w:sz w:val="20"/>
          <w:szCs w:val="20"/>
          <w:color w:val="auto"/>
        </w:rPr>
      </w:pPr>
      <w:r>
        <w:rPr>
          <w:rFonts w:ascii="Times New Roman" w:cs="Times New Roman" w:eastAsia="Times New Roman" w:hAnsi="Times New Roman"/>
          <w:sz w:val="22"/>
          <w:szCs w:val="22"/>
          <w:color w:val="auto"/>
        </w:rPr>
        <w:t>Date of Report (Date of earliest event reported)</w:t>
      </w:r>
      <w:r>
        <w:rPr>
          <w:sz w:val="20"/>
          <w:szCs w:val="20"/>
          <w:color w:val="auto"/>
        </w:rPr>
        <w:tab/>
      </w:r>
      <w:r>
        <w:rPr>
          <w:rFonts w:ascii="Times New Roman" w:cs="Times New Roman" w:eastAsia="Times New Roman" w:hAnsi="Times New Roman"/>
          <w:sz w:val="21"/>
          <w:szCs w:val="21"/>
          <w:color w:val="auto"/>
        </w:rPr>
        <w:t>December 9,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3755390</wp:posOffset>
            </wp:positionH>
            <wp:positionV relativeFrom="paragraph">
              <wp:posOffset>-13970</wp:posOffset>
            </wp:positionV>
            <wp:extent cx="23818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1885" cy="8890"/>
                    </a:xfrm>
                    <a:prstGeom prst="rect">
                      <a:avLst/>
                    </a:prstGeom>
                    <a:noFill/>
                  </pic:spPr>
                </pic:pic>
              </a:graphicData>
            </a:graphic>
          </wp:anchor>
        </w:drawing>
      </w:r>
    </w:p>
    <w:p>
      <w:pPr>
        <w:spacing w:after="0" w:line="1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4"/>
          <w:szCs w:val="24"/>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-8255</wp:posOffset>
            </wp:positionV>
            <wp:extent cx="33724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72485" cy="8890"/>
                    </a:xfrm>
                    <a:prstGeom prst="rect">
                      <a:avLst/>
                    </a:prstGeom>
                    <a:noFill/>
                  </pic:spPr>
                </pic:pic>
              </a:graphicData>
            </a:graphic>
          </wp:anchor>
        </w:drawing>
      </w:r>
    </w:p>
    <w:p>
      <w:pPr>
        <w:spacing w:after="0" w:line="2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4"/>
          <w:szCs w:val="24"/>
          <w:color w:val="auto"/>
        </w:rPr>
        <w:t>(Exact name of registrant as specified in its charter)</w:t>
      </w:r>
    </w:p>
    <w:p>
      <w:pPr>
        <w:spacing w:after="0" w:line="197" w:lineRule="exact"/>
        <w:rPr>
          <w:sz w:val="24"/>
          <w:szCs w:val="24"/>
          <w:color w:val="auto"/>
        </w:rPr>
      </w:pPr>
    </w:p>
    <w:tbl>
      <w:tblPr>
        <w:tblLayout w:type="fixed"/>
        <w:tblInd w:w="1660" w:type="dxa"/>
        <w:tblCellMar>
          <w:top w:w="0" w:type="dxa"/>
          <w:left w:w="0" w:type="dxa"/>
          <w:bottom w:w="0" w:type="dxa"/>
          <w:right w:w="0" w:type="dxa"/>
        </w:tblCellMar>
      </w:tblPr>
      <w:tr>
        <w:trPr>
          <w:trHeight w:val="283"/>
        </w:trPr>
        <w:tc>
          <w:tcPr>
            <w:tcW w:w="3360" w:type="dxa"/>
            <w:vAlign w:val="bottom"/>
            <w:gridSpan w:val="3"/>
          </w:tcPr>
          <w:p>
            <w:pPr>
              <w:jc w:val="center"/>
              <w:ind w:right="600"/>
              <w:spacing w:after="0"/>
              <w:rPr>
                <w:sz w:val="20"/>
                <w:szCs w:val="20"/>
                <w:color w:val="auto"/>
              </w:rPr>
            </w:pPr>
            <w:r>
              <w:rPr>
                <w:rFonts w:ascii="Times New Roman" w:cs="Times New Roman" w:eastAsia="Times New Roman" w:hAnsi="Times New Roman"/>
                <w:sz w:val="22"/>
                <w:szCs w:val="22"/>
                <w:color w:val="auto"/>
                <w:w w:val="99"/>
              </w:rPr>
              <w:t>Iowa</w:t>
            </w:r>
          </w:p>
        </w:tc>
        <w:tc>
          <w:tcPr>
            <w:tcW w:w="2000" w:type="dxa"/>
            <w:vAlign w:val="bottom"/>
            <w:gridSpan w:val="4"/>
          </w:tcPr>
          <w:p>
            <w:pPr>
              <w:jc w:val="center"/>
              <w:ind w:right="380"/>
              <w:spacing w:after="0"/>
              <w:rPr>
                <w:sz w:val="20"/>
                <w:szCs w:val="20"/>
                <w:color w:val="auto"/>
              </w:rPr>
            </w:pPr>
            <w:r>
              <w:rPr>
                <w:rFonts w:ascii="Times New Roman" w:cs="Times New Roman" w:eastAsia="Times New Roman" w:hAnsi="Times New Roman"/>
                <w:sz w:val="22"/>
                <w:szCs w:val="22"/>
                <w:color w:val="auto"/>
                <w:w w:val="98"/>
              </w:rPr>
              <w:t>001-06403</w:t>
            </w:r>
          </w:p>
        </w:tc>
        <w:tc>
          <w:tcPr>
            <w:tcW w:w="2600" w:type="dxa"/>
            <w:vAlign w:val="bottom"/>
            <w:gridSpan w:val="2"/>
          </w:tcPr>
          <w:p>
            <w:pPr>
              <w:jc w:val="center"/>
              <w:ind w:left="112"/>
              <w:spacing w:after="0"/>
              <w:rPr>
                <w:sz w:val="20"/>
                <w:szCs w:val="20"/>
                <w:color w:val="auto"/>
              </w:rPr>
            </w:pPr>
            <w:r>
              <w:rPr>
                <w:rFonts w:ascii="Times New Roman" w:cs="Times New Roman" w:eastAsia="Times New Roman" w:hAnsi="Times New Roman"/>
                <w:sz w:val="22"/>
                <w:szCs w:val="22"/>
                <w:color w:val="auto"/>
                <w:w w:val="99"/>
              </w:rPr>
              <w:t>42-0802678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6"/>
        </w:trPr>
        <w:tc>
          <w:tcPr>
            <w:tcW w:w="27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317"/>
        </w:trPr>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gridSpan w:val="4"/>
          </w:tcPr>
          <w:p>
            <w:pPr>
              <w:jc w:val="center"/>
              <w:ind w:right="360"/>
              <w:spacing w:after="0"/>
              <w:rPr>
                <w:sz w:val="20"/>
                <w:szCs w:val="20"/>
                <w:color w:val="auto"/>
              </w:rPr>
            </w:pPr>
            <w:r>
              <w:rPr>
                <w:rFonts w:ascii="Times New Roman" w:cs="Times New Roman" w:eastAsia="Times New Roman" w:hAnsi="Times New Roman"/>
                <w:sz w:val="22"/>
                <w:szCs w:val="22"/>
                <w:color w:val="auto"/>
                <w:w w:val="98"/>
              </w:rPr>
              <w:t>(Commission File</w:t>
            </w:r>
          </w:p>
        </w:tc>
        <w:tc>
          <w:tcPr>
            <w:tcW w:w="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3360" w:type="dxa"/>
            <w:vAlign w:val="bottom"/>
            <w:gridSpan w:val="3"/>
          </w:tcPr>
          <w:p>
            <w:pPr>
              <w:jc w:val="center"/>
              <w:ind w:right="600"/>
              <w:spacing w:after="0" w:line="243" w:lineRule="exact"/>
              <w:rPr>
                <w:sz w:val="20"/>
                <w:szCs w:val="20"/>
                <w:color w:val="auto"/>
              </w:rPr>
            </w:pPr>
            <w:r>
              <w:rPr>
                <w:rFonts w:ascii="Times New Roman" w:cs="Times New Roman" w:eastAsia="Times New Roman" w:hAnsi="Times New Roman"/>
                <w:sz w:val="22"/>
                <w:szCs w:val="22"/>
                <w:color w:val="auto"/>
                <w:w w:val="98"/>
              </w:rPr>
              <w:t>(State or other jurisdiction</w:t>
            </w:r>
          </w:p>
        </w:tc>
        <w:tc>
          <w:tcPr>
            <w:tcW w:w="2000" w:type="dxa"/>
            <w:vAlign w:val="bottom"/>
            <w:gridSpan w:val="4"/>
          </w:tcPr>
          <w:p>
            <w:pPr>
              <w:jc w:val="center"/>
              <w:ind w:right="380"/>
              <w:spacing w:after="0" w:line="243" w:lineRule="exact"/>
              <w:rPr>
                <w:sz w:val="20"/>
                <w:szCs w:val="20"/>
                <w:color w:val="auto"/>
              </w:rPr>
            </w:pPr>
            <w:r>
              <w:rPr>
                <w:rFonts w:ascii="Times New Roman" w:cs="Times New Roman" w:eastAsia="Times New Roman" w:hAnsi="Times New Roman"/>
                <w:sz w:val="22"/>
                <w:szCs w:val="22"/>
                <w:color w:val="auto"/>
                <w:w w:val="98"/>
              </w:rPr>
              <w:t>Number)</w:t>
            </w:r>
          </w:p>
        </w:tc>
        <w:tc>
          <w:tcPr>
            <w:tcW w:w="240" w:type="dxa"/>
            <w:vAlign w:val="bottom"/>
          </w:tcPr>
          <w:p>
            <w:pPr>
              <w:spacing w:after="0"/>
              <w:rPr>
                <w:sz w:val="21"/>
                <w:szCs w:val="21"/>
                <w:color w:val="auto"/>
              </w:rPr>
            </w:pPr>
          </w:p>
        </w:tc>
        <w:tc>
          <w:tcPr>
            <w:tcW w:w="2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(IRS Employer</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83"/>
        </w:trPr>
        <w:tc>
          <w:tcPr>
            <w:tcW w:w="3360" w:type="dxa"/>
            <w:vAlign w:val="bottom"/>
            <w:gridSpan w:val="3"/>
          </w:tcPr>
          <w:p>
            <w:pPr>
              <w:jc w:val="center"/>
              <w:ind w:right="600"/>
              <w:spacing w:after="0"/>
              <w:rPr>
                <w:sz w:val="20"/>
                <w:szCs w:val="20"/>
                <w:color w:val="auto"/>
              </w:rPr>
            </w:pPr>
            <w:r>
              <w:rPr>
                <w:rFonts w:ascii="Times New Roman" w:cs="Times New Roman" w:eastAsia="Times New Roman" w:hAnsi="Times New Roman"/>
                <w:sz w:val="22"/>
                <w:szCs w:val="22"/>
                <w:color w:val="auto"/>
                <w:w w:val="98"/>
              </w:rPr>
              <w:t>of incorporation)</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Identification No.)</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86"/>
        </w:trPr>
        <w:tc>
          <w:tcPr>
            <w:tcW w:w="3360" w:type="dxa"/>
            <w:vAlign w:val="bottom"/>
            <w:gridSpan w:val="3"/>
          </w:tcPr>
          <w:p>
            <w:pPr>
              <w:jc w:val="center"/>
              <w:ind w:left="432"/>
              <w:spacing w:after="0"/>
              <w:rPr>
                <w:sz w:val="20"/>
                <w:szCs w:val="20"/>
                <w:color w:val="auto"/>
              </w:rPr>
            </w:pPr>
            <w:r>
              <w:rPr>
                <w:rFonts w:ascii="Times New Roman" w:cs="Times New Roman" w:eastAsia="Times New Roman" w:hAnsi="Times New Roman"/>
                <w:sz w:val="22"/>
                <w:szCs w:val="22"/>
                <w:color w:val="auto"/>
                <w:w w:val="96"/>
              </w:rPr>
              <w:t>P.O. Box 152, Forest City, Iowa</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0" w:type="dxa"/>
            <w:vAlign w:val="bottom"/>
            <w:gridSpan w:val="2"/>
          </w:tcPr>
          <w:p>
            <w:pPr>
              <w:jc w:val="right"/>
              <w:ind w:right="1512"/>
              <w:spacing w:after="0"/>
              <w:rPr>
                <w:sz w:val="20"/>
                <w:szCs w:val="20"/>
                <w:color w:val="auto"/>
              </w:rPr>
            </w:pPr>
            <w:r>
              <w:rPr>
                <w:rFonts w:ascii="Times New Roman" w:cs="Times New Roman" w:eastAsia="Times New Roman" w:hAnsi="Times New Roman"/>
                <w:sz w:val="22"/>
                <w:szCs w:val="22"/>
                <w:color w:val="auto"/>
              </w:rPr>
              <w:t>50436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6"/>
        </w:trPr>
        <w:tc>
          <w:tcPr>
            <w:tcW w:w="3900" w:type="dxa"/>
            <w:vAlign w:val="bottom"/>
            <w:tcBorders>
              <w:bottom w:val="single" w:sz="8" w:color="auto"/>
            </w:tcBorders>
            <w:gridSpan w:val="4"/>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r>
      <w:tr>
        <w:trPr>
          <w:trHeight w:val="357"/>
        </w:trPr>
        <w:tc>
          <w:tcPr>
            <w:tcW w:w="5360" w:type="dxa"/>
            <w:vAlign w:val="bottom"/>
            <w:gridSpan w:val="7"/>
          </w:tcPr>
          <w:p>
            <w:pPr>
              <w:jc w:val="center"/>
              <w:ind w:right="1460"/>
              <w:spacing w:after="0"/>
              <w:rPr>
                <w:sz w:val="20"/>
                <w:szCs w:val="20"/>
                <w:color w:val="auto"/>
              </w:rPr>
            </w:pPr>
            <w:r>
              <w:rPr>
                <w:rFonts w:ascii="Times New Roman" w:cs="Times New Roman" w:eastAsia="Times New Roman" w:hAnsi="Times New Roman"/>
                <w:sz w:val="22"/>
                <w:szCs w:val="22"/>
                <w:color w:val="auto"/>
                <w:w w:val="97"/>
              </w:rPr>
              <w:t>(Address of principal executive offices)</w:t>
            </w:r>
          </w:p>
        </w:tc>
        <w:tc>
          <w:tcPr>
            <w:tcW w:w="240" w:type="dxa"/>
            <w:vAlign w:val="bottom"/>
          </w:tcPr>
          <w:p>
            <w:pPr>
              <w:spacing w:after="0"/>
              <w:rPr>
                <w:sz w:val="24"/>
                <w:szCs w:val="24"/>
                <w:color w:val="auto"/>
              </w:rPr>
            </w:pPr>
          </w:p>
        </w:tc>
        <w:tc>
          <w:tcPr>
            <w:tcW w:w="2360" w:type="dxa"/>
            <w:vAlign w:val="bottom"/>
          </w:tcPr>
          <w:p>
            <w:pPr>
              <w:jc w:val="center"/>
              <w:ind w:right="1292"/>
              <w:spacing w:after="0"/>
              <w:rPr>
                <w:sz w:val="20"/>
                <w:szCs w:val="20"/>
                <w:color w:val="auto"/>
              </w:rPr>
            </w:pPr>
            <w:r>
              <w:rPr>
                <w:rFonts w:ascii="Times New Roman" w:cs="Times New Roman" w:eastAsia="Times New Roman" w:hAnsi="Times New Roman"/>
                <w:sz w:val="22"/>
                <w:szCs w:val="22"/>
                <w:color w:val="auto"/>
                <w:w w:val="98"/>
              </w:rPr>
              <w:t>(Zip Code)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50"/>
        </w:trPr>
        <w:tc>
          <w:tcPr>
            <w:tcW w:w="460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w w:val="98"/>
              </w:rPr>
              <w:t>Registrant’s telephone number, including area code</w:t>
            </w:r>
          </w:p>
        </w:tc>
        <w:tc>
          <w:tcPr>
            <w:tcW w:w="7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641-585-3535</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905510</wp:posOffset>
            </wp:positionH>
            <wp:positionV relativeFrom="paragraph">
              <wp:posOffset>154305</wp:posOffset>
            </wp:positionV>
            <wp:extent cx="54457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45760" cy="8890"/>
                    </a:xfrm>
                    <a:prstGeom prst="rect">
                      <a:avLst/>
                    </a:prstGeom>
                    <a:noFill/>
                  </pic:spPr>
                </pic:pic>
              </a:graphicData>
            </a:graphic>
          </wp:anchor>
        </w:drawing>
      </w:r>
    </w:p>
    <w:p>
      <w:pPr>
        <w:spacing w:after="0" w:line="2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(Former name or former address, if changed since last report.)</w:t>
      </w:r>
    </w:p>
    <w:p>
      <w:pPr>
        <w:spacing w:after="0" w:line="206" w:lineRule="exact"/>
        <w:rPr>
          <w:sz w:val="24"/>
          <w:szCs w:val="24"/>
          <w:color w:val="auto"/>
        </w:rPr>
      </w:pPr>
    </w:p>
    <w:p>
      <w:pPr>
        <w:ind w:left="1300"/>
        <w:spacing w:after="0" w:line="258"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58" w:lineRule="exact"/>
        <w:rPr>
          <w:sz w:val="24"/>
          <w:szCs w:val="24"/>
          <w:color w:val="auto"/>
        </w:rPr>
      </w:pPr>
    </w:p>
    <w:p>
      <w:pPr>
        <w:ind w:left="1840" w:hanging="535"/>
        <w:spacing w:after="0"/>
        <w:tabs>
          <w:tab w:leader="none" w:pos="18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communications pursuant to Rule 425 under the Securities Act (17 CFR 230.425)</w:t>
      </w:r>
    </w:p>
    <w:p>
      <w:pPr>
        <w:spacing w:after="0" w:line="233" w:lineRule="exact"/>
        <w:rPr>
          <w:rFonts w:ascii="Times New Roman" w:cs="Times New Roman" w:eastAsia="Times New Roman" w:hAnsi="Times New Roman"/>
          <w:sz w:val="22"/>
          <w:szCs w:val="22"/>
          <w:color w:val="auto"/>
        </w:rPr>
      </w:pPr>
    </w:p>
    <w:p>
      <w:pPr>
        <w:ind w:left="1840" w:hanging="535"/>
        <w:spacing w:after="0"/>
        <w:tabs>
          <w:tab w:leader="none" w:pos="18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Soliciting material pursuant to Rule 14a-12 under the Exchange Act (17 CFR 240.14a-12)</w:t>
      </w:r>
    </w:p>
    <w:p>
      <w:pPr>
        <w:spacing w:after="0" w:line="233" w:lineRule="exact"/>
        <w:rPr>
          <w:rFonts w:ascii="Times New Roman" w:cs="Times New Roman" w:eastAsia="Times New Roman" w:hAnsi="Times New Roman"/>
          <w:sz w:val="22"/>
          <w:szCs w:val="22"/>
          <w:color w:val="auto"/>
        </w:rPr>
      </w:pPr>
    </w:p>
    <w:p>
      <w:pPr>
        <w:ind w:left="1840" w:right="200" w:hanging="535"/>
        <w:spacing w:after="0" w:line="258" w:lineRule="auto"/>
        <w:tabs>
          <w:tab w:leader="none" w:pos="18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Pre-commencement communications pursuant to Rule 14d-2(b) under the Exchange Act (17 CFR 240.14d-2(b))</w:t>
      </w:r>
    </w:p>
    <w:p>
      <w:pPr>
        <w:spacing w:after="0" w:line="185" w:lineRule="exact"/>
        <w:rPr>
          <w:rFonts w:ascii="Times New Roman" w:cs="Times New Roman" w:eastAsia="Times New Roman" w:hAnsi="Times New Roman"/>
          <w:sz w:val="22"/>
          <w:szCs w:val="22"/>
          <w:color w:val="auto"/>
        </w:rPr>
      </w:pPr>
    </w:p>
    <w:p>
      <w:pPr>
        <w:ind w:left="1840" w:right="240" w:hanging="535"/>
        <w:spacing w:after="0" w:line="258" w:lineRule="auto"/>
        <w:tabs>
          <w:tab w:leader="none" w:pos="18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664845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7.01  Regulation FD Disclosure.</w:t>
      </w:r>
    </w:p>
    <w:p>
      <w:pPr>
        <w:spacing w:after="0" w:line="210" w:lineRule="exact"/>
        <w:rPr>
          <w:sz w:val="24"/>
          <w:szCs w:val="24"/>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Winnebago Industries, Inc. (Winnebago Industries) is filing herewith a press release issued on December 9, 2004, as Exhibit 99.1 which is included herein. The press release was issued to report that Winnebago Industries anticipates announcing first quarter of fiscal 2005 ended November 27, 2004 earnings on December 15, 2004. In connection with the announcement, Winnebago Industries will host a conference call on December 15, 2004 at 10:00 a.m. Eastern time. Details regarding the conference call are contained in the press release included herein.</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187" w:lineRule="exact"/>
        <w:rPr>
          <w:sz w:val="24"/>
          <w:szCs w:val="24"/>
          <w:color w:val="auto"/>
        </w:rPr>
      </w:pPr>
    </w:p>
    <w:tbl>
      <w:tblPr>
        <w:tblLayout w:type="fixed"/>
        <w:tblInd w:w="560" w:type="dxa"/>
        <w:tblCellMar>
          <w:top w:w="0" w:type="dxa"/>
          <w:left w:w="0" w:type="dxa"/>
          <w:bottom w:w="0" w:type="dxa"/>
          <w:right w:w="0" w:type="dxa"/>
        </w:tblCellMar>
      </w:tblPr>
      <w:tr>
        <w:trPr>
          <w:trHeight w:val="253"/>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1240" w:type="dxa"/>
            <w:vAlign w:val="bottom"/>
            <w:gridSpan w:val="4"/>
          </w:tcPr>
          <w:p>
            <w:pPr>
              <w:jc w:val="right"/>
              <w:ind w:right="520"/>
              <w:spacing w:after="0"/>
              <w:rPr>
                <w:sz w:val="20"/>
                <w:szCs w:val="20"/>
                <w:color w:val="auto"/>
              </w:rPr>
            </w:pPr>
            <w:r>
              <w:rPr>
                <w:rFonts w:ascii="Times New Roman" w:cs="Times New Roman" w:eastAsia="Times New Roman" w:hAnsi="Times New Roman"/>
                <w:sz w:val="22"/>
                <w:szCs w:val="22"/>
                <w:color w:val="auto"/>
                <w:w w:val="95"/>
              </w:rPr>
              <w:t>Exhibits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80" w:type="dxa"/>
            <w:vAlign w:val="bottom"/>
          </w:tcPr>
          <w:p>
            <w:pPr>
              <w:spacing w:after="0"/>
              <w:rPr>
                <w:sz w:val="21"/>
                <w:szCs w:val="21"/>
                <w:color w:val="auto"/>
              </w:rPr>
            </w:pPr>
          </w:p>
        </w:tc>
      </w:tr>
      <w:tr>
        <w:trPr>
          <w:trHeight w:val="20"/>
        </w:trPr>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r>
        <w:trPr>
          <w:trHeight w:val="475"/>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Exhibit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34"/>
        </w:trPr>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spacing w:after="0" w:line="235" w:lineRule="exact"/>
              <w:rPr>
                <w:sz w:val="20"/>
                <w:szCs w:val="20"/>
                <w:color w:val="auto"/>
              </w:rPr>
            </w:pPr>
            <w:r>
              <w:rPr>
                <w:rFonts w:ascii="Times New Roman" w:cs="Times New Roman" w:eastAsia="Times New Roman" w:hAnsi="Times New Roman"/>
                <w:sz w:val="22"/>
                <w:szCs w:val="22"/>
                <w:b w:val="1"/>
                <w:bCs w:val="1"/>
                <w:color w:val="auto"/>
              </w:rPr>
              <w:t>Number</w:t>
            </w:r>
          </w:p>
        </w:tc>
        <w:tc>
          <w:tcPr>
            <w:tcW w:w="6280" w:type="dxa"/>
            <w:vAlign w:val="bottom"/>
            <w:gridSpan w:val="3"/>
          </w:tcPr>
          <w:p>
            <w:pPr>
              <w:ind w:left="320"/>
              <w:spacing w:after="0" w:line="235" w:lineRule="exact"/>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76"/>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99.1</w:t>
            </w:r>
          </w:p>
        </w:tc>
        <w:tc>
          <w:tcPr>
            <w:tcW w:w="1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w w:val="93"/>
              </w:rPr>
              <w:t>Press release</w:t>
            </w:r>
          </w:p>
        </w:tc>
        <w:tc>
          <w:tcPr>
            <w:tcW w:w="48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of Winnebago Industries, Inc. dated December 9, 2004.</w:t>
            </w:r>
          </w:p>
        </w:tc>
      </w:tr>
    </w:tbl>
    <w:p>
      <w:pPr>
        <w:spacing w:after="0" w:line="200" w:lineRule="exact"/>
        <w:rPr>
          <w:sz w:val="24"/>
          <w:szCs w:val="24"/>
          <w:color w:val="auto"/>
        </w:rPr>
      </w:pPr>
    </w:p>
    <w:p>
      <w:pPr>
        <w:sectPr>
          <w:pgSz w:w="11900" w:h="16838" w:orient="portrait"/>
          <w:cols w:equalWidth="0" w:num="1">
            <w:col w:w="11320"/>
          </w:cols>
          <w:pgMar w:left="240" w:top="215" w:right="339" w:bottom="0" w:gutter="0" w:footer="0" w:header="0"/>
        </w:sectPr>
      </w:pPr>
    </w:p>
    <w:p>
      <w:pPr>
        <w:spacing w:after="0" w:line="28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SIGNATURES</w:t>
      </w:r>
    </w:p>
    <w:p>
      <w:pPr>
        <w:sectPr>
          <w:pgSz w:w="11900" w:h="16838" w:orient="portrait"/>
          <w:cols w:equalWidth="0" w:num="1">
            <w:col w:w="11320"/>
          </w:cols>
          <w:pgMar w:left="240" w:top="215" w:right="339" w:bottom="0" w:gutter="0" w:footer="0" w:header="0"/>
          <w:type w:val="continuous"/>
        </w:sectPr>
      </w:pPr>
    </w:p>
    <w:bookmarkStart w:id="1" w:name="page2"/>
    <w:bookmarkEnd w:id="1"/>
    <w:p>
      <w:pPr>
        <w:ind w:right="260"/>
        <w:spacing w:after="0" w:line="259"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p>
      <w:pPr>
        <w:spacing w:after="0"/>
        <w:tabs>
          <w:tab w:leader="none" w:pos="6060" w:val="left"/>
        </w:tabs>
        <w:rPr>
          <w:sz w:val="20"/>
          <w:szCs w:val="20"/>
          <w:color w:val="auto"/>
        </w:rPr>
      </w:pPr>
      <w:r>
        <w:rPr>
          <w:rFonts w:ascii="Times New Roman" w:cs="Times New Roman" w:eastAsia="Times New Roman" w:hAnsi="Times New Roman"/>
          <w:sz w:val="22"/>
          <w:szCs w:val="22"/>
          <w:color w:val="auto"/>
        </w:rPr>
        <w:t>Dated: December 10, 2004</w:t>
      </w:r>
      <w:r>
        <w:rPr>
          <w:sz w:val="20"/>
          <w:szCs w:val="20"/>
          <w:color w:val="auto"/>
        </w:rPr>
        <w:tab/>
      </w:r>
      <w:r>
        <w:rPr>
          <w:rFonts w:ascii="Times New Roman" w:cs="Times New Roman" w:eastAsia="Times New Roman" w:hAnsi="Times New Roman"/>
          <w:sz w:val="26"/>
          <w:szCs w:val="26"/>
          <w:color w:val="auto"/>
        </w:rPr>
        <w:t>W</w:t>
      </w:r>
      <w:r>
        <w:rPr>
          <w:rFonts w:ascii="Times New Roman" w:cs="Times New Roman" w:eastAsia="Times New Roman" w:hAnsi="Times New Roman"/>
          <w:sz w:val="17"/>
          <w:szCs w:val="17"/>
          <w:color w:val="auto"/>
        </w:rPr>
        <w:t>INNEBAGO</w:t>
      </w:r>
      <w:r>
        <w:rPr>
          <w:rFonts w:ascii="Times New Roman" w:cs="Times New Roman" w:eastAsia="Times New Roman" w:hAnsi="Times New Roman"/>
          <w:sz w:val="26"/>
          <w:szCs w:val="26"/>
          <w:color w:val="auto"/>
        </w:rPr>
        <w:t xml:space="preserve"> I</w:t>
      </w:r>
      <w:r>
        <w:rPr>
          <w:rFonts w:ascii="Times New Roman" w:cs="Times New Roman" w:eastAsia="Times New Roman" w:hAnsi="Times New Roman"/>
          <w:sz w:val="17"/>
          <w:szCs w:val="17"/>
          <w:color w:val="auto"/>
        </w:rPr>
        <w:t>NDUSTRIES,</w:t>
      </w:r>
      <w:r>
        <w:rPr>
          <w:rFonts w:ascii="Times New Roman" w:cs="Times New Roman" w:eastAsia="Times New Roman" w:hAnsi="Times New Roman"/>
          <w:sz w:val="26"/>
          <w:szCs w:val="26"/>
          <w:color w:val="auto"/>
        </w:rPr>
        <w:t xml:space="preserve"> I</w:t>
      </w:r>
      <w:r>
        <w:rPr>
          <w:rFonts w:ascii="Times New Roman" w:cs="Times New Roman" w:eastAsia="Times New Roman" w:hAnsi="Times New Roman"/>
          <w:sz w:val="17"/>
          <w:szCs w:val="17"/>
          <w:color w:val="auto"/>
        </w:rPr>
        <w:t>NC.</w:t>
      </w:r>
    </w:p>
    <w:p>
      <w:pPr>
        <w:spacing w:after="0" w:line="24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By: /s/ Bruce D. Hertzke</w:t>
      </w:r>
    </w:p>
    <w:p>
      <w:pPr>
        <w:spacing w:after="0" w:line="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Name: Bruce D. Hertzke</w:t>
      </w:r>
    </w:p>
    <w:p>
      <w:pPr>
        <w:ind w:left="608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200" w:type="dxa"/>
            <w:vAlign w:val="bottom"/>
          </w:tcPr>
          <w:p>
            <w:pPr>
              <w:spacing w:after="0"/>
              <w:rPr>
                <w:sz w:val="24"/>
                <w:szCs w:val="24"/>
                <w:color w:val="auto"/>
              </w:rPr>
            </w:pPr>
          </w:p>
        </w:tc>
        <w:tc>
          <w:tcPr>
            <w:tcW w:w="10220" w:type="dxa"/>
            <w:vAlign w:val="bottom"/>
          </w:tcPr>
          <w:p>
            <w:pPr>
              <w:ind w:left="36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497"/>
        </w:trPr>
        <w:tc>
          <w:tcPr>
            <w:tcW w:w="1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Exhibit</w:t>
            </w:r>
          </w:p>
        </w:tc>
        <w:tc>
          <w:tcPr>
            <w:tcW w:w="10220" w:type="dxa"/>
            <w:vAlign w:val="bottom"/>
          </w:tcPr>
          <w:p>
            <w:pPr>
              <w:spacing w:after="0"/>
              <w:rPr>
                <w:sz w:val="24"/>
                <w:szCs w:val="24"/>
                <w:color w:val="auto"/>
              </w:rPr>
            </w:pPr>
          </w:p>
        </w:tc>
      </w:tr>
      <w:tr>
        <w:trPr>
          <w:trHeight w:val="247"/>
        </w:trPr>
        <w:tc>
          <w:tcPr>
            <w:tcW w:w="1200" w:type="dxa"/>
            <w:vAlign w:val="bottom"/>
          </w:tcPr>
          <w:p>
            <w:pPr>
              <w:spacing w:after="0" w:line="247" w:lineRule="exact"/>
              <w:rPr>
                <w:sz w:val="20"/>
                <w:szCs w:val="20"/>
                <w:color w:val="auto"/>
              </w:rPr>
            </w:pPr>
            <w:r>
              <w:rPr>
                <w:rFonts w:ascii="Times New Roman" w:cs="Times New Roman" w:eastAsia="Times New Roman" w:hAnsi="Times New Roman"/>
                <w:sz w:val="22"/>
                <w:szCs w:val="22"/>
                <w:b w:val="1"/>
                <w:bCs w:val="1"/>
                <w:color w:val="auto"/>
              </w:rPr>
              <w:t>Number</w:t>
            </w:r>
          </w:p>
        </w:tc>
        <w:tc>
          <w:tcPr>
            <w:tcW w:w="10220" w:type="dxa"/>
            <w:vAlign w:val="bottom"/>
          </w:tcPr>
          <w:p>
            <w:pPr>
              <w:ind w:left="440"/>
              <w:spacing w:after="0" w:line="247" w:lineRule="exact"/>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83"/>
        </w:trPr>
        <w:tc>
          <w:tcPr>
            <w:tcW w:w="120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99.1</w:t>
            </w:r>
          </w:p>
        </w:tc>
        <w:tc>
          <w:tcPr>
            <w:tcW w:w="102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Press release of Winnebago Industries, Inc. dated December 9, 2004.</w:t>
            </w:r>
          </w:p>
        </w:tc>
      </w:tr>
      <w:tr>
        <w:trPr>
          <w:trHeight w:val="1092"/>
        </w:trPr>
        <w:tc>
          <w:tcPr>
            <w:tcW w:w="1200" w:type="dxa"/>
            <w:vAlign w:val="bottom"/>
            <w:tcBorders>
              <w:bottom w:val="single" w:sz="8" w:color="808080"/>
            </w:tcBorders>
          </w:tcPr>
          <w:p>
            <w:pPr>
              <w:spacing w:after="0"/>
              <w:rPr>
                <w:sz w:val="24"/>
                <w:szCs w:val="24"/>
                <w:color w:val="auto"/>
              </w:rPr>
            </w:pPr>
          </w:p>
        </w:tc>
        <w:tc>
          <w:tcPr>
            <w:tcW w:w="10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Sheila Davis, PR/IR Manager – 641-585-6803</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WINNEBAGO INDUSTRIES ANNOUNCES FIRST QUARTER</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FINANCIAL RESULTS CONFERENCE CALL TO BE HELD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ON DECEMBER 15, 2004</w:t>
      </w:r>
    </w:p>
    <w:p>
      <w:pPr>
        <w:spacing w:after="0" w:line="213"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FOREST CITY, IOWA, December 9, 2004 – Winnebago Industries, Inc. (NYSE: WGO), the nation’s leading manufacturer of motor homes, will host a conference call on Wednesday, December 15, 2004 at 10 am ET to discuss the financial results of its first quarter of fiscal 2005 ended November 27, 2004. The Company will release its financial results on December 15 at 7 am ET.</w:t>
      </w:r>
    </w:p>
    <w:p>
      <w:pPr>
        <w:spacing w:after="0" w:line="186" w:lineRule="exact"/>
        <w:rPr>
          <w:sz w:val="20"/>
          <w:szCs w:val="20"/>
          <w:color w:val="auto"/>
        </w:rPr>
      </w:pPr>
    </w:p>
    <w:p>
      <w:pPr>
        <w:ind w:right="760"/>
        <w:spacing w:after="0" w:line="262" w:lineRule="auto"/>
        <w:rPr>
          <w:sz w:val="20"/>
          <w:szCs w:val="20"/>
          <w:color w:val="auto"/>
        </w:rPr>
      </w:pPr>
      <w:r>
        <w:rPr>
          <w:rFonts w:ascii="Times New Roman" w:cs="Times New Roman" w:eastAsia="Times New Roman" w:hAnsi="Times New Roman"/>
          <w:sz w:val="18"/>
          <w:szCs w:val="18"/>
          <w:color w:val="auto"/>
        </w:rPr>
        <w:t xml:space="preserve">The conference call may be heard live from the Company’s website, </w:t>
      </w:r>
      <w:r>
        <w:rPr>
          <w:rFonts w:ascii="Times New Roman" w:cs="Times New Roman" w:eastAsia="Times New Roman" w:hAnsi="Times New Roman"/>
          <w:sz w:val="18"/>
          <w:szCs w:val="18"/>
          <w:u w:val="single" w:color="auto"/>
          <w:color w:val="auto"/>
        </w:rPr>
        <w:t>www.winnebagoind.com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www.shareholder.com/winnebago/medialist.cfm</w:t>
      </w:r>
      <w:r>
        <w:rPr>
          <w:rFonts w:ascii="Times New Roman" w:cs="Times New Roman" w:eastAsia="Times New Roman" w:hAnsi="Times New Roman"/>
          <w:sz w:val="18"/>
          <w:szCs w:val="18"/>
          <w:color w:val="auto"/>
        </w:rPr>
        <w:t xml:space="preserve"> or from </w:t>
      </w:r>
      <w:r>
        <w:rPr>
          <w:rFonts w:ascii="Times New Roman" w:cs="Times New Roman" w:eastAsia="Times New Roman" w:hAnsi="Times New Roman"/>
          <w:sz w:val="18"/>
          <w:szCs w:val="18"/>
          <w:u w:val="single" w:color="auto"/>
          <w:color w:val="auto"/>
        </w:rPr>
        <w:t>www.vcall.com</w:t>
      </w:r>
      <w:r>
        <w:rPr>
          <w:rFonts w:ascii="Times New Roman" w:cs="Times New Roman" w:eastAsia="Times New Roman" w:hAnsi="Times New Roman"/>
          <w:sz w:val="18"/>
          <w:szCs w:val="18"/>
          <w:color w:val="auto"/>
        </w:rPr>
        <w:t xml:space="preserve">. If you are unable to participate during the live webcast, the call will be archived on the web site. To access the replay, click on </w:t>
      </w:r>
      <w:r>
        <w:rPr>
          <w:rFonts w:ascii="Times New Roman" w:cs="Times New Roman" w:eastAsia="Times New Roman" w:hAnsi="Times New Roman"/>
          <w:sz w:val="18"/>
          <w:szCs w:val="18"/>
          <w:u w:val="single" w:color="auto"/>
          <w:color w:val="auto"/>
        </w:rPr>
        <w:t>www.winnebagoind.com</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Minimum requirements to listen to the webcast: either Windows Media Player or RealPlayer. The Windows Media Player software is downloadable free from: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www.microsoft.com/windows/windowsmedia/download/default.asp</w:t>
      </w:r>
      <w:r>
        <w:rPr>
          <w:rFonts w:ascii="Times New Roman" w:cs="Times New Roman" w:eastAsia="Times New Roman" w:hAnsi="Times New Roman"/>
          <w:sz w:val="18"/>
          <w:szCs w:val="18"/>
          <w:color w:val="auto"/>
        </w:rPr>
        <w:t>, and at least a 28.8 Kbps connection to the Internet. Or: The RealPlayer 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downloadable free from: </w:t>
      </w:r>
      <w:r>
        <w:rPr>
          <w:rFonts w:ascii="Times New Roman" w:cs="Times New Roman" w:eastAsia="Times New Roman" w:hAnsi="Times New Roman"/>
          <w:sz w:val="18"/>
          <w:szCs w:val="18"/>
          <w:u w:val="single" w:color="auto"/>
          <w:color w:val="auto"/>
        </w:rPr>
        <w:t>www.real.com/products/player/index.html</w:t>
      </w:r>
      <w:r>
        <w:rPr>
          <w:rFonts w:ascii="Times New Roman" w:cs="Times New Roman" w:eastAsia="Times New Roman" w:hAnsi="Times New Roman"/>
          <w:sz w:val="18"/>
          <w:szCs w:val="18"/>
          <w:color w:val="auto"/>
        </w:rPr>
        <w:t>, and at least a 28.8 Kbps connection to the Internet.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Winnebago Industries</w:t>
      </w:r>
    </w:p>
    <w:p>
      <w:pPr>
        <w:spacing w:after="0" w:line="23" w:lineRule="exact"/>
        <w:rPr>
          <w:sz w:val="20"/>
          <w:szCs w:val="20"/>
          <w:color w:val="auto"/>
        </w:rPr>
      </w:pPr>
    </w:p>
    <w:p>
      <w:pPr>
        <w:ind w:right="120" w:firstLine="348"/>
        <w:spacing w:after="0" w:line="252" w:lineRule="auto"/>
        <w:rPr>
          <w:sz w:val="20"/>
          <w:szCs w:val="20"/>
          <w:color w:val="auto"/>
        </w:rPr>
      </w:pPr>
      <w:r>
        <w:rPr>
          <w:rFonts w:ascii="Times New Roman" w:cs="Times New Roman" w:eastAsia="Times New Roman" w:hAnsi="Times New Roman"/>
          <w:sz w:val="18"/>
          <w:szCs w:val="18"/>
          <w:color w:val="auto"/>
        </w:rPr>
        <w:t xml:space="preserve">Winnebago Industries, Inc. is the leading United States manufacturer of motor homes, self-contained recreation vehicles used primarily in leisure travel and outdoor recreation activities. The Company builds quality motor homes under the Winnebago, Itasca or Rialta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Times New Roman" w:cs="Times New Roman" w:eastAsia="Times New Roman" w:hAnsi="Times New Roman"/>
          <w:sz w:val="18"/>
          <w:szCs w:val="18"/>
          <w:u w:val="single" w:color="auto"/>
          <w:color w:val="auto"/>
        </w:rPr>
        <w:t>http://www.winnebagoind.com/html/company/investorRelations.html</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2019-12-13T08:11:59Z</dcterms:created>
  <dcterms:modified xsi:type="dcterms:W3CDTF">2019-12-13T08:11:59Z</dcterms:modified>
</cp:coreProperties>
</file>