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On June 20, 2024, Winnebago Industries, Inc. (the "Company") issued a press release to report financial results for the third quarter of Fiscal 2024 ended May 25, 2024. A copy of the press release is attached as Exhibit 99.1 and is incorporated by reference herein.</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2024.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7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June 20, 2024</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500" w:type="dxa"/>
            <w:vAlign w:val="bottom"/>
            <w:gridSpan w:val="2"/>
          </w:tcPr>
          <w:p>
            <w:pPr>
              <w:ind w:left="9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140" w:type="dxa"/>
            <w:vAlign w:val="bottom"/>
          </w:tcPr>
          <w:p>
            <w:pPr>
              <w:ind w:left="160"/>
              <w:spacing w:after="0"/>
              <w:rPr>
                <w:sz w:val="20"/>
                <w:szCs w:val="20"/>
                <w:color w:val="auto"/>
              </w:rPr>
            </w:pPr>
            <w:r>
              <w:rPr>
                <w:rFonts w:ascii="Arial" w:cs="Arial" w:eastAsia="Arial" w:hAnsi="Arial"/>
                <w:sz w:val="16"/>
                <w:szCs w:val="16"/>
                <w:color w:val="auto"/>
              </w:rPr>
              <w:t>June 20, 2024</w:t>
            </w:r>
          </w:p>
        </w:tc>
        <w:tc>
          <w:tcPr>
            <w:tcW w:w="1780" w:type="dxa"/>
            <w:vAlign w:val="bottom"/>
          </w:tcPr>
          <w:p>
            <w:pPr>
              <w:ind w:left="9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ind w:left="9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ind w:left="9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THIRD QUARTER FISCAL 2024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Resilient Profitability, Supported by Solid Sequential Improvement in Towable RV and Marine Segments --</w:t>
      </w:r>
    </w:p>
    <w:p>
      <w:pPr>
        <w:spacing w:after="0" w:line="194" w:lineRule="exact"/>
        <w:rPr>
          <w:sz w:val="20"/>
          <w:szCs w:val="20"/>
          <w:color w:val="auto"/>
        </w:rPr>
      </w:pPr>
    </w:p>
    <w:p>
      <w:pPr>
        <w:ind w:left="180" w:hanging="155"/>
        <w:spacing w:after="0"/>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Barletta Accelerates its Share Momentum in the U.S. Aluminum Pontoon Market Achieving Double Digit Market Share in the Most Recent Three-</w:t>
      </w:r>
    </w:p>
    <w:p>
      <w:pPr>
        <w:spacing w:after="0" w:line="194" w:lineRule="exact"/>
        <w:rPr>
          <w:rFonts w:ascii="Arial" w:cs="Arial" w:eastAsia="Arial" w:hAnsi="Arial"/>
          <w:sz w:val="16"/>
          <w:szCs w:val="16"/>
          <w:b w:val="1"/>
          <w:bCs w:val="1"/>
          <w:color w:val="auto"/>
        </w:rPr>
      </w:pPr>
    </w:p>
    <w:p>
      <w:pPr>
        <w:ind w:left="4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and Six-Month Periods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p>
      <w:pPr>
        <w:spacing w:after="0" w:line="136" w:lineRule="exact"/>
        <w:rPr>
          <w:rFonts w:ascii="Arial" w:cs="Arial" w:eastAsia="Arial" w:hAnsi="Arial"/>
          <w:sz w:val="16"/>
          <w:szCs w:val="16"/>
          <w:b w:val="1"/>
          <w:bCs w:val="1"/>
          <w:color w:val="auto"/>
        </w:rPr>
      </w:pPr>
    </w:p>
    <w:p>
      <w:pPr>
        <w:ind w:left="320" w:hanging="151"/>
        <w:spacing w:after="0"/>
        <w:tabs>
          <w:tab w:leader="none" w:pos="32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Company Returns $87.8 Million to Shareholders Through Share Repurchases and Dividends Through the First Nine Months of Fiscal 2024 --</w:t>
      </w:r>
    </w:p>
    <w:p>
      <w:pPr>
        <w:spacing w:after="0" w:line="289" w:lineRule="exact"/>
        <w:rPr>
          <w:sz w:val="20"/>
          <w:szCs w:val="20"/>
          <w:color w:val="auto"/>
        </w:rPr>
      </w:pPr>
    </w:p>
    <w:p>
      <w:pPr>
        <w:ind w:right="580"/>
        <w:spacing w:after="0" w:line="409" w:lineRule="auto"/>
        <w:rPr>
          <w:sz w:val="20"/>
          <w:szCs w:val="20"/>
          <w:color w:val="auto"/>
        </w:rPr>
      </w:pPr>
      <w:r>
        <w:rPr>
          <w:rFonts w:ascii="Arial" w:cs="Arial" w:eastAsia="Arial" w:hAnsi="Arial"/>
          <w:sz w:val="16"/>
          <w:szCs w:val="16"/>
          <w:b w:val="1"/>
          <w:bCs w:val="1"/>
          <w:color w:val="auto"/>
        </w:rPr>
        <w:t xml:space="preserve">EDEN PRAIRIE, MINN, June 20, 2024 </w:t>
      </w:r>
      <w:r>
        <w:rPr>
          <w:rFonts w:ascii="Arial" w:cs="Arial" w:eastAsia="Arial" w:hAnsi="Arial"/>
          <w:sz w:val="16"/>
          <w:szCs w:val="16"/>
          <w:color w:val="auto"/>
        </w:rPr>
        <w:t>-- Winnebago Industries, Inc. (NYSE: WGO), a leading outdoor lifestyle product manufacturer,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Company's fiscal 2024 third quarter ended May 25,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Fiscal 2024 Financial Summary</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of $786.0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of $118.2 million, representing 15.0%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of $0.96; adjusted diluted earnings per share of $1.13</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of $58.0 million, representing 7.4% adjusted EBITDA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and cash equivalents of $318.1 million at quarter-end, up 2.6% from year-end fiscal 2023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ind w:right="140"/>
        <w:spacing w:after="0" w:line="373" w:lineRule="auto"/>
        <w:rPr>
          <w:sz w:val="20"/>
          <w:szCs w:val="20"/>
          <w:color w:val="auto"/>
        </w:rPr>
      </w:pPr>
      <w:r>
        <w:rPr>
          <w:rFonts w:ascii="Arial" w:cs="Arial" w:eastAsia="Arial" w:hAnsi="Arial"/>
          <w:sz w:val="16"/>
          <w:szCs w:val="16"/>
          <w:color w:val="auto"/>
        </w:rPr>
        <w:t>“While outdoor industry market conditions remain challenged given inconsistent retail patterns and sustained dealer discipline relative to field inventory levels, we are generally pleased with the resiliency of our portfolio, as our teams balance the pursuit of long-term share, profitability and customer satisfaction across our premium brands,” said Michael Happe, President and Chief Executive Officer. “Driven by our Towable RV and Marine segments, we delivered sequential consolidated margin growth in the third quarter. Notwithstanding difficult retail headwinds in the Motorhome segment, our Towable RV business generated higher revenue versus the same period a year ago and our Barletta pontoon retail share grew to double digits for the trailing three- and six-month periods through April. We are also pleased to have returned more than $29 million to investors this quarter through share repurchases and dividends, while maintaining investments in future growth initiatives and managing a healthy balance sheet.”</w:t>
      </w:r>
    </w:p>
    <w:p>
      <w:pPr>
        <w:spacing w:after="0" w:line="212" w:lineRule="exact"/>
        <w:rPr>
          <w:sz w:val="20"/>
          <w:szCs w:val="20"/>
          <w:color w:val="auto"/>
        </w:rPr>
      </w:pPr>
    </w:p>
    <w:p>
      <w:pPr>
        <w:ind w:right="100"/>
        <w:spacing w:after="0" w:line="379" w:lineRule="auto"/>
        <w:rPr>
          <w:sz w:val="20"/>
          <w:szCs w:val="20"/>
          <w:color w:val="auto"/>
        </w:rPr>
      </w:pPr>
      <w:r>
        <w:rPr>
          <w:rFonts w:ascii="Arial" w:cs="Arial" w:eastAsia="Arial" w:hAnsi="Arial"/>
          <w:sz w:val="16"/>
          <w:szCs w:val="16"/>
          <w:color w:val="auto"/>
        </w:rPr>
        <w:t>“The combination of affordability and innovation remains a focal point of product development at Winnebago Industries – valued differentiation on respected brands our consumers can trust,” Happe said. “Recent introductions of economical travel trailers from our Grand Design and Winnebago brands, plus continued market penetration with the opening price Aria line within our Barletta business are evidence of this focus. We are also particularly excited about the upcoming market release in our fourth quarter of the Grand Design Lineage motorhome product as well as the Winnebago Connect intelligent control system being introduced on the Winnebago Navion line. Both strategies open new growth opportunities for our organization.”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Third Quarter Fiscal 2024 Results</w:t>
      </w:r>
    </w:p>
    <w:p>
      <w:pPr>
        <w:spacing w:after="0" w:line="100" w:lineRule="exact"/>
        <w:rPr>
          <w:sz w:val="20"/>
          <w:szCs w:val="20"/>
          <w:color w:val="auto"/>
        </w:rPr>
      </w:pPr>
    </w:p>
    <w:p>
      <w:pPr>
        <w:ind w:right="360"/>
        <w:spacing w:after="0" w:line="392" w:lineRule="auto"/>
        <w:rPr>
          <w:sz w:val="20"/>
          <w:szCs w:val="20"/>
          <w:color w:val="auto"/>
        </w:rPr>
      </w:pPr>
      <w:r>
        <w:rPr>
          <w:rFonts w:ascii="Arial" w:cs="Arial" w:eastAsia="Arial" w:hAnsi="Arial"/>
          <w:sz w:val="16"/>
          <w:szCs w:val="16"/>
          <w:color w:val="auto"/>
        </w:rPr>
        <w:t>Revenues were $786.0 million, a decrease of 12.7% compared to $900.8 million in the third quarter of last year, driven by product mix and lower volume related to market conditions.</w:t>
      </w:r>
    </w:p>
    <w:p>
      <w:pPr>
        <w:spacing w:after="0" w:line="101" w:lineRule="exact"/>
        <w:rPr>
          <w:sz w:val="20"/>
          <w:szCs w:val="20"/>
          <w:color w:val="auto"/>
        </w:rPr>
      </w:pPr>
    </w:p>
    <w:p>
      <w:pPr>
        <w:ind w:right="160"/>
        <w:spacing w:after="0" w:line="389" w:lineRule="auto"/>
        <w:rPr>
          <w:sz w:val="20"/>
          <w:szCs w:val="20"/>
          <w:color w:val="auto"/>
        </w:rPr>
      </w:pPr>
      <w:r>
        <w:rPr>
          <w:rFonts w:ascii="Arial" w:cs="Arial" w:eastAsia="Arial" w:hAnsi="Arial"/>
          <w:sz w:val="16"/>
          <w:szCs w:val="16"/>
          <w:color w:val="auto"/>
        </w:rPr>
        <w:t>Gross profit was $118.2 million, a decrease of 22.0% compared to $151.4 million in the third quarter of last year. Gross profit margin decreased 180 basis points in the quarter to 15.0% as a result of deleverage, operational efficiency challenges, and higher warranty expense due to a favorable prior year trend, partially offset by cost containment efforts.</w:t>
      </w:r>
    </w:p>
    <w:p>
      <w:pPr>
        <w:spacing w:after="0" w:line="91" w:lineRule="exact"/>
        <w:rPr>
          <w:sz w:val="20"/>
          <w:szCs w:val="20"/>
          <w:color w:val="auto"/>
        </w:rPr>
      </w:pPr>
    </w:p>
    <w:p>
      <w:pPr>
        <w:ind w:right="300"/>
        <w:spacing w:after="0" w:line="409" w:lineRule="auto"/>
        <w:rPr>
          <w:sz w:val="20"/>
          <w:szCs w:val="20"/>
          <w:color w:val="auto"/>
        </w:rPr>
      </w:pPr>
      <w:r>
        <w:rPr>
          <w:rFonts w:ascii="Arial" w:cs="Arial" w:eastAsia="Arial" w:hAnsi="Arial"/>
          <w:sz w:val="16"/>
          <w:szCs w:val="16"/>
          <w:color w:val="auto"/>
        </w:rPr>
        <w:t>Selling, general and administrative expenses were $69.1 million, an increase of 3.7% compared to $66.5 million in the third quarter of last year, driven by strategic investments in engineering, digital asset development and increased data and information technology capabilities.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$43.5 million, a decrease of 46.0% compared to $80.5 million in the third quarter of last year.</w:t>
      </w:r>
    </w:p>
    <w:p>
      <w:pPr>
        <w:spacing w:after="0" w:line="235" w:lineRule="exact"/>
        <w:rPr>
          <w:sz w:val="20"/>
          <w:szCs w:val="20"/>
          <w:color w:val="auto"/>
        </w:rPr>
      </w:pPr>
    </w:p>
    <w:p>
      <w:pPr>
        <w:ind w:right="120"/>
        <w:spacing w:after="0" w:line="389" w:lineRule="auto"/>
        <w:rPr>
          <w:sz w:val="20"/>
          <w:szCs w:val="20"/>
          <w:color w:val="auto"/>
        </w:rPr>
      </w:pPr>
      <w:r>
        <w:rPr>
          <w:rFonts w:ascii="Arial" w:cs="Arial" w:eastAsia="Arial" w:hAnsi="Arial"/>
          <w:sz w:val="16"/>
          <w:szCs w:val="16"/>
          <w:color w:val="auto"/>
        </w:rPr>
        <w:t>Net income was $29.0 million, compared to net income of $59.1 million in the third quarter of last year. Reported earnings per diluted share was $0.96, compared to reported earnings per diluted share of $1.71 in the same period last year. Adjusted earnings per diluted share was $1.13, a decrease of 46.9% compared to adjusted earnings per diluted share of $2.13 in the third quarter of last year.</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$58.0 million, a decrease of 39.8%, compared to $96.4 million last year.</w:t>
      </w:r>
    </w:p>
    <w:p>
      <w:pPr>
        <w:spacing w:after="0" w:line="343"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“We have made strong progress during the fiscal year to reduce aging RV field inventory in a fiscally responsible manner; our teams continue to work closely with our dealer partners to monitor the complexion of their inventory and match production and shipments with retail demand,” Happe said. “This discipline extends to our Marine segment as well, where we have particularly emphasized dealer inventory health and aggressively positioned ourselves well for the upcoming model year 2025 rollout. Overall, while the challenges of today require constant diligence to navigate, our Company and brands are stronger than ever before and with ongoing investments in product, people, systems, and capabilities like digital connectivity we are well situated to grow profitably as the cycle turns more positive in the future.”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Third Quarter Fiscal 2024 Segments Summary</w:t>
            </w:r>
          </w:p>
        </w:tc>
        <w:tc>
          <w:tcPr>
            <w:tcW w:w="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45"/>
        </w:trPr>
        <w:tc>
          <w:tcPr>
            <w:tcW w:w="466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8"/>
                <w:szCs w:val="18"/>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384.1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41.9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400"/>
              <w:spacing w:after="0"/>
              <w:rPr>
                <w:sz w:val="20"/>
                <w:szCs w:val="20"/>
                <w:color w:val="auto"/>
              </w:rPr>
            </w:pPr>
            <w:r>
              <w:rPr>
                <w:rFonts w:ascii="Arial" w:cs="Arial" w:eastAsia="Arial" w:hAnsi="Arial"/>
                <w:sz w:val="16"/>
                <w:szCs w:val="16"/>
                <w:color w:val="auto"/>
              </w:rPr>
              <w:t>53.8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14.0 %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bps</w:t>
            </w:r>
          </w:p>
        </w:tc>
      </w:tr>
      <w:tr>
        <w:trPr>
          <w:trHeight w:val="58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24"/>
                <w:szCs w:val="24"/>
                <w:color w:val="auto"/>
              </w:rPr>
            </w:pP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236.0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bl>
    <w:p>
      <w:pPr>
        <w:spacing w:after="0" w:line="2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63" w:lineRule="exact"/>
        <w:rPr>
          <w:rFonts w:ascii="Arial" w:cs="Arial" w:eastAsia="Arial" w:hAnsi="Arial"/>
          <w:sz w:val="21"/>
          <w:szCs w:val="21"/>
          <w:color w:val="auto"/>
          <w:vertAlign w:val="superscript"/>
        </w:rPr>
      </w:pPr>
    </w:p>
    <w:p>
      <w:pPr>
        <w:ind w:left="660" w:right="46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Revenues for the Towable RV segment were up compared to the prior year, primarily driven by an increase in unit volume, partially offset by a reduction in average selling price per unit related to product mix.</w:t>
      </w:r>
    </w:p>
    <w:p>
      <w:pPr>
        <w:spacing w:after="0" w:line="1" w:lineRule="exact"/>
        <w:rPr>
          <w:rFonts w:ascii="Arial" w:cs="Arial" w:eastAsia="Arial" w:hAnsi="Arial"/>
          <w:sz w:val="16"/>
          <w:szCs w:val="16"/>
          <w:color w:val="auto"/>
        </w:rPr>
      </w:pPr>
    </w:p>
    <w:p>
      <w:pPr>
        <w:ind w:left="660" w:right="40" w:hanging="328"/>
        <w:spacing w:after="0" w:line="363"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operational efficiency challenges, partially offset by lower discounts and allowances. In addition, results for the third quarter of fiscal 2023 benefited from a favorable warranty expense trend, which did not recur in the third quarter of fiscal 2024.</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Backlog decreased due to current market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66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4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8"/>
                <w:szCs w:val="18"/>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374.4</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26.8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 bps</w:t>
            </w:r>
          </w:p>
        </w:tc>
      </w:tr>
      <w:tr>
        <w:trPr>
          <w:trHeight w:val="581"/>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24"/>
                <w:szCs w:val="24"/>
                <w:color w:val="auto"/>
              </w:rPr>
            </w:pP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bl>
    <w:p>
      <w:pPr>
        <w:spacing w:after="0" w:line="6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260" w:hanging="328"/>
        <w:spacing w:after="0" w:line="361"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Revenues for the Motorhome RV segment were down from the prior year, due to a decline in unit volume related to market conditions and higher levels of discounts and allowances, partially offset by price increases related to higher motorized chassis costs.</w:t>
      </w:r>
    </w:p>
    <w:p>
      <w:pPr>
        <w:ind w:left="660" w:right="58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and operational efficiency challenges, partially offset by cost containment efforts.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Backlog decreased due to current market conditions and a cautious dealer network.</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gridSpan w:val="2"/>
          </w:tcPr>
          <w:p>
            <w:pPr>
              <w:spacing w:after="0"/>
              <w:rPr>
                <w:sz w:val="20"/>
                <w:szCs w:val="20"/>
                <w:color w:val="auto"/>
              </w:rPr>
            </w:pPr>
            <w:r>
              <w:rPr>
                <w:rFonts w:ascii="Arial" w:cs="Arial" w:eastAsia="Arial" w:hAnsi="Arial"/>
                <w:sz w:val="16"/>
                <w:szCs w:val="16"/>
                <w:color w:val="auto"/>
              </w:rPr>
              <w:t>Marine</w:t>
            </w:r>
          </w:p>
        </w:tc>
        <w:tc>
          <w:tcPr>
            <w:tcW w:w="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Pr>
          <w:p>
            <w:pPr>
              <w:spacing w:after="0"/>
              <w:rPr>
                <w:sz w:val="18"/>
                <w:szCs w:val="18"/>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400"/>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4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13.4 %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bps</w:t>
            </w:r>
          </w:p>
        </w:tc>
      </w:tr>
      <w:tr>
        <w:trPr>
          <w:trHeight w:val="580"/>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May 25,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May 27,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146.3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bl>
    <w:p>
      <w:pPr>
        <w:spacing w:after="0" w:line="6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480" w:hanging="328"/>
        <w:spacing w:after="0" w:line="369"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Revenues for the Marine segment were down from the prior year, primarily driven by a decline in unit volume related to market conditions and product mix.</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Segment Adjusted EBITDA decreased compared to the prior year, due to deleverage, partially offset by cost containment efforts.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Backlog decreased primarily driven by a cautious dealer network.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60"/>
        <w:spacing w:after="0" w:line="389" w:lineRule="auto"/>
        <w:rPr>
          <w:sz w:val="20"/>
          <w:szCs w:val="20"/>
          <w:color w:val="auto"/>
        </w:rPr>
      </w:pPr>
      <w:r>
        <w:rPr>
          <w:rFonts w:ascii="Arial" w:cs="Arial" w:eastAsia="Arial" w:hAnsi="Arial"/>
          <w:sz w:val="16"/>
          <w:szCs w:val="16"/>
          <w:color w:val="auto"/>
        </w:rPr>
        <w:t>As of May 25, 2024, cash and cash equivalents totaled $318.1 million. The Company had total outstanding debt of $695.4 million ($709.3 million of debt, net of debt issuance costs of $13.9 million) and working capital of $581.9 million. Cash flow provided by operations was $99.4 million in the fiscal 2024 third quarter.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Quarterly Cash Dividend and Share Repurchase</w:t>
      </w:r>
    </w:p>
    <w:p>
      <w:pPr>
        <w:spacing w:after="0" w:line="100" w:lineRule="exact"/>
        <w:rPr>
          <w:sz w:val="20"/>
          <w:szCs w:val="20"/>
          <w:color w:val="auto"/>
        </w:rPr>
      </w:pPr>
    </w:p>
    <w:p>
      <w:pPr>
        <w:ind w:right="140"/>
        <w:spacing w:after="0" w:line="409" w:lineRule="auto"/>
        <w:rPr>
          <w:sz w:val="20"/>
          <w:szCs w:val="20"/>
          <w:color w:val="auto"/>
        </w:rPr>
      </w:pPr>
      <w:r>
        <w:rPr>
          <w:rFonts w:ascii="Arial" w:cs="Arial" w:eastAsia="Arial" w:hAnsi="Arial"/>
          <w:sz w:val="16"/>
          <w:szCs w:val="16"/>
          <w:color w:val="auto"/>
        </w:rPr>
        <w:t>On May 15, 2024, the Company’s Board of Directors approved a quarterly cash dividend of $0.31 per share payable on June 26, 2024, to common stockholders of record at the close of business on June 12, 2024. Winnebago Industries executed share repurchases of $20 million during the third quarter.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FY 2024 Conference Call</w:t>
      </w:r>
    </w:p>
    <w:p>
      <w:pPr>
        <w:spacing w:after="0" w:line="100" w:lineRule="exact"/>
        <w:rPr>
          <w:sz w:val="20"/>
          <w:szCs w:val="20"/>
          <w:color w:val="auto"/>
        </w:rPr>
      </w:pPr>
    </w:p>
    <w:p>
      <w:pPr>
        <w:ind w:right="240"/>
        <w:spacing w:after="0" w:line="383" w:lineRule="auto"/>
        <w:rPr>
          <w:sz w:val="20"/>
          <w:szCs w:val="20"/>
          <w:color w:val="auto"/>
        </w:rPr>
      </w:pPr>
      <w:r>
        <w:rPr>
          <w:rFonts w:ascii="Arial" w:cs="Arial" w:eastAsia="Arial" w:hAnsi="Arial"/>
          <w:sz w:val="16"/>
          <w:szCs w:val="16"/>
          <w:color w:val="auto"/>
        </w:rPr>
        <w:t>Winnebago Industries, Inc. will discuss third quarter fiscal 2024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40"/>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and risks related to our 2025 Convertible Notes, 2030 Convertible Notes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139"/>
          </w:cols>
          <w:pgMar w:left="320" w:top="935" w:right="1440" w:bottom="1440" w:gutter="0" w:footer="0" w:header="0"/>
        </w:sectPr>
      </w:pPr>
    </w:p>
    <w:bookmarkStart w:id="8" w:name="page9"/>
    <w:bookmarkEnd w:id="8"/>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02" w:lineRule="exact"/>
        <w:rPr>
          <w:sz w:val="20"/>
          <w:szCs w:val="20"/>
          <w:color w:val="auto"/>
        </w:rPr>
      </w:pPr>
    </w:p>
    <w:p>
      <w:pPr>
        <w:ind w:left="260" w:hanging="252"/>
        <w:spacing w:after="0" w:line="304" w:lineRule="auto"/>
        <w:tabs>
          <w:tab w:leader="none" w:pos="261" w:val="left"/>
        </w:tabs>
        <w:numPr>
          <w:ilvl w:val="0"/>
          <w:numId w:val="7"/>
        </w:numPr>
        <w:rPr>
          <w:rFonts w:ascii="Arial" w:cs="Arial" w:eastAsia="Arial" w:hAnsi="Arial"/>
          <w:sz w:val="9"/>
          <w:szCs w:val="9"/>
          <w:color w:val="auto"/>
        </w:rPr>
      </w:pPr>
      <w:r>
        <w:rPr>
          <w:rFonts w:ascii="Arial" w:cs="Arial" w:eastAsia="Arial" w:hAnsi="Arial"/>
          <w:sz w:val="16"/>
          <w:szCs w:val="16"/>
          <w:color w:val="auto"/>
        </w:rPr>
        <w:t>Data reported by Statistical Surveys, Inc., representing trailing three- and six-month U.S. aluminum pontoon market share through April 2024. This data is continuously updated and often impacted by delays in reporting by various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25, 2024</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27, 2023</w:t>
            </w:r>
          </w:p>
        </w:tc>
        <w:tc>
          <w:tcPr>
            <w:tcW w:w="8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378"/>
        </w:trPr>
        <w:tc>
          <w:tcPr>
            <w:tcW w:w="4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25, 2024</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27, 2023</w:t>
            </w:r>
          </w:p>
        </w:tc>
        <w:tc>
          <w:tcPr>
            <w:tcW w:w="8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 2024</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 2023</w:t>
            </w:r>
          </w:p>
        </w:tc>
      </w:tr>
      <w:tr>
        <w:trPr>
          <w:trHeight w:val="210"/>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3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1,064.3</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1208"/>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25, 2024</w:t>
            </w:r>
          </w:p>
        </w:tc>
        <w:tc>
          <w:tcPr>
            <w:tcW w:w="300" w:type="dxa"/>
            <w:vAlign w:val="bottom"/>
          </w:tcPr>
          <w:p>
            <w:pPr>
              <w:spacing w:after="0"/>
              <w:rPr>
                <w:sz w:val="17"/>
                <w:szCs w:val="17"/>
                <w:color w:val="auto"/>
              </w:rPr>
            </w:pPr>
          </w:p>
        </w:tc>
        <w:tc>
          <w:tcPr>
            <w:tcW w:w="1600" w:type="dxa"/>
            <w:vAlign w:val="bottom"/>
          </w:tcPr>
          <w:p>
            <w:pPr>
              <w:jc w:val="right"/>
              <w:ind w:right="448"/>
              <w:spacing w:after="0"/>
              <w:rPr>
                <w:sz w:val="20"/>
                <w:szCs w:val="20"/>
                <w:color w:val="auto"/>
              </w:rPr>
            </w:pPr>
            <w:r>
              <w:rPr>
                <w:rFonts w:ascii="Arial" w:cs="Arial" w:eastAsia="Arial" w:hAnsi="Arial"/>
                <w:sz w:val="14"/>
                <w:szCs w:val="14"/>
                <w:b w:val="1"/>
                <w:bCs w:val="1"/>
                <w:color w:val="auto"/>
              </w:rPr>
              <w:t>May 27, 2023</w:t>
            </w:r>
          </w:p>
        </w:tc>
      </w:tr>
      <w:tr>
        <w:trPr>
          <w:trHeight w:val="197"/>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172.1</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expense</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Loss on note repurchase</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Contingent consideration fair value adjustment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Payments of earnout liability above acquisition-date fair value</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net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(81.3)</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8"/>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r>
      <w:tr>
        <w:trPr>
          <w:trHeight w:val="199"/>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156.4</w:t>
            </w:r>
          </w:p>
        </w:tc>
      </w:tr>
      <w:tr>
        <w:trPr>
          <w:trHeight w:val="197"/>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(68.0)</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business, net of cash acquired</w:t>
            </w: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the sale of property, plant, and equipment</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(154.4)</w:t>
            </w:r>
          </w:p>
        </w:tc>
      </w:tr>
      <w:tr>
        <w:trPr>
          <w:trHeight w:val="197"/>
        </w:trPr>
        <w:tc>
          <w:tcPr>
            <w:tcW w:w="7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on long-term debt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2,840.2</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Repayments on long-term debt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(2,596.0)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(2,840.2)</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for convertible note bond hedge</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issuance of convertible note warrant</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partial unwind of convertible note bond hedge</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partial unwind of convertible note warrant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cash dividends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repurchases of common stock</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debt issuance costs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of earnout liability up to acquisition-date fair value</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(58.3)</w:t>
            </w:r>
          </w:p>
        </w:tc>
      </w:tr>
      <w:tr>
        <w:trPr>
          <w:trHeight w:val="197"/>
        </w:trPr>
        <w:tc>
          <w:tcPr>
            <w:tcW w:w="7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(56.3)</w:t>
            </w: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w:t>
            </w:r>
          </w:p>
        </w:tc>
      </w:tr>
      <w:tr>
        <w:trPr>
          <w:trHeight w:val="200"/>
        </w:trPr>
        <w:tc>
          <w:tcPr>
            <w:tcW w:w="7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225.9</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360" w:top="850"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w:t>
            </w:r>
          </w:p>
        </w:tc>
        <w:tc>
          <w:tcPr>
            <w:tcW w:w="2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5500" w:type="dxa"/>
            <w:vAlign w:val="bottom"/>
          </w:tcPr>
          <w:p>
            <w:pPr>
              <w:ind w:left="120"/>
              <w:spacing w:after="0"/>
              <w:rPr>
                <w:sz w:val="20"/>
                <w:szCs w:val="20"/>
                <w:color w:val="auto"/>
              </w:rPr>
            </w:pPr>
            <w:r>
              <w:rPr>
                <w:rFonts w:ascii="Arial" w:cs="Arial" w:eastAsia="Arial" w:hAnsi="Arial"/>
                <w:sz w:val="14"/>
                <w:szCs w:val="14"/>
                <w:color w:val="auto"/>
              </w:rPr>
              <w:t>Income taxes paid, net</w:t>
            </w:r>
          </w:p>
        </w:tc>
        <w:tc>
          <w:tcPr>
            <w:tcW w:w="260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9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06"/>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paid</w:t>
            </w:r>
          </w:p>
        </w:tc>
        <w:tc>
          <w:tcPr>
            <w:tcW w:w="2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16"/>
        </w:trPr>
        <w:tc>
          <w:tcPr>
            <w:tcW w:w="5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5500" w:type="dxa"/>
            <w:vAlign w:val="bottom"/>
          </w:tcPr>
          <w:p>
            <w:pPr>
              <w:ind w:left="120"/>
              <w:spacing w:after="0"/>
              <w:rPr>
                <w:sz w:val="20"/>
                <w:szCs w:val="20"/>
                <w:color w:val="auto"/>
              </w:rPr>
            </w:pPr>
            <w:r>
              <w:rPr>
                <w:rFonts w:ascii="Arial" w:cs="Arial" w:eastAsia="Arial" w:hAnsi="Arial"/>
                <w:sz w:val="14"/>
                <w:szCs w:val="14"/>
                <w:color w:val="auto"/>
              </w:rPr>
              <w:t>Capital expenditures in accounts payable</w:t>
            </w:r>
          </w:p>
        </w:tc>
        <w:tc>
          <w:tcPr>
            <w:tcW w:w="260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9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7"/>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 not yet paid</w:t>
            </w:r>
          </w:p>
        </w:tc>
        <w:tc>
          <w:tcPr>
            <w:tcW w:w="2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5500" w:type="dxa"/>
            <w:vAlign w:val="bottom"/>
          </w:tcPr>
          <w:p>
            <w:pPr>
              <w:ind w:left="120"/>
              <w:spacing w:after="0"/>
              <w:rPr>
                <w:sz w:val="20"/>
                <w:szCs w:val="20"/>
                <w:color w:val="auto"/>
              </w:rPr>
            </w:pPr>
            <w:r>
              <w:rPr>
                <w:rFonts w:ascii="Arial" w:cs="Arial" w:eastAsia="Arial" w:hAnsi="Arial"/>
                <w:sz w:val="14"/>
                <w:szCs w:val="14"/>
                <w:color w:val="auto"/>
              </w:rPr>
              <w:t>Increase in lease assets in exchange for lease liabilities:</w:t>
            </w:r>
          </w:p>
        </w:tc>
        <w:tc>
          <w:tcPr>
            <w:tcW w:w="2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2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4"/>
        </w:trPr>
        <w:tc>
          <w:tcPr>
            <w:tcW w:w="550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26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896" w:right="359" w:bottom="1440" w:gutter="0" w:footer="0" w:header="0"/>
        </w:sectPr>
      </w:pPr>
    </w:p>
    <w:bookmarkStart w:id="13" w:name="page14"/>
    <w:bookmarkEnd w:id="13"/>
    <w:p>
      <w:pPr>
        <w:jc w:val="center"/>
        <w:ind w:right="-15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680" w:type="dxa"/>
            <w:vAlign w:val="bottom"/>
            <w:gridSpan w:val="3"/>
          </w:tcPr>
          <w:p>
            <w:pPr>
              <w:jc w:val="center"/>
              <w:ind w:right="159"/>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474"/>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1"/>
                <w:szCs w:val="21"/>
                <w:color w:val="auto"/>
              </w:rPr>
            </w:pPr>
          </w:p>
        </w:tc>
        <w:tc>
          <w:tcPr>
            <w:tcW w:w="16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2,339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34.4 %</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680" w:type="dxa"/>
            <w:vAlign w:val="bottom"/>
            <w:gridSpan w:val="3"/>
          </w:tcPr>
          <w:p>
            <w:pPr>
              <w:jc w:val="center"/>
              <w:ind w:right="159"/>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379"/>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1"/>
                <w:szCs w:val="21"/>
                <w:color w:val="auto"/>
              </w:rPr>
            </w:pPr>
          </w:p>
        </w:tc>
        <w:tc>
          <w:tcPr>
            <w:tcW w:w="16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7,293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2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20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4,734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6"/>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hanging="252"/>
        <w:spacing w:after="0" w:line="231" w:lineRule="auto"/>
        <w:tabs>
          <w:tab w:leader="none" w:pos="28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72"/>
          </w:cols>
          <w:pgMar w:left="328" w:top="850" w:right="4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66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474"/>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1"/>
                <w:szCs w:val="21"/>
                <w:color w:val="auto"/>
              </w:rPr>
            </w:pPr>
          </w:p>
        </w:tc>
        <w:tc>
          <w:tcPr>
            <w:tcW w:w="16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28.3 %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33.6 %</w:t>
            </w: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2,131</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1"/>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3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66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7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1"/>
                <w:szCs w:val="21"/>
                <w:color w:val="auto"/>
              </w:rPr>
            </w:pPr>
          </w:p>
        </w:tc>
        <w:tc>
          <w:tcPr>
            <w:tcW w:w="16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34.8 %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6,804</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4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2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2040" w:type="dxa"/>
            <w:vAlign w:val="bottom"/>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4,595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17"/>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6"/>
        </w:trPr>
        <w:tc>
          <w:tcPr>
            <w:tcW w:w="204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40" w:hanging="252"/>
        <w:spacing w:after="0" w:line="231" w:lineRule="auto"/>
        <w:tabs>
          <w:tab w:leader="none" w:pos="22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1147" w:right="519" w:bottom="1440" w:gutter="0" w:footer="0" w:header="0"/>
        </w:sectPr>
      </w:pPr>
    </w:p>
    <w:bookmarkStart w:id="15" w:name="page16"/>
    <w:bookmarkEnd w:id="15"/>
    <w:p>
      <w:pPr>
        <w:ind w:left="4352"/>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2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2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292" w:type="dxa"/>
        <w:tblCellMar>
          <w:top w:w="0" w:type="dxa"/>
          <w:left w:w="0" w:type="dxa"/>
          <w:bottom w:w="0" w:type="dxa"/>
          <w:right w:w="0" w:type="dxa"/>
        </w:tblCellMar>
      </w:tblPr>
      <w:tr>
        <w:trPr>
          <w:trHeight w:val="217"/>
        </w:trPr>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66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48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487"/>
        </w:trPr>
        <w:tc>
          <w:tcPr>
            <w:tcW w:w="1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5"/>
        </w:trPr>
        <w:tc>
          <w:tcPr>
            <w:tcW w:w="1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1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10"/>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66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48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79"/>
        </w:trPr>
        <w:tc>
          <w:tcPr>
            <w:tcW w:w="1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4"/>
        </w:trPr>
        <w:tc>
          <w:tcPr>
            <w:tcW w:w="1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1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18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7"/>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16"/>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9"/>
                <w:szCs w:val="9"/>
                <w:b w:val="1"/>
                <w:bCs w:val="1"/>
                <w:color w:val="auto"/>
              </w:rPr>
              <w:t>(3)</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bl>
    <w:p>
      <w:pPr>
        <w:spacing w:after="0" w:line="126" w:lineRule="exact"/>
        <w:rPr>
          <w:sz w:val="20"/>
          <w:szCs w:val="20"/>
          <w:color w:val="auto"/>
        </w:rPr>
      </w:pPr>
    </w:p>
    <w:p>
      <w:pPr>
        <w:ind w:left="272" w:hanging="272"/>
        <w:spacing w:after="0"/>
        <w:tabs>
          <w:tab w:leader="none" w:pos="272"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52" w:hanging="252"/>
        <w:spacing w:after="0" w:line="290" w:lineRule="auto"/>
        <w:tabs>
          <w:tab w:leader="none" w:pos="227" w:val="left"/>
        </w:tabs>
        <w:numPr>
          <w:ilvl w:val="0"/>
          <w:numId w:val="10"/>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12" w:hanging="212"/>
        <w:spacing w:after="0" w:line="237" w:lineRule="auto"/>
        <w:tabs>
          <w:tab w:leader="none" w:pos="21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12"/>
          </w:cols>
          <w:pgMar w:left="328" w:top="904" w:right="559" w:bottom="1440" w:gutter="0" w:footer="0" w:header="0"/>
        </w:sectPr>
      </w:pPr>
    </w:p>
    <w:bookmarkStart w:id="16" w:name="page17"/>
    <w:bookmarkEnd w:id="1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25, 2024</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25, 2024</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27, 2023</w:t>
            </w: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57"/>
        </w:trPr>
        <w:tc>
          <w:tcPr>
            <w:tcW w:w="438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Change in fair value of note receivable</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56"/>
        </w:trPr>
        <w:tc>
          <w:tcPr>
            <w:tcW w:w="4380" w:type="dxa"/>
            <w:vAlign w:val="bottom"/>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call spread overlay</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55"/>
        </w:trPr>
        <w:tc>
          <w:tcPr>
            <w:tcW w:w="438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380" w:type="dxa"/>
            <w:vAlign w:val="bottom"/>
            <w:tcBorders>
              <w:top w:val="single" w:sz="8" w:color="CCEEFF"/>
              <w:bottom w:val="single" w:sz="8" w:color="CCEEFF"/>
            </w:tcBorders>
            <w:shd w:val="clear" w:color="auto" w:fill="CCEEFF"/>
          </w:tcPr>
          <w:p>
            <w:pPr>
              <w:ind w:left="140"/>
              <w:spacing w:after="0" w:line="211"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(4)</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23.0% and 24.1% for fiscal 2024 and fiscal 2023, respectively.</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impact of a call spread overlay that was put in place upon issuance of the convertible notes and which economically offsets dilution risk.</w:t>
      </w:r>
    </w:p>
    <w:p>
      <w:pPr>
        <w:ind w:left="220" w:hanging="212"/>
        <w:spacing w:after="0" w:line="193"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25, 2024</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25, 2024</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27, 2023</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273.8</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spacing w:after="0" w:line="339" w:lineRule="auto"/>
        <w:rPr>
          <w:sz w:val="20"/>
          <w:szCs w:val="20"/>
          <w:color w:val="auto"/>
        </w:rPr>
      </w:pPr>
      <w:r>
        <w:rPr>
          <w:rFonts w:ascii="Arial" w:cs="Arial" w:eastAsia="Arial" w:hAnsi="Arial"/>
          <w:sz w:val="16"/>
          <w:szCs w:val="16"/>
          <w:color w:val="auto"/>
        </w:rPr>
        <w:t>per share and Adjusted EBITDA provide meaningful supplemental information about our operating performance because these measures exclude amounts that we do not consider part of our core operating results when assessing our performance.</w:t>
      </w:r>
    </w:p>
    <w:p>
      <w:pPr>
        <w:spacing w:after="0" w:line="182"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
      <w:numFmt w:val="bullet"/>
      <w:start w:val="1"/>
    </w:lvl>
  </w:abstractNum>
  <w:abstractNum w:abstractNumId="5">
    <w:nsid w:val="515F007C"/>
    <w:multiLevelType w:val="hybridMultilevel"/>
    <w:lvl w:ilvl="0">
      <w:lvlJc w:val="left"/>
      <w:lvlText w:val="(%1)"/>
      <w:numFmt w:val="decimal"/>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2024-06-20T07:08:51Z</dcterms:created>
  <dcterms:modified xsi:type="dcterms:W3CDTF">2024-06-20T07:08:51Z</dcterms:modified>
</cp:coreProperties>
</file>